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079" w:rsidRDefault="004E6C9F">
      <w:pPr>
        <w:jc w:val="center"/>
        <w:rPr>
          <w:rFonts w:ascii="黑体" w:eastAsia="黑体" w:hAnsi="黑体"/>
          <w:bCs/>
          <w:sz w:val="32"/>
          <w:szCs w:val="32"/>
        </w:rPr>
      </w:pPr>
      <w:r>
        <w:rPr>
          <w:rFonts w:ascii="黑体" w:eastAsia="黑体" w:hAnsi="黑体"/>
          <w:sz w:val="32"/>
        </w:rPr>
        <w:t>嘉实标普石油天然气勘探及生产精选行业交易型开放式指数证券投资基金（</w:t>
      </w:r>
      <w:r>
        <w:rPr>
          <w:rFonts w:ascii="黑体" w:eastAsia="黑体" w:hAnsi="黑体"/>
          <w:sz w:val="32"/>
        </w:rPr>
        <w:t>QDII</w:t>
      </w:r>
      <w:r>
        <w:rPr>
          <w:rFonts w:ascii="黑体" w:eastAsia="黑体" w:hAnsi="黑体"/>
          <w:sz w:val="32"/>
        </w:rPr>
        <w:t>）溢价风险提示公告</w:t>
      </w:r>
    </w:p>
    <w:p w:rsidR="00BF7079" w:rsidRDefault="00BF7079">
      <w:pPr>
        <w:ind w:firstLineChars="200" w:firstLine="420"/>
      </w:pPr>
    </w:p>
    <w:p w:rsidR="00BF7079" w:rsidRDefault="004E6C9F">
      <w:pPr>
        <w:spacing w:line="360" w:lineRule="auto"/>
        <w:ind w:firstLineChars="200" w:firstLine="420"/>
        <w:rPr>
          <w:rFonts w:ascii="宋体" w:hAnsi="宋体" w:cs="Arial"/>
          <w:b/>
          <w:color w:val="000000"/>
          <w:szCs w:val="21"/>
        </w:rPr>
      </w:pPr>
      <w:r>
        <w:rPr>
          <w:rFonts w:ascii="宋体" w:hAnsi="宋体" w:hint="eastAsia"/>
        </w:rPr>
        <w:t>近期，嘉实基金管理有限公司（以下简称“基金管理人”）旗下</w:t>
      </w:r>
      <w:r>
        <w:rPr>
          <w:rFonts w:ascii="宋体" w:hAnsi="宋体"/>
        </w:rPr>
        <w:t>嘉实标普石油天然气勘探及生产精选行业交易型开放式指数证券投资基金（</w:t>
      </w:r>
      <w:r>
        <w:rPr>
          <w:rFonts w:ascii="宋体" w:hAnsi="宋体"/>
        </w:rPr>
        <w:t>QDII</w:t>
      </w:r>
      <w:r>
        <w:rPr>
          <w:rFonts w:ascii="宋体" w:hAnsi="宋体"/>
        </w:rPr>
        <w:t>）（基金代码：</w:t>
      </w:r>
      <w:r>
        <w:rPr>
          <w:rFonts w:ascii="宋体" w:hAnsi="宋体"/>
        </w:rPr>
        <w:t>159518</w:t>
      </w:r>
      <w:r>
        <w:rPr>
          <w:rFonts w:ascii="宋体" w:hAnsi="宋体" w:hint="eastAsia"/>
        </w:rPr>
        <w:t>，场内简称：</w:t>
      </w:r>
      <w:r>
        <w:rPr>
          <w:rFonts w:ascii="宋体" w:hAnsi="宋体"/>
        </w:rPr>
        <w:t>标普油气</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特此郑重提醒广大投资者，应密切关注二级市场交易价格的溢价风险，审慎做出投资决策。若投资者盲目以大幅偏离资产实际价值的高溢价买入，后续可能面临二级市场价格回落导致的重大投资损失。</w:t>
      </w:r>
    </w:p>
    <w:p w:rsidR="00BF7079" w:rsidRDefault="004E6C9F">
      <w:pPr>
        <w:spacing w:line="360" w:lineRule="auto"/>
        <w:ind w:firstLineChars="200" w:firstLine="422"/>
        <w:rPr>
          <w:rFonts w:ascii="宋体" w:hAnsi="宋体" w:cs="Arial"/>
          <w:color w:val="000000"/>
          <w:szCs w:val="21"/>
        </w:rPr>
      </w:pPr>
      <w:r>
        <w:rPr>
          <w:rFonts w:ascii="宋体" w:hAnsi="宋体" w:cs="Arial" w:hint="eastAsia"/>
          <w:b/>
          <w:color w:val="000000"/>
          <w:szCs w:val="21"/>
        </w:rPr>
        <w:t>若本基金</w:t>
      </w:r>
      <w:r>
        <w:rPr>
          <w:rFonts w:ascii="宋体" w:hAnsi="宋体" w:cs="宋体" w:hint="eastAsia"/>
          <w:b/>
          <w:color w:val="000000"/>
        </w:rPr>
        <w:t>2026</w:t>
      </w:r>
      <w:r>
        <w:rPr>
          <w:rFonts w:ascii="宋体" w:hAnsi="宋体" w:cs="宋体" w:hint="eastAsia"/>
          <w:b/>
          <w:color w:val="000000"/>
        </w:rPr>
        <w:t>年</w:t>
      </w:r>
      <w:r>
        <w:rPr>
          <w:rFonts w:ascii="宋体" w:hAnsi="宋体" w:cs="宋体" w:hint="eastAsia"/>
          <w:b/>
          <w:color w:val="000000"/>
        </w:rPr>
        <w:t>3</w:t>
      </w:r>
      <w:r>
        <w:rPr>
          <w:rFonts w:ascii="宋体" w:hAnsi="宋体" w:cs="宋体" w:hint="eastAsia"/>
          <w:b/>
          <w:color w:val="000000"/>
        </w:rPr>
        <w:t>月</w:t>
      </w:r>
      <w:r>
        <w:rPr>
          <w:rFonts w:ascii="宋体" w:hAnsi="宋体" w:cs="宋体" w:hint="eastAsia"/>
          <w:b/>
          <w:color w:val="000000"/>
        </w:rPr>
        <w:t>6</w:t>
      </w:r>
      <w:r>
        <w:rPr>
          <w:rFonts w:ascii="宋体" w:hAnsi="宋体" w:cs="宋体" w:hint="eastAsia"/>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BF7079" w:rsidRDefault="004E6C9F">
      <w:pPr>
        <w:spacing w:line="360" w:lineRule="auto"/>
        <w:ind w:firstLineChars="200" w:firstLine="420"/>
        <w:rPr>
          <w:rFonts w:ascii="宋体" w:hAnsi="宋体"/>
        </w:rPr>
      </w:pPr>
      <w:r>
        <w:rPr>
          <w:rFonts w:ascii="宋体" w:hAnsi="宋体" w:hint="eastAsia"/>
        </w:rPr>
        <w:t>为此，本基金管理人声明如下：</w:t>
      </w:r>
    </w:p>
    <w:p w:rsidR="00BF7079" w:rsidRDefault="004E6C9F">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w:t>
      </w:r>
      <w:r>
        <w:rPr>
          <w:rFonts w:ascii="宋体" w:hAnsi="宋体" w:hint="eastAsia"/>
        </w:rPr>
        <w:t>险外，还会受到市场供求关系、系统性风险、流动性风险等其他因素的影响，可能使投资人面临损失。</w:t>
      </w:r>
    </w:p>
    <w:p w:rsidR="00BF7079" w:rsidRDefault="004E6C9F">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、截至目前，本基金运作正常且无应披露而未披露的重大信息，基金管理人将严格按照法律法规及基金合同的规定进行投资运作，履行信息披露义务。</w:t>
      </w:r>
    </w:p>
    <w:p w:rsidR="00BF7079" w:rsidRDefault="004E6C9F">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BF7079" w:rsidRDefault="004E6C9F">
      <w:pPr>
        <w:spacing w:line="360" w:lineRule="auto"/>
        <w:ind w:firstLineChars="200" w:firstLine="420"/>
        <w:rPr>
          <w:rFonts w:ascii="宋体" w:hAnsi="宋体"/>
        </w:rPr>
      </w:pPr>
      <w:r>
        <w:rPr>
          <w:rFonts w:ascii="宋体" w:hAnsi="宋体" w:hint="eastAsia"/>
        </w:rPr>
        <w:t>敬请投资者注意投资风险。</w:t>
      </w:r>
    </w:p>
    <w:p w:rsidR="00BF7079" w:rsidRDefault="004E6C9F">
      <w:pPr>
        <w:spacing w:line="360" w:lineRule="auto"/>
        <w:ind w:firstLineChars="200" w:firstLine="420"/>
        <w:rPr>
          <w:rFonts w:ascii="宋体" w:hAnsi="宋体"/>
        </w:rPr>
      </w:pPr>
      <w:r>
        <w:rPr>
          <w:rFonts w:ascii="宋体" w:hAnsi="宋体" w:hint="eastAsia"/>
        </w:rPr>
        <w:t>特此公告。</w:t>
      </w:r>
      <w:bookmarkStart w:id="0" w:name="_GoBack"/>
      <w:bookmarkEnd w:id="0"/>
    </w:p>
    <w:p w:rsidR="00BF7079" w:rsidRDefault="004E6C9F">
      <w:pPr>
        <w:spacing w:line="360" w:lineRule="auto"/>
        <w:ind w:firstLineChars="200" w:firstLine="420"/>
        <w:jc w:val="right"/>
        <w:rPr>
          <w:rFonts w:ascii="宋体" w:hAnsi="宋体"/>
        </w:rPr>
      </w:pPr>
      <w:r>
        <w:rPr>
          <w:rFonts w:ascii="宋体" w:hAnsi="宋体" w:hint="eastAsia"/>
        </w:rPr>
        <w:t>嘉实基金管理有限公司</w:t>
      </w:r>
    </w:p>
    <w:p w:rsidR="00BF7079" w:rsidRDefault="004E6C9F">
      <w:pPr>
        <w:spacing w:line="360" w:lineRule="auto"/>
        <w:ind w:firstLineChars="200" w:firstLine="420"/>
        <w:jc w:val="right"/>
        <w:rPr>
          <w:rFonts w:ascii="宋体" w:hAnsi="宋体"/>
        </w:rPr>
      </w:pPr>
      <w:r>
        <w:rPr>
          <w:rFonts w:ascii="宋体" w:hAnsi="宋体" w:hint="eastAsia"/>
        </w:rPr>
        <w:t xml:space="preserve"> </w:t>
      </w:r>
      <w:r>
        <w:rPr>
          <w:rFonts w:ascii="宋体" w:hAnsi="宋体" w:hint="eastAsia"/>
        </w:rPr>
        <w:t>2026</w:t>
      </w:r>
      <w:r>
        <w:rPr>
          <w:rFonts w:ascii="宋体" w:hAnsi="宋体" w:hint="eastAsia"/>
        </w:rPr>
        <w:t>年</w:t>
      </w:r>
      <w:r>
        <w:rPr>
          <w:rFonts w:ascii="宋体" w:hAnsi="宋体" w:hint="eastAsia"/>
        </w:rPr>
        <w:t>3</w:t>
      </w:r>
      <w:r>
        <w:rPr>
          <w:rFonts w:ascii="宋体" w:hAnsi="宋体" w:hint="eastAsia"/>
        </w:rPr>
        <w:t>月</w:t>
      </w:r>
      <w:r>
        <w:rPr>
          <w:rFonts w:ascii="宋体" w:hAnsi="宋体" w:hint="eastAsia"/>
        </w:rPr>
        <w:t>6</w:t>
      </w:r>
      <w:r>
        <w:rPr>
          <w:rFonts w:ascii="宋体" w:hAnsi="宋体" w:hint="eastAsia"/>
        </w:rPr>
        <w:t>日</w:t>
      </w:r>
    </w:p>
    <w:sectPr w:rsidR="00BF7079" w:rsidSect="00BF7079">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stylePaneFormatFilter w:val="3F01"/>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6C9F"/>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BF707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9CF33FE"/>
    <w:rsid w:val="2D7A292A"/>
    <w:rsid w:val="3A8105FF"/>
    <w:rsid w:val="638273F5"/>
    <w:rsid w:val="65714E21"/>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707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F7079"/>
    <w:pPr>
      <w:jc w:val="left"/>
    </w:pPr>
  </w:style>
  <w:style w:type="paragraph" w:styleId="a4">
    <w:name w:val="Date"/>
    <w:basedOn w:val="a"/>
    <w:next w:val="a"/>
    <w:link w:val="Char0"/>
    <w:qFormat/>
    <w:rsid w:val="00BF7079"/>
    <w:pPr>
      <w:ind w:leftChars="2500" w:left="100"/>
    </w:pPr>
  </w:style>
  <w:style w:type="paragraph" w:styleId="a5">
    <w:name w:val="Balloon Text"/>
    <w:basedOn w:val="a"/>
    <w:link w:val="Char1"/>
    <w:rsid w:val="00BF7079"/>
    <w:rPr>
      <w:sz w:val="18"/>
      <w:szCs w:val="18"/>
    </w:rPr>
  </w:style>
  <w:style w:type="paragraph" w:styleId="a6">
    <w:name w:val="footer"/>
    <w:basedOn w:val="a"/>
    <w:link w:val="Char2"/>
    <w:qFormat/>
    <w:rsid w:val="00BF7079"/>
    <w:pPr>
      <w:tabs>
        <w:tab w:val="center" w:pos="4153"/>
        <w:tab w:val="right" w:pos="8306"/>
      </w:tabs>
      <w:snapToGrid w:val="0"/>
      <w:jc w:val="left"/>
    </w:pPr>
    <w:rPr>
      <w:sz w:val="18"/>
      <w:szCs w:val="18"/>
    </w:rPr>
  </w:style>
  <w:style w:type="paragraph" w:styleId="a7">
    <w:name w:val="header"/>
    <w:basedOn w:val="a"/>
    <w:link w:val="Char3"/>
    <w:qFormat/>
    <w:rsid w:val="00BF707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BF7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BF7079"/>
    <w:rPr>
      <w:b/>
      <w:bCs/>
    </w:rPr>
  </w:style>
  <w:style w:type="character" w:styleId="a9">
    <w:name w:val="annotation reference"/>
    <w:qFormat/>
    <w:rsid w:val="00BF7079"/>
    <w:rPr>
      <w:sz w:val="21"/>
      <w:szCs w:val="21"/>
    </w:rPr>
  </w:style>
  <w:style w:type="character" w:customStyle="1" w:styleId="Char">
    <w:name w:val="批注文字 Char"/>
    <w:link w:val="a3"/>
    <w:qFormat/>
    <w:rsid w:val="00BF7079"/>
    <w:rPr>
      <w:rFonts w:ascii="Calibri" w:hAnsi="Calibri"/>
      <w:kern w:val="2"/>
      <w:sz w:val="21"/>
      <w:szCs w:val="24"/>
    </w:rPr>
  </w:style>
  <w:style w:type="character" w:customStyle="1" w:styleId="Char0">
    <w:name w:val="日期 Char"/>
    <w:link w:val="a4"/>
    <w:qFormat/>
    <w:rsid w:val="00BF7079"/>
    <w:rPr>
      <w:rFonts w:ascii="Calibri" w:hAnsi="Calibri"/>
      <w:kern w:val="2"/>
      <w:sz w:val="21"/>
      <w:szCs w:val="24"/>
    </w:rPr>
  </w:style>
  <w:style w:type="character" w:customStyle="1" w:styleId="Char1">
    <w:name w:val="批注框文本 Char"/>
    <w:link w:val="a5"/>
    <w:qFormat/>
    <w:rsid w:val="00BF7079"/>
    <w:rPr>
      <w:rFonts w:ascii="Calibri" w:hAnsi="Calibri"/>
      <w:kern w:val="2"/>
      <w:sz w:val="18"/>
      <w:szCs w:val="18"/>
    </w:rPr>
  </w:style>
  <w:style w:type="character" w:customStyle="1" w:styleId="Char2">
    <w:name w:val="页脚 Char"/>
    <w:link w:val="a6"/>
    <w:qFormat/>
    <w:rsid w:val="00BF7079"/>
    <w:rPr>
      <w:rFonts w:ascii="Calibri" w:hAnsi="Calibri"/>
      <w:kern w:val="2"/>
      <w:sz w:val="18"/>
      <w:szCs w:val="18"/>
    </w:rPr>
  </w:style>
  <w:style w:type="character" w:customStyle="1" w:styleId="Char3">
    <w:name w:val="页眉 Char"/>
    <w:link w:val="a7"/>
    <w:qFormat/>
    <w:rsid w:val="00BF7079"/>
    <w:rPr>
      <w:rFonts w:ascii="Calibri" w:hAnsi="Calibri"/>
      <w:kern w:val="2"/>
      <w:sz w:val="18"/>
      <w:szCs w:val="18"/>
    </w:rPr>
  </w:style>
  <w:style w:type="character" w:customStyle="1" w:styleId="Char4">
    <w:name w:val="批注主题 Char"/>
    <w:link w:val="a8"/>
    <w:qFormat/>
    <w:rsid w:val="00BF7079"/>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4</DocSecurity>
  <Lines>4</Lines>
  <Paragraphs>1</Paragraphs>
  <ScaleCrop>false</ScaleCrop>
  <Company>CNSTOCK</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2026-03-05T16:00:00Z</dcterms:created>
  <dcterms:modified xsi:type="dcterms:W3CDTF">2026-03-05T16:00:00Z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