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3BD" w:rsidRDefault="001873BD"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jc w:val="center"/>
        <w:rPr>
          <w:rFonts w:ascii="宋体" w:eastAsia="宋体" w:hAnsi="宋体" w:cs="Times New Roman"/>
          <w:b/>
          <w:color w:val="000000"/>
          <w:kern w:val="0"/>
          <w:sz w:val="28"/>
          <w:szCs w:val="28"/>
        </w:rPr>
      </w:pPr>
      <w:r w:rsidRPr="001873BD">
        <w:rPr>
          <w:rFonts w:ascii="宋体" w:eastAsia="宋体" w:hAnsi="宋体" w:cs="Times New Roman" w:hint="eastAsia"/>
          <w:b/>
          <w:color w:val="000000"/>
          <w:kern w:val="0"/>
          <w:sz w:val="28"/>
          <w:szCs w:val="28"/>
        </w:rPr>
        <w:t>国泰基金管理有限公司关于旗下基金获配非公开发行</w:t>
      </w:r>
      <w:r w:rsidRPr="001873BD">
        <w:rPr>
          <w:rFonts w:ascii="宋体" w:eastAsia="宋体" w:hAnsi="宋体" w:cs="Times New Roman"/>
          <w:b/>
          <w:color w:val="000000"/>
          <w:kern w:val="0"/>
          <w:sz w:val="28"/>
          <w:szCs w:val="28"/>
        </w:rPr>
        <w:t>A</w:t>
      </w:r>
      <w:r w:rsidRPr="001873BD">
        <w:rPr>
          <w:rFonts w:ascii="宋体" w:eastAsia="宋体" w:hAnsi="宋体" w:cs="Times New Roman" w:hint="eastAsia"/>
          <w:b/>
          <w:color w:val="000000"/>
          <w:kern w:val="0"/>
          <w:sz w:val="28"/>
          <w:szCs w:val="28"/>
        </w:rPr>
        <w:t>股的公告</w:t>
      </w:r>
    </w:p>
    <w:p w:rsidR="001873BD" w:rsidRPr="001873BD" w:rsidRDefault="001873BD"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国泰基金管理有限公司（以下简称本公司）所管理的证券投资基金参加了</w:t>
      </w:r>
      <w:r w:rsidR="00820A4E" w:rsidRPr="00820A4E">
        <w:rPr>
          <w:rFonts w:ascii="宋体" w:eastAsia="宋体" w:hAnsi="宋体" w:cs="Times New Roman" w:hint="eastAsia"/>
          <w:color w:val="000000"/>
          <w:kern w:val="0"/>
          <w:sz w:val="24"/>
          <w:szCs w:val="24"/>
        </w:rPr>
        <w:t>江苏泛亚微透科技股份有限公司</w:t>
      </w:r>
      <w:r w:rsidRPr="001873BD">
        <w:rPr>
          <w:rFonts w:ascii="宋体" w:eastAsia="宋体" w:hAnsi="宋体" w:cs="Times New Roman"/>
          <w:color w:val="000000"/>
          <w:kern w:val="0"/>
          <w:sz w:val="24"/>
          <w:szCs w:val="24"/>
        </w:rPr>
        <w:t>非公开发行A股的认购。</w:t>
      </w:r>
      <w:r w:rsidR="00820A4E" w:rsidRPr="00820A4E">
        <w:rPr>
          <w:rFonts w:ascii="宋体" w:eastAsia="宋体" w:hAnsi="宋体" w:cs="Times New Roman" w:hint="eastAsia"/>
          <w:color w:val="000000"/>
          <w:kern w:val="0"/>
          <w:sz w:val="24"/>
          <w:szCs w:val="24"/>
        </w:rPr>
        <w:t>江苏泛亚微透科技股份有限公司</w:t>
      </w:r>
      <w:r w:rsidRPr="001873BD">
        <w:rPr>
          <w:rFonts w:ascii="宋体" w:eastAsia="宋体" w:hAnsi="宋体" w:cs="Times New Roman"/>
          <w:color w:val="000000"/>
          <w:kern w:val="0"/>
          <w:sz w:val="24"/>
          <w:szCs w:val="24"/>
        </w:rPr>
        <w:t>已于202</w:t>
      </w:r>
      <w:r w:rsidR="00820A4E">
        <w:rPr>
          <w:rFonts w:ascii="宋体" w:eastAsia="宋体" w:hAnsi="宋体" w:cs="Times New Roman"/>
          <w:color w:val="000000"/>
          <w:kern w:val="0"/>
          <w:sz w:val="24"/>
          <w:szCs w:val="24"/>
        </w:rPr>
        <w:t>6</w:t>
      </w:r>
      <w:r w:rsidRPr="001873BD">
        <w:rPr>
          <w:rFonts w:ascii="宋体" w:eastAsia="宋体" w:hAnsi="宋体" w:cs="Times New Roman"/>
          <w:color w:val="000000"/>
          <w:kern w:val="0"/>
          <w:sz w:val="24"/>
          <w:szCs w:val="24"/>
        </w:rPr>
        <w:t>年</w:t>
      </w:r>
      <w:r w:rsidR="00820A4E">
        <w:rPr>
          <w:rFonts w:ascii="宋体" w:eastAsia="宋体" w:hAnsi="宋体" w:cs="Times New Roman"/>
          <w:color w:val="000000"/>
          <w:kern w:val="0"/>
          <w:sz w:val="24"/>
          <w:szCs w:val="24"/>
        </w:rPr>
        <w:t>3</w:t>
      </w:r>
      <w:r w:rsidRPr="001873BD">
        <w:rPr>
          <w:rFonts w:ascii="宋体" w:eastAsia="宋体" w:hAnsi="宋体" w:cs="Times New Roman"/>
          <w:color w:val="000000"/>
          <w:kern w:val="0"/>
          <w:sz w:val="24"/>
          <w:szCs w:val="24"/>
        </w:rPr>
        <w:t>月</w:t>
      </w:r>
      <w:r w:rsidR="00820A4E">
        <w:rPr>
          <w:rFonts w:ascii="宋体" w:eastAsia="宋体" w:hAnsi="宋体" w:cs="Times New Roman"/>
          <w:color w:val="000000"/>
          <w:kern w:val="0"/>
          <w:sz w:val="24"/>
          <w:szCs w:val="24"/>
        </w:rPr>
        <w:t>3</w:t>
      </w:r>
      <w:r w:rsidRPr="001873BD">
        <w:rPr>
          <w:rFonts w:ascii="宋体" w:eastAsia="宋体" w:hAnsi="宋体" w:cs="Times New Roman"/>
          <w:color w:val="000000"/>
          <w:kern w:val="0"/>
          <w:sz w:val="24"/>
          <w:szCs w:val="24"/>
        </w:rPr>
        <w:t>日发布《</w:t>
      </w:r>
      <w:r w:rsidR="00820A4E" w:rsidRPr="00820A4E">
        <w:rPr>
          <w:rFonts w:ascii="宋体" w:eastAsia="宋体" w:hAnsi="宋体" w:cs="Times New Roman" w:hint="eastAsia"/>
          <w:color w:val="000000"/>
          <w:kern w:val="0"/>
          <w:sz w:val="24"/>
          <w:szCs w:val="24"/>
        </w:rPr>
        <w:t>江苏泛亚微透科技股份有限公司向特定对象发行股票发行结果暨股本变动公告</w:t>
      </w:r>
      <w:r w:rsidRPr="001873BD">
        <w:rPr>
          <w:rFonts w:ascii="宋体" w:eastAsia="宋体" w:hAnsi="宋体" w:cs="Times New Roman"/>
          <w:color w:val="000000"/>
          <w:kern w:val="0"/>
          <w:sz w:val="24"/>
          <w:szCs w:val="24"/>
        </w:rPr>
        <w:t>》，公布了本次非公开发行结果。</w:t>
      </w:r>
    </w:p>
    <w:p w:rsidR="001F64DB" w:rsidRPr="001873BD" w:rsidRDefault="00885706"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根据中国证监会《公开募集证券投资基金信息披露管理办法》、《关于基金投资非公开发行股票等流通受限证券有关问题的通知》等有关规定，本公司现将旗下证券投资基金获配</w:t>
      </w:r>
      <w:r w:rsidR="00C976BF" w:rsidRPr="00C976BF">
        <w:rPr>
          <w:rFonts w:ascii="宋体" w:eastAsia="宋体" w:hAnsi="宋体" w:cs="Times New Roman" w:hint="eastAsia"/>
          <w:color w:val="000000"/>
          <w:kern w:val="0"/>
          <w:sz w:val="24"/>
          <w:szCs w:val="24"/>
        </w:rPr>
        <w:t>江苏泛亚微透科技股份有限公司</w:t>
      </w:r>
      <w:r w:rsidRPr="001873BD">
        <w:rPr>
          <w:rFonts w:ascii="宋体" w:eastAsia="宋体" w:hAnsi="宋体" w:cs="Times New Roman"/>
          <w:color w:val="000000"/>
          <w:kern w:val="0"/>
          <w:sz w:val="24"/>
          <w:szCs w:val="24"/>
        </w:rPr>
        <w:t>非公开发行A股情况披露如下：</w:t>
      </w:r>
    </w:p>
    <w:p w:rsidR="001F64DB" w:rsidRPr="001873BD" w:rsidRDefault="001F64DB"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p>
    <w:tbl>
      <w:tblPr>
        <w:tblStyle w:val="a6"/>
        <w:tblW w:w="9966" w:type="dxa"/>
        <w:jc w:val="center"/>
        <w:tblLayout w:type="fixed"/>
        <w:tblLook w:val="04A0"/>
      </w:tblPr>
      <w:tblGrid>
        <w:gridCol w:w="1964"/>
        <w:gridCol w:w="1276"/>
        <w:gridCol w:w="1701"/>
        <w:gridCol w:w="1134"/>
        <w:gridCol w:w="1701"/>
        <w:gridCol w:w="1276"/>
        <w:gridCol w:w="914"/>
      </w:tblGrid>
      <w:tr w:rsidR="004F5902" w:rsidRPr="009B133B" w:rsidTr="009B133B">
        <w:trPr>
          <w:trHeight w:val="468"/>
          <w:jc w:val="center"/>
        </w:trPr>
        <w:tc>
          <w:tcPr>
            <w:tcW w:w="1964"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基金名称</w:t>
            </w:r>
          </w:p>
        </w:tc>
        <w:tc>
          <w:tcPr>
            <w:tcW w:w="1276"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获配数量（股）</w:t>
            </w:r>
          </w:p>
        </w:tc>
        <w:tc>
          <w:tcPr>
            <w:tcW w:w="1701"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总成本（元）</w:t>
            </w:r>
          </w:p>
        </w:tc>
        <w:tc>
          <w:tcPr>
            <w:tcW w:w="1134"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总成本占基金资产净值比例</w:t>
            </w:r>
          </w:p>
        </w:tc>
        <w:tc>
          <w:tcPr>
            <w:tcW w:w="1701"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账面价值（元）</w:t>
            </w:r>
          </w:p>
        </w:tc>
        <w:tc>
          <w:tcPr>
            <w:tcW w:w="1276"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账面价值占基金资产净值比例</w:t>
            </w:r>
          </w:p>
        </w:tc>
        <w:tc>
          <w:tcPr>
            <w:tcW w:w="914"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锁定期</w:t>
            </w:r>
          </w:p>
        </w:tc>
      </w:tr>
      <w:tr w:rsidR="004F5902" w:rsidRPr="009B133B" w:rsidTr="009B133B">
        <w:trPr>
          <w:trHeight w:val="468"/>
          <w:jc w:val="center"/>
        </w:trPr>
        <w:tc>
          <w:tcPr>
            <w:tcW w:w="1964"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1276"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1701"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1134"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1701"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1276"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914"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r>
      <w:tr w:rsidR="009B133B" w:rsidRPr="009B133B" w:rsidTr="009B133B">
        <w:trPr>
          <w:trHeight w:val="1476"/>
          <w:jc w:val="center"/>
        </w:trPr>
        <w:tc>
          <w:tcPr>
            <w:tcW w:w="1964" w:type="dxa"/>
            <w:vAlign w:val="center"/>
          </w:tcPr>
          <w:p w:rsidR="009B133B" w:rsidRPr="009B133B" w:rsidRDefault="00EE404A" w:rsidP="009B133B">
            <w:pPr>
              <w:spacing w:line="360" w:lineRule="auto"/>
              <w:jc w:val="center"/>
              <w:rPr>
                <w:rFonts w:ascii="宋体" w:eastAsia="宋体" w:hAnsi="宋体"/>
                <w:szCs w:val="21"/>
              </w:rPr>
            </w:pPr>
            <w:r w:rsidRPr="00EE404A">
              <w:rPr>
                <w:rFonts w:ascii="宋体" w:eastAsia="宋体" w:hAnsi="宋体" w:hint="eastAsia"/>
                <w:szCs w:val="21"/>
              </w:rPr>
              <w:t>国泰金鹏蓝筹价值混合型证券投资基金</w:t>
            </w:r>
          </w:p>
        </w:tc>
        <w:tc>
          <w:tcPr>
            <w:tcW w:w="1276" w:type="dxa"/>
            <w:noWrap/>
            <w:vAlign w:val="center"/>
          </w:tcPr>
          <w:p w:rsidR="009B133B" w:rsidRPr="009B133B" w:rsidRDefault="009B133B" w:rsidP="009B133B">
            <w:pPr>
              <w:jc w:val="center"/>
              <w:rPr>
                <w:rFonts w:ascii="宋体" w:eastAsia="宋体" w:hAnsi="宋体"/>
                <w:szCs w:val="21"/>
              </w:rPr>
            </w:pPr>
            <w:r w:rsidRPr="009B133B">
              <w:rPr>
                <w:rFonts w:ascii="宋体" w:eastAsia="宋体" w:hAnsi="宋体"/>
                <w:szCs w:val="21"/>
              </w:rPr>
              <w:t>89,744</w:t>
            </w:r>
          </w:p>
        </w:tc>
        <w:tc>
          <w:tcPr>
            <w:tcW w:w="1701" w:type="dxa"/>
            <w:noWrap/>
            <w:vAlign w:val="center"/>
          </w:tcPr>
          <w:p w:rsidR="009B133B" w:rsidRPr="009B133B" w:rsidRDefault="009B133B" w:rsidP="009B133B">
            <w:pPr>
              <w:jc w:val="center"/>
              <w:rPr>
                <w:rFonts w:ascii="宋体" w:eastAsia="宋体" w:hAnsi="宋体"/>
                <w:szCs w:val="21"/>
              </w:rPr>
            </w:pPr>
            <w:r w:rsidRPr="009B133B">
              <w:rPr>
                <w:rFonts w:ascii="宋体" w:eastAsia="宋体" w:hAnsi="宋体"/>
                <w:szCs w:val="21"/>
              </w:rPr>
              <w:t>7,000,032.00</w:t>
            </w:r>
          </w:p>
        </w:tc>
        <w:tc>
          <w:tcPr>
            <w:tcW w:w="1134" w:type="dxa"/>
            <w:noWrap/>
            <w:vAlign w:val="center"/>
          </w:tcPr>
          <w:p w:rsidR="009B133B" w:rsidRPr="009B133B" w:rsidRDefault="009B133B" w:rsidP="00671154">
            <w:pPr>
              <w:widowControl/>
              <w:spacing w:line="360" w:lineRule="auto"/>
              <w:jc w:val="center"/>
              <w:rPr>
                <w:rFonts w:ascii="宋体" w:eastAsia="宋体" w:hAnsi="宋体"/>
                <w:szCs w:val="21"/>
              </w:rPr>
            </w:pPr>
            <w:r w:rsidRPr="009B133B">
              <w:rPr>
                <w:rFonts w:ascii="宋体" w:eastAsia="宋体" w:hAnsi="宋体"/>
                <w:szCs w:val="21"/>
              </w:rPr>
              <w:t>0</w:t>
            </w:r>
            <w:r w:rsidRPr="009B133B">
              <w:rPr>
                <w:rFonts w:ascii="宋体" w:eastAsia="宋体" w:hAnsi="宋体" w:hint="eastAsia"/>
                <w:szCs w:val="21"/>
              </w:rPr>
              <w:t>.</w:t>
            </w:r>
            <w:r w:rsidR="00671154">
              <w:rPr>
                <w:rFonts w:ascii="宋体" w:eastAsia="宋体" w:hAnsi="宋体"/>
                <w:szCs w:val="21"/>
              </w:rPr>
              <w:t>47</w:t>
            </w:r>
            <w:r w:rsidRPr="009B133B">
              <w:rPr>
                <w:rFonts w:ascii="宋体" w:eastAsia="宋体" w:hAnsi="宋体"/>
                <w:szCs w:val="21"/>
              </w:rPr>
              <w:t>%</w:t>
            </w:r>
          </w:p>
        </w:tc>
        <w:tc>
          <w:tcPr>
            <w:tcW w:w="1701" w:type="dxa"/>
            <w:noWrap/>
            <w:vAlign w:val="center"/>
          </w:tcPr>
          <w:p w:rsidR="009B133B" w:rsidRPr="009B133B" w:rsidRDefault="00671154" w:rsidP="009B133B">
            <w:pPr>
              <w:spacing w:line="360" w:lineRule="auto"/>
              <w:jc w:val="center"/>
              <w:rPr>
                <w:rFonts w:ascii="宋体" w:eastAsia="宋体" w:hAnsi="宋体"/>
                <w:szCs w:val="21"/>
              </w:rPr>
            </w:pPr>
            <w:r w:rsidRPr="00671154">
              <w:rPr>
                <w:rFonts w:ascii="宋体" w:eastAsia="宋体" w:hAnsi="宋体"/>
                <w:szCs w:val="21"/>
              </w:rPr>
              <w:t>7,191,186.72</w:t>
            </w:r>
          </w:p>
        </w:tc>
        <w:tc>
          <w:tcPr>
            <w:tcW w:w="1276" w:type="dxa"/>
            <w:noWrap/>
            <w:vAlign w:val="center"/>
          </w:tcPr>
          <w:p w:rsidR="009B133B" w:rsidRPr="009B133B" w:rsidRDefault="009B133B" w:rsidP="00671154">
            <w:pPr>
              <w:widowControl/>
              <w:spacing w:line="360" w:lineRule="auto"/>
              <w:jc w:val="center"/>
              <w:rPr>
                <w:rFonts w:ascii="宋体" w:eastAsia="宋体" w:hAnsi="宋体"/>
                <w:szCs w:val="21"/>
              </w:rPr>
            </w:pPr>
            <w:r w:rsidRPr="009B133B">
              <w:rPr>
                <w:rFonts w:ascii="宋体" w:eastAsia="宋体" w:hAnsi="宋体"/>
                <w:szCs w:val="21"/>
              </w:rPr>
              <w:t>0.</w:t>
            </w:r>
            <w:r w:rsidR="00671154">
              <w:rPr>
                <w:rFonts w:ascii="宋体" w:eastAsia="宋体" w:hAnsi="宋体"/>
                <w:szCs w:val="21"/>
              </w:rPr>
              <w:t>48</w:t>
            </w:r>
            <w:r w:rsidRPr="009B133B">
              <w:rPr>
                <w:rFonts w:ascii="宋体" w:eastAsia="宋体" w:hAnsi="宋体"/>
                <w:szCs w:val="21"/>
              </w:rPr>
              <w:t>%</w:t>
            </w:r>
          </w:p>
        </w:tc>
        <w:tc>
          <w:tcPr>
            <w:tcW w:w="914" w:type="dxa"/>
            <w:noWrap/>
            <w:vAlign w:val="center"/>
          </w:tcPr>
          <w:p w:rsidR="009B133B" w:rsidRPr="009B133B" w:rsidRDefault="009B133B" w:rsidP="009B133B">
            <w:pPr>
              <w:spacing w:line="360" w:lineRule="auto"/>
              <w:jc w:val="center"/>
              <w:rPr>
                <w:rFonts w:ascii="宋体" w:eastAsia="宋体" w:hAnsi="宋体"/>
                <w:szCs w:val="21"/>
              </w:rPr>
            </w:pPr>
            <w:r w:rsidRPr="009B133B">
              <w:rPr>
                <w:rFonts w:ascii="宋体" w:eastAsia="宋体" w:hAnsi="宋体"/>
                <w:szCs w:val="21"/>
              </w:rPr>
              <w:t>6个月</w:t>
            </w:r>
          </w:p>
        </w:tc>
      </w:tr>
      <w:tr w:rsidR="009B133B" w:rsidRPr="009B133B" w:rsidTr="009B133B">
        <w:trPr>
          <w:trHeight w:val="1476"/>
          <w:jc w:val="center"/>
        </w:trPr>
        <w:tc>
          <w:tcPr>
            <w:tcW w:w="1964" w:type="dxa"/>
            <w:vAlign w:val="center"/>
          </w:tcPr>
          <w:p w:rsidR="009B133B" w:rsidRPr="009B133B" w:rsidRDefault="00EE404A" w:rsidP="009B133B">
            <w:pPr>
              <w:spacing w:line="360" w:lineRule="auto"/>
              <w:jc w:val="center"/>
              <w:rPr>
                <w:rFonts w:ascii="宋体" w:eastAsia="宋体" w:hAnsi="宋体"/>
                <w:szCs w:val="21"/>
              </w:rPr>
            </w:pPr>
            <w:r w:rsidRPr="00EE404A">
              <w:rPr>
                <w:rFonts w:ascii="宋体" w:eastAsia="宋体" w:hAnsi="宋体" w:hint="eastAsia"/>
                <w:szCs w:val="21"/>
              </w:rPr>
              <w:t>国泰金盛回报混合型证券投资基金</w:t>
            </w:r>
          </w:p>
        </w:tc>
        <w:tc>
          <w:tcPr>
            <w:tcW w:w="1276" w:type="dxa"/>
            <w:noWrap/>
            <w:vAlign w:val="center"/>
          </w:tcPr>
          <w:p w:rsidR="009B133B" w:rsidRPr="009B133B" w:rsidRDefault="009B133B" w:rsidP="009B133B">
            <w:pPr>
              <w:jc w:val="center"/>
              <w:rPr>
                <w:rFonts w:ascii="宋体" w:eastAsia="宋体" w:hAnsi="宋体"/>
                <w:szCs w:val="21"/>
              </w:rPr>
            </w:pPr>
            <w:r w:rsidRPr="009B133B">
              <w:rPr>
                <w:rFonts w:ascii="宋体" w:eastAsia="宋体" w:hAnsi="宋体"/>
                <w:szCs w:val="21"/>
              </w:rPr>
              <w:t>32,051</w:t>
            </w:r>
          </w:p>
        </w:tc>
        <w:tc>
          <w:tcPr>
            <w:tcW w:w="1701" w:type="dxa"/>
            <w:noWrap/>
            <w:vAlign w:val="center"/>
          </w:tcPr>
          <w:p w:rsidR="009B133B" w:rsidRPr="009B133B" w:rsidRDefault="009B133B" w:rsidP="009B133B">
            <w:pPr>
              <w:jc w:val="center"/>
              <w:rPr>
                <w:rFonts w:ascii="宋体" w:eastAsia="宋体" w:hAnsi="宋体"/>
                <w:szCs w:val="21"/>
              </w:rPr>
            </w:pPr>
            <w:r w:rsidRPr="009B133B">
              <w:rPr>
                <w:rFonts w:ascii="宋体" w:eastAsia="宋体" w:hAnsi="宋体"/>
                <w:szCs w:val="21"/>
              </w:rPr>
              <w:t>2,499,978.00</w:t>
            </w:r>
          </w:p>
        </w:tc>
        <w:tc>
          <w:tcPr>
            <w:tcW w:w="1134" w:type="dxa"/>
            <w:noWrap/>
            <w:vAlign w:val="center"/>
          </w:tcPr>
          <w:p w:rsidR="009B133B" w:rsidRPr="009B133B" w:rsidRDefault="0000176D" w:rsidP="009B133B">
            <w:pPr>
              <w:widowControl/>
              <w:spacing w:line="360" w:lineRule="auto"/>
              <w:jc w:val="center"/>
              <w:rPr>
                <w:rFonts w:ascii="宋体" w:eastAsia="宋体" w:hAnsi="宋体"/>
                <w:szCs w:val="21"/>
              </w:rPr>
            </w:pPr>
            <w:r w:rsidRPr="0000176D">
              <w:rPr>
                <w:rFonts w:ascii="宋体" w:eastAsia="宋体" w:hAnsi="宋体"/>
                <w:szCs w:val="21"/>
              </w:rPr>
              <w:t>0.38%</w:t>
            </w:r>
          </w:p>
        </w:tc>
        <w:tc>
          <w:tcPr>
            <w:tcW w:w="1701" w:type="dxa"/>
            <w:noWrap/>
            <w:vAlign w:val="center"/>
          </w:tcPr>
          <w:p w:rsidR="009B133B" w:rsidRPr="009B133B" w:rsidRDefault="0000176D" w:rsidP="009B133B">
            <w:pPr>
              <w:spacing w:line="360" w:lineRule="auto"/>
              <w:jc w:val="center"/>
              <w:rPr>
                <w:rFonts w:ascii="宋体" w:eastAsia="宋体" w:hAnsi="宋体"/>
                <w:szCs w:val="21"/>
              </w:rPr>
            </w:pPr>
            <w:r w:rsidRPr="0000176D">
              <w:rPr>
                <w:rFonts w:ascii="宋体" w:eastAsia="宋体" w:hAnsi="宋体"/>
                <w:szCs w:val="21"/>
              </w:rPr>
              <w:t>2,568,246.63</w:t>
            </w:r>
          </w:p>
        </w:tc>
        <w:tc>
          <w:tcPr>
            <w:tcW w:w="1276" w:type="dxa"/>
            <w:noWrap/>
            <w:vAlign w:val="center"/>
          </w:tcPr>
          <w:p w:rsidR="009B133B" w:rsidRPr="009B133B" w:rsidRDefault="0000176D" w:rsidP="009B133B">
            <w:pPr>
              <w:widowControl/>
              <w:spacing w:line="360" w:lineRule="auto"/>
              <w:jc w:val="center"/>
              <w:rPr>
                <w:rFonts w:ascii="宋体" w:eastAsia="宋体" w:hAnsi="宋体"/>
                <w:szCs w:val="21"/>
              </w:rPr>
            </w:pPr>
            <w:r w:rsidRPr="0000176D">
              <w:rPr>
                <w:rFonts w:ascii="宋体" w:eastAsia="宋体" w:hAnsi="宋体"/>
                <w:szCs w:val="21"/>
              </w:rPr>
              <w:t>0.39%</w:t>
            </w:r>
          </w:p>
        </w:tc>
        <w:tc>
          <w:tcPr>
            <w:tcW w:w="914" w:type="dxa"/>
            <w:noWrap/>
            <w:vAlign w:val="center"/>
          </w:tcPr>
          <w:p w:rsidR="009B133B" w:rsidRPr="009B133B" w:rsidRDefault="0000176D" w:rsidP="009B133B">
            <w:pPr>
              <w:spacing w:line="360" w:lineRule="auto"/>
              <w:jc w:val="center"/>
              <w:rPr>
                <w:rFonts w:ascii="宋体" w:eastAsia="宋体" w:hAnsi="宋体"/>
                <w:szCs w:val="21"/>
              </w:rPr>
            </w:pPr>
            <w:r w:rsidRPr="0000176D">
              <w:rPr>
                <w:rFonts w:ascii="宋体" w:eastAsia="宋体" w:hAnsi="宋体"/>
                <w:szCs w:val="21"/>
              </w:rPr>
              <w:t>6个月</w:t>
            </w:r>
            <w:bookmarkStart w:id="0" w:name="_GoBack"/>
            <w:bookmarkEnd w:id="0"/>
          </w:p>
        </w:tc>
      </w:tr>
    </w:tbl>
    <w:p w:rsidR="001F64DB" w:rsidRPr="001873BD" w:rsidRDefault="00885706"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注：基金资产净值、账面价值为202</w:t>
      </w:r>
      <w:r w:rsidR="00324AE2">
        <w:rPr>
          <w:rFonts w:ascii="宋体" w:eastAsia="宋体" w:hAnsi="宋体" w:cs="Times New Roman"/>
          <w:color w:val="000000"/>
          <w:kern w:val="0"/>
          <w:sz w:val="24"/>
          <w:szCs w:val="24"/>
        </w:rPr>
        <w:t>6</w:t>
      </w:r>
      <w:r w:rsidRPr="001873BD">
        <w:rPr>
          <w:rFonts w:ascii="宋体" w:eastAsia="宋体" w:hAnsi="宋体" w:cs="Times New Roman"/>
          <w:color w:val="000000"/>
          <w:kern w:val="0"/>
          <w:sz w:val="24"/>
          <w:szCs w:val="24"/>
        </w:rPr>
        <w:t>年</w:t>
      </w:r>
      <w:r w:rsidR="00324AE2">
        <w:rPr>
          <w:rFonts w:ascii="宋体" w:eastAsia="宋体" w:hAnsi="宋体" w:cs="Times New Roman"/>
          <w:color w:val="000000"/>
          <w:kern w:val="0"/>
          <w:sz w:val="24"/>
          <w:szCs w:val="24"/>
        </w:rPr>
        <w:t>3</w:t>
      </w:r>
      <w:r w:rsidRPr="001873BD">
        <w:rPr>
          <w:rFonts w:ascii="宋体" w:eastAsia="宋体" w:hAnsi="宋体" w:cs="Times New Roman"/>
          <w:color w:val="000000"/>
          <w:kern w:val="0"/>
          <w:sz w:val="24"/>
          <w:szCs w:val="24"/>
        </w:rPr>
        <w:t>月</w:t>
      </w:r>
      <w:r w:rsidR="00942C88">
        <w:rPr>
          <w:rFonts w:ascii="宋体" w:eastAsia="宋体" w:hAnsi="宋体" w:cs="Times New Roman"/>
          <w:color w:val="000000"/>
          <w:kern w:val="0"/>
          <w:sz w:val="24"/>
          <w:szCs w:val="24"/>
        </w:rPr>
        <w:t>4</w:t>
      </w:r>
      <w:r w:rsidRPr="001873BD">
        <w:rPr>
          <w:rFonts w:ascii="宋体" w:eastAsia="宋体" w:hAnsi="宋体" w:cs="Times New Roman"/>
          <w:color w:val="000000"/>
          <w:kern w:val="0"/>
          <w:sz w:val="24"/>
          <w:szCs w:val="24"/>
        </w:rPr>
        <w:t>日数据。</w:t>
      </w:r>
    </w:p>
    <w:p w:rsidR="001F64DB" w:rsidRPr="001873BD" w:rsidRDefault="001F64DB"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投资者可登录本公司网站www.gtfund.com，或拨打客户服务电话400-888-8688咨询相关信息。</w:t>
      </w:r>
    </w:p>
    <w:p w:rsidR="001F64DB" w:rsidRPr="001873BD" w:rsidRDefault="00885706"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特此公告。</w:t>
      </w:r>
    </w:p>
    <w:p w:rsidR="001F64DB" w:rsidRPr="001873BD" w:rsidRDefault="001F64DB"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ind w:firstLineChars="200" w:firstLine="480"/>
        <w:jc w:val="righ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国泰基金管理有限公司</w:t>
      </w:r>
    </w:p>
    <w:p w:rsidR="001F64DB" w:rsidRPr="001873BD" w:rsidRDefault="00885706" w:rsidP="001873BD">
      <w:pPr>
        <w:autoSpaceDE w:val="0"/>
        <w:autoSpaceDN w:val="0"/>
        <w:adjustRightInd w:val="0"/>
        <w:spacing w:line="360" w:lineRule="auto"/>
        <w:ind w:firstLineChars="200" w:firstLine="480"/>
        <w:jc w:val="right"/>
        <w:rPr>
          <w:rFonts w:ascii="宋体" w:eastAsia="宋体" w:hAnsi="宋体"/>
          <w:sz w:val="24"/>
          <w:szCs w:val="24"/>
        </w:rPr>
      </w:pPr>
      <w:r w:rsidRPr="001873BD">
        <w:rPr>
          <w:rFonts w:ascii="宋体" w:eastAsia="宋体" w:hAnsi="宋体" w:cs="Times New Roman"/>
          <w:color w:val="000000"/>
          <w:kern w:val="0"/>
          <w:sz w:val="24"/>
          <w:szCs w:val="24"/>
        </w:rPr>
        <w:t>202</w:t>
      </w:r>
      <w:r w:rsidR="001E5292">
        <w:rPr>
          <w:rFonts w:ascii="宋体" w:eastAsia="宋体" w:hAnsi="宋体" w:cs="Times New Roman"/>
          <w:color w:val="000000"/>
          <w:kern w:val="0"/>
          <w:sz w:val="24"/>
          <w:szCs w:val="24"/>
        </w:rPr>
        <w:t>6</w:t>
      </w:r>
      <w:r w:rsidRPr="001873BD">
        <w:rPr>
          <w:rFonts w:ascii="宋体" w:eastAsia="宋体" w:hAnsi="宋体" w:cs="Times New Roman"/>
          <w:color w:val="000000"/>
          <w:kern w:val="0"/>
          <w:sz w:val="24"/>
          <w:szCs w:val="24"/>
        </w:rPr>
        <w:t>年</w:t>
      </w:r>
      <w:r w:rsidR="00973128">
        <w:rPr>
          <w:rFonts w:ascii="宋体" w:eastAsia="宋体" w:hAnsi="宋体" w:cs="Times New Roman"/>
          <w:color w:val="000000"/>
          <w:kern w:val="0"/>
          <w:sz w:val="24"/>
          <w:szCs w:val="24"/>
        </w:rPr>
        <w:t>3</w:t>
      </w:r>
      <w:r w:rsidRPr="001873BD">
        <w:rPr>
          <w:rFonts w:ascii="宋体" w:eastAsia="宋体" w:hAnsi="宋体" w:cs="Times New Roman"/>
          <w:color w:val="000000"/>
          <w:kern w:val="0"/>
          <w:sz w:val="24"/>
          <w:szCs w:val="24"/>
        </w:rPr>
        <w:t>月</w:t>
      </w:r>
      <w:r w:rsidR="00973128">
        <w:rPr>
          <w:rFonts w:ascii="宋体" w:eastAsia="宋体" w:hAnsi="宋体" w:cs="Times New Roman"/>
          <w:color w:val="000000"/>
          <w:kern w:val="0"/>
          <w:sz w:val="24"/>
          <w:szCs w:val="24"/>
        </w:rPr>
        <w:t>6</w:t>
      </w:r>
      <w:r w:rsidRPr="001873BD">
        <w:rPr>
          <w:rFonts w:ascii="宋体" w:eastAsia="宋体" w:hAnsi="宋体" w:cs="Times New Roman"/>
          <w:color w:val="000000"/>
          <w:kern w:val="0"/>
          <w:sz w:val="24"/>
          <w:szCs w:val="24"/>
        </w:rPr>
        <w:t>日</w:t>
      </w:r>
    </w:p>
    <w:sectPr w:rsidR="001F64DB" w:rsidRPr="001873BD" w:rsidSect="00F53D25">
      <w:pgSz w:w="11906" w:h="16838"/>
      <w:pgMar w:top="1418"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D48" w:rsidRDefault="00F85D48" w:rsidP="002E5037">
      <w:r>
        <w:separator/>
      </w:r>
    </w:p>
  </w:endnote>
  <w:endnote w:type="continuationSeparator" w:id="0">
    <w:p w:rsidR="00F85D48" w:rsidRDefault="00F85D48" w:rsidP="002E503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D48" w:rsidRDefault="00F85D48" w:rsidP="002E5037">
      <w:r>
        <w:separator/>
      </w:r>
    </w:p>
  </w:footnote>
  <w:footnote w:type="continuationSeparator" w:id="0">
    <w:p w:rsidR="00F85D48" w:rsidRDefault="00F85D48" w:rsidP="002E50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E2MzE0NjZjYjYyOTVmYTY0ZGU4NDFhMzk1OWM5ZTkifQ=="/>
  </w:docVars>
  <w:rsids>
    <w:rsidRoot w:val="003967A7"/>
    <w:rsid w:val="0000176D"/>
    <w:rsid w:val="00001E53"/>
    <w:rsid w:val="00003148"/>
    <w:rsid w:val="00007054"/>
    <w:rsid w:val="000145A2"/>
    <w:rsid w:val="0001785B"/>
    <w:rsid w:val="00020E99"/>
    <w:rsid w:val="00021328"/>
    <w:rsid w:val="0002214F"/>
    <w:rsid w:val="00022C67"/>
    <w:rsid w:val="0003631A"/>
    <w:rsid w:val="000425CB"/>
    <w:rsid w:val="0004765A"/>
    <w:rsid w:val="00050390"/>
    <w:rsid w:val="00055288"/>
    <w:rsid w:val="00071527"/>
    <w:rsid w:val="00083A9F"/>
    <w:rsid w:val="00092189"/>
    <w:rsid w:val="00092F13"/>
    <w:rsid w:val="0009527C"/>
    <w:rsid w:val="000B21D6"/>
    <w:rsid w:val="000B52F1"/>
    <w:rsid w:val="000C1DF6"/>
    <w:rsid w:val="000C1F5D"/>
    <w:rsid w:val="000D060B"/>
    <w:rsid w:val="000D2AC7"/>
    <w:rsid w:val="000D5645"/>
    <w:rsid w:val="000D5DD8"/>
    <w:rsid w:val="000E1D1C"/>
    <w:rsid w:val="000E1EEA"/>
    <w:rsid w:val="000E2A3D"/>
    <w:rsid w:val="000F109F"/>
    <w:rsid w:val="000F120E"/>
    <w:rsid w:val="000F6BF4"/>
    <w:rsid w:val="000F752C"/>
    <w:rsid w:val="0010194A"/>
    <w:rsid w:val="00104472"/>
    <w:rsid w:val="0010523F"/>
    <w:rsid w:val="0011778B"/>
    <w:rsid w:val="0012003A"/>
    <w:rsid w:val="00120D63"/>
    <w:rsid w:val="00124255"/>
    <w:rsid w:val="00131FCF"/>
    <w:rsid w:val="001363F2"/>
    <w:rsid w:val="001455FC"/>
    <w:rsid w:val="00151C99"/>
    <w:rsid w:val="00172A65"/>
    <w:rsid w:val="00182D2B"/>
    <w:rsid w:val="001873B1"/>
    <w:rsid w:val="001873BD"/>
    <w:rsid w:val="001A0601"/>
    <w:rsid w:val="001A4DD6"/>
    <w:rsid w:val="001B02CD"/>
    <w:rsid w:val="001B1897"/>
    <w:rsid w:val="001C2F26"/>
    <w:rsid w:val="001C3CC0"/>
    <w:rsid w:val="001C58F7"/>
    <w:rsid w:val="001E10A5"/>
    <w:rsid w:val="001E37AD"/>
    <w:rsid w:val="001E5292"/>
    <w:rsid w:val="001E6487"/>
    <w:rsid w:val="001E7849"/>
    <w:rsid w:val="001F1DAF"/>
    <w:rsid w:val="001F64DB"/>
    <w:rsid w:val="002058D6"/>
    <w:rsid w:val="00205C70"/>
    <w:rsid w:val="00213DA7"/>
    <w:rsid w:val="00226FFC"/>
    <w:rsid w:val="00230BBC"/>
    <w:rsid w:val="00232AC5"/>
    <w:rsid w:val="002334A9"/>
    <w:rsid w:val="00251956"/>
    <w:rsid w:val="00253F90"/>
    <w:rsid w:val="00255E7C"/>
    <w:rsid w:val="00260A19"/>
    <w:rsid w:val="002641E2"/>
    <w:rsid w:val="00267F19"/>
    <w:rsid w:val="00272DBA"/>
    <w:rsid w:val="00277B95"/>
    <w:rsid w:val="00277C72"/>
    <w:rsid w:val="00277D29"/>
    <w:rsid w:val="00280B3E"/>
    <w:rsid w:val="00283D30"/>
    <w:rsid w:val="00284707"/>
    <w:rsid w:val="00285508"/>
    <w:rsid w:val="0028785A"/>
    <w:rsid w:val="002911CA"/>
    <w:rsid w:val="002914B0"/>
    <w:rsid w:val="00293210"/>
    <w:rsid w:val="002937B7"/>
    <w:rsid w:val="002A1C94"/>
    <w:rsid w:val="002A2EEC"/>
    <w:rsid w:val="002A672F"/>
    <w:rsid w:val="002B59CE"/>
    <w:rsid w:val="002E5037"/>
    <w:rsid w:val="002F05EF"/>
    <w:rsid w:val="003130F0"/>
    <w:rsid w:val="00314D9F"/>
    <w:rsid w:val="0032055B"/>
    <w:rsid w:val="00324AE2"/>
    <w:rsid w:val="003317EA"/>
    <w:rsid w:val="0033450C"/>
    <w:rsid w:val="00334CC0"/>
    <w:rsid w:val="00340F70"/>
    <w:rsid w:val="003456F3"/>
    <w:rsid w:val="00345D98"/>
    <w:rsid w:val="00346B31"/>
    <w:rsid w:val="00352626"/>
    <w:rsid w:val="00353F5E"/>
    <w:rsid w:val="00357577"/>
    <w:rsid w:val="00360471"/>
    <w:rsid w:val="00376915"/>
    <w:rsid w:val="0037732B"/>
    <w:rsid w:val="00380A16"/>
    <w:rsid w:val="003815B4"/>
    <w:rsid w:val="0039338A"/>
    <w:rsid w:val="00393E8A"/>
    <w:rsid w:val="00395C86"/>
    <w:rsid w:val="003967A7"/>
    <w:rsid w:val="003969ED"/>
    <w:rsid w:val="003A37B1"/>
    <w:rsid w:val="003A4505"/>
    <w:rsid w:val="003A5E95"/>
    <w:rsid w:val="003B3047"/>
    <w:rsid w:val="003B3185"/>
    <w:rsid w:val="003B4A4E"/>
    <w:rsid w:val="003B7FBB"/>
    <w:rsid w:val="003C3354"/>
    <w:rsid w:val="003C639D"/>
    <w:rsid w:val="003C6E6E"/>
    <w:rsid w:val="003D17C3"/>
    <w:rsid w:val="003D2675"/>
    <w:rsid w:val="003E25FA"/>
    <w:rsid w:val="003E3820"/>
    <w:rsid w:val="003E6446"/>
    <w:rsid w:val="003F140F"/>
    <w:rsid w:val="003F3D15"/>
    <w:rsid w:val="003F4D8A"/>
    <w:rsid w:val="003F4FF4"/>
    <w:rsid w:val="003F6332"/>
    <w:rsid w:val="004016A5"/>
    <w:rsid w:val="00402E50"/>
    <w:rsid w:val="00407C2E"/>
    <w:rsid w:val="00407FA0"/>
    <w:rsid w:val="0041054C"/>
    <w:rsid w:val="00410D10"/>
    <w:rsid w:val="00413504"/>
    <w:rsid w:val="00413844"/>
    <w:rsid w:val="00415E0E"/>
    <w:rsid w:val="0042133C"/>
    <w:rsid w:val="00426A0C"/>
    <w:rsid w:val="00442967"/>
    <w:rsid w:val="00445E53"/>
    <w:rsid w:val="00447861"/>
    <w:rsid w:val="004513CE"/>
    <w:rsid w:val="00451929"/>
    <w:rsid w:val="00454BB1"/>
    <w:rsid w:val="00454EBE"/>
    <w:rsid w:val="0046011A"/>
    <w:rsid w:val="00461307"/>
    <w:rsid w:val="00461685"/>
    <w:rsid w:val="00464A56"/>
    <w:rsid w:val="00464A7E"/>
    <w:rsid w:val="00465971"/>
    <w:rsid w:val="00473C9A"/>
    <w:rsid w:val="0047710D"/>
    <w:rsid w:val="00480D9D"/>
    <w:rsid w:val="00481503"/>
    <w:rsid w:val="004818B7"/>
    <w:rsid w:val="00491655"/>
    <w:rsid w:val="00493302"/>
    <w:rsid w:val="00497D55"/>
    <w:rsid w:val="004A1822"/>
    <w:rsid w:val="004A6514"/>
    <w:rsid w:val="004B4AE1"/>
    <w:rsid w:val="004B5292"/>
    <w:rsid w:val="004B6266"/>
    <w:rsid w:val="004C228D"/>
    <w:rsid w:val="004C2AF7"/>
    <w:rsid w:val="004C5E96"/>
    <w:rsid w:val="004C7944"/>
    <w:rsid w:val="004D4E26"/>
    <w:rsid w:val="004E3F85"/>
    <w:rsid w:val="004F1174"/>
    <w:rsid w:val="004F1A54"/>
    <w:rsid w:val="004F2273"/>
    <w:rsid w:val="004F348B"/>
    <w:rsid w:val="004F5902"/>
    <w:rsid w:val="004F7600"/>
    <w:rsid w:val="004F7936"/>
    <w:rsid w:val="0050445B"/>
    <w:rsid w:val="0050516F"/>
    <w:rsid w:val="0050661C"/>
    <w:rsid w:val="00507459"/>
    <w:rsid w:val="00507A97"/>
    <w:rsid w:val="00512D95"/>
    <w:rsid w:val="00514F18"/>
    <w:rsid w:val="00516B02"/>
    <w:rsid w:val="00516F7E"/>
    <w:rsid w:val="00524A84"/>
    <w:rsid w:val="00530EAE"/>
    <w:rsid w:val="00532534"/>
    <w:rsid w:val="00532549"/>
    <w:rsid w:val="0053643C"/>
    <w:rsid w:val="0054116F"/>
    <w:rsid w:val="00542A10"/>
    <w:rsid w:val="00542D9E"/>
    <w:rsid w:val="00543549"/>
    <w:rsid w:val="005451BF"/>
    <w:rsid w:val="00545857"/>
    <w:rsid w:val="00547705"/>
    <w:rsid w:val="00547EEE"/>
    <w:rsid w:val="005707A0"/>
    <w:rsid w:val="00577B39"/>
    <w:rsid w:val="00583FAF"/>
    <w:rsid w:val="005A2648"/>
    <w:rsid w:val="005A4C61"/>
    <w:rsid w:val="005A4F53"/>
    <w:rsid w:val="005C1D55"/>
    <w:rsid w:val="005C402C"/>
    <w:rsid w:val="005C67F9"/>
    <w:rsid w:val="005D03AD"/>
    <w:rsid w:val="005E4363"/>
    <w:rsid w:val="005E441A"/>
    <w:rsid w:val="005E56F3"/>
    <w:rsid w:val="005F0CC6"/>
    <w:rsid w:val="005F6E17"/>
    <w:rsid w:val="00604330"/>
    <w:rsid w:val="00604C88"/>
    <w:rsid w:val="006107BA"/>
    <w:rsid w:val="00611825"/>
    <w:rsid w:val="006168BA"/>
    <w:rsid w:val="006227BE"/>
    <w:rsid w:val="0062698F"/>
    <w:rsid w:val="00630B7F"/>
    <w:rsid w:val="0063512A"/>
    <w:rsid w:val="00636E63"/>
    <w:rsid w:val="00637B31"/>
    <w:rsid w:val="00641934"/>
    <w:rsid w:val="00645663"/>
    <w:rsid w:val="00654346"/>
    <w:rsid w:val="00664E93"/>
    <w:rsid w:val="00666791"/>
    <w:rsid w:val="00671154"/>
    <w:rsid w:val="00673474"/>
    <w:rsid w:val="00675ACE"/>
    <w:rsid w:val="006767F8"/>
    <w:rsid w:val="00684719"/>
    <w:rsid w:val="00693DC5"/>
    <w:rsid w:val="006A73D4"/>
    <w:rsid w:val="006B04EE"/>
    <w:rsid w:val="006B33B1"/>
    <w:rsid w:val="006B49B5"/>
    <w:rsid w:val="006B557F"/>
    <w:rsid w:val="006B75B2"/>
    <w:rsid w:val="006C5933"/>
    <w:rsid w:val="006D03F0"/>
    <w:rsid w:val="006D0819"/>
    <w:rsid w:val="006D259C"/>
    <w:rsid w:val="006D2CA7"/>
    <w:rsid w:val="006E0FB7"/>
    <w:rsid w:val="006E1A65"/>
    <w:rsid w:val="006F0190"/>
    <w:rsid w:val="006F2210"/>
    <w:rsid w:val="006F6A97"/>
    <w:rsid w:val="006F6C4D"/>
    <w:rsid w:val="007023A2"/>
    <w:rsid w:val="00705D2F"/>
    <w:rsid w:val="00706F51"/>
    <w:rsid w:val="00710A88"/>
    <w:rsid w:val="00724FE6"/>
    <w:rsid w:val="00726AF7"/>
    <w:rsid w:val="00733D06"/>
    <w:rsid w:val="007521EE"/>
    <w:rsid w:val="00752640"/>
    <w:rsid w:val="007618EE"/>
    <w:rsid w:val="00765777"/>
    <w:rsid w:val="00767CC6"/>
    <w:rsid w:val="00770ABB"/>
    <w:rsid w:val="00772F55"/>
    <w:rsid w:val="007732A4"/>
    <w:rsid w:val="00776821"/>
    <w:rsid w:val="0078205F"/>
    <w:rsid w:val="0079639C"/>
    <w:rsid w:val="007B00B9"/>
    <w:rsid w:val="007B0E4B"/>
    <w:rsid w:val="007B1392"/>
    <w:rsid w:val="007B2EE7"/>
    <w:rsid w:val="007B4191"/>
    <w:rsid w:val="007B599C"/>
    <w:rsid w:val="007B64CC"/>
    <w:rsid w:val="007B6704"/>
    <w:rsid w:val="007D0547"/>
    <w:rsid w:val="007D234B"/>
    <w:rsid w:val="007D70DD"/>
    <w:rsid w:val="007F0AA3"/>
    <w:rsid w:val="007F0C37"/>
    <w:rsid w:val="00813A1D"/>
    <w:rsid w:val="008178ED"/>
    <w:rsid w:val="00820124"/>
    <w:rsid w:val="00820A4E"/>
    <w:rsid w:val="0083616F"/>
    <w:rsid w:val="00846852"/>
    <w:rsid w:val="00851E81"/>
    <w:rsid w:val="00851F26"/>
    <w:rsid w:val="00856E8E"/>
    <w:rsid w:val="00865366"/>
    <w:rsid w:val="0087019C"/>
    <w:rsid w:val="00871D7A"/>
    <w:rsid w:val="00872B5D"/>
    <w:rsid w:val="00882D54"/>
    <w:rsid w:val="008856B4"/>
    <w:rsid w:val="00885706"/>
    <w:rsid w:val="00885E01"/>
    <w:rsid w:val="00892A09"/>
    <w:rsid w:val="00895D52"/>
    <w:rsid w:val="0089729E"/>
    <w:rsid w:val="008977D6"/>
    <w:rsid w:val="008A1674"/>
    <w:rsid w:val="008A3151"/>
    <w:rsid w:val="008A483B"/>
    <w:rsid w:val="008C12A8"/>
    <w:rsid w:val="008C1C95"/>
    <w:rsid w:val="008D389B"/>
    <w:rsid w:val="008D4A4F"/>
    <w:rsid w:val="008D61D8"/>
    <w:rsid w:val="008E2B01"/>
    <w:rsid w:val="008E3D0B"/>
    <w:rsid w:val="008F08F5"/>
    <w:rsid w:val="008F589E"/>
    <w:rsid w:val="009008DF"/>
    <w:rsid w:val="009051A0"/>
    <w:rsid w:val="009112D9"/>
    <w:rsid w:val="00912FF7"/>
    <w:rsid w:val="00915F6B"/>
    <w:rsid w:val="00921059"/>
    <w:rsid w:val="009249D9"/>
    <w:rsid w:val="00926E3B"/>
    <w:rsid w:val="00931180"/>
    <w:rsid w:val="009321ED"/>
    <w:rsid w:val="00932317"/>
    <w:rsid w:val="00935304"/>
    <w:rsid w:val="009425DA"/>
    <w:rsid w:val="00942C88"/>
    <w:rsid w:val="0095216B"/>
    <w:rsid w:val="009539CE"/>
    <w:rsid w:val="0096676A"/>
    <w:rsid w:val="00966790"/>
    <w:rsid w:val="009726A5"/>
    <w:rsid w:val="00973128"/>
    <w:rsid w:val="00973C9C"/>
    <w:rsid w:val="00980D7A"/>
    <w:rsid w:val="00982AF3"/>
    <w:rsid w:val="00990006"/>
    <w:rsid w:val="00990E05"/>
    <w:rsid w:val="0099202B"/>
    <w:rsid w:val="00993B4D"/>
    <w:rsid w:val="00995665"/>
    <w:rsid w:val="009A153C"/>
    <w:rsid w:val="009A30F9"/>
    <w:rsid w:val="009A347B"/>
    <w:rsid w:val="009A7DCE"/>
    <w:rsid w:val="009B133B"/>
    <w:rsid w:val="009B277B"/>
    <w:rsid w:val="009B2E81"/>
    <w:rsid w:val="009D2E6A"/>
    <w:rsid w:val="009D6763"/>
    <w:rsid w:val="009E58C6"/>
    <w:rsid w:val="009F584D"/>
    <w:rsid w:val="009F5A90"/>
    <w:rsid w:val="00A0100F"/>
    <w:rsid w:val="00A02296"/>
    <w:rsid w:val="00A025BE"/>
    <w:rsid w:val="00A02C2F"/>
    <w:rsid w:val="00A054F9"/>
    <w:rsid w:val="00A1380B"/>
    <w:rsid w:val="00A276A0"/>
    <w:rsid w:val="00A30AF3"/>
    <w:rsid w:val="00A3796C"/>
    <w:rsid w:val="00A4009A"/>
    <w:rsid w:val="00A444FB"/>
    <w:rsid w:val="00A44D46"/>
    <w:rsid w:val="00A46238"/>
    <w:rsid w:val="00A5678B"/>
    <w:rsid w:val="00A62A39"/>
    <w:rsid w:val="00A67E9D"/>
    <w:rsid w:val="00A71C18"/>
    <w:rsid w:val="00A80F7B"/>
    <w:rsid w:val="00A8784A"/>
    <w:rsid w:val="00A87C1D"/>
    <w:rsid w:val="00A904F6"/>
    <w:rsid w:val="00A93FAA"/>
    <w:rsid w:val="00AA48DA"/>
    <w:rsid w:val="00AB09AA"/>
    <w:rsid w:val="00AB18E1"/>
    <w:rsid w:val="00AB60F0"/>
    <w:rsid w:val="00AC012A"/>
    <w:rsid w:val="00AC7847"/>
    <w:rsid w:val="00AD523A"/>
    <w:rsid w:val="00AD5B77"/>
    <w:rsid w:val="00AD6142"/>
    <w:rsid w:val="00AE2F16"/>
    <w:rsid w:val="00AF16C1"/>
    <w:rsid w:val="00AF7E82"/>
    <w:rsid w:val="00B00EF2"/>
    <w:rsid w:val="00B04D93"/>
    <w:rsid w:val="00B10311"/>
    <w:rsid w:val="00B10821"/>
    <w:rsid w:val="00B14A08"/>
    <w:rsid w:val="00B20359"/>
    <w:rsid w:val="00B20605"/>
    <w:rsid w:val="00B242DA"/>
    <w:rsid w:val="00B30840"/>
    <w:rsid w:val="00B3406C"/>
    <w:rsid w:val="00B41102"/>
    <w:rsid w:val="00B52041"/>
    <w:rsid w:val="00B53A01"/>
    <w:rsid w:val="00B545E7"/>
    <w:rsid w:val="00B55D34"/>
    <w:rsid w:val="00B56199"/>
    <w:rsid w:val="00B5673E"/>
    <w:rsid w:val="00B57DAE"/>
    <w:rsid w:val="00B64433"/>
    <w:rsid w:val="00B64DBB"/>
    <w:rsid w:val="00B66D09"/>
    <w:rsid w:val="00B73168"/>
    <w:rsid w:val="00B90717"/>
    <w:rsid w:val="00B926B8"/>
    <w:rsid w:val="00B9671F"/>
    <w:rsid w:val="00BA158B"/>
    <w:rsid w:val="00BB6D1A"/>
    <w:rsid w:val="00BB7C87"/>
    <w:rsid w:val="00BC1568"/>
    <w:rsid w:val="00BC3C94"/>
    <w:rsid w:val="00BC3CEE"/>
    <w:rsid w:val="00BD03A4"/>
    <w:rsid w:val="00BD2F00"/>
    <w:rsid w:val="00BD4452"/>
    <w:rsid w:val="00BE2BD6"/>
    <w:rsid w:val="00BE4ED6"/>
    <w:rsid w:val="00BE6E93"/>
    <w:rsid w:val="00BF2845"/>
    <w:rsid w:val="00C046A5"/>
    <w:rsid w:val="00C10284"/>
    <w:rsid w:val="00C12D3C"/>
    <w:rsid w:val="00C14C7E"/>
    <w:rsid w:val="00C15E81"/>
    <w:rsid w:val="00C20E30"/>
    <w:rsid w:val="00C230E1"/>
    <w:rsid w:val="00C23A0F"/>
    <w:rsid w:val="00C26ECD"/>
    <w:rsid w:val="00C27F12"/>
    <w:rsid w:val="00C27F7E"/>
    <w:rsid w:val="00C303B0"/>
    <w:rsid w:val="00C4117A"/>
    <w:rsid w:val="00C4685E"/>
    <w:rsid w:val="00C666A1"/>
    <w:rsid w:val="00C77888"/>
    <w:rsid w:val="00C804DC"/>
    <w:rsid w:val="00C83039"/>
    <w:rsid w:val="00C83F94"/>
    <w:rsid w:val="00C85D27"/>
    <w:rsid w:val="00C86524"/>
    <w:rsid w:val="00C87122"/>
    <w:rsid w:val="00C96290"/>
    <w:rsid w:val="00C976BF"/>
    <w:rsid w:val="00CA0183"/>
    <w:rsid w:val="00CA77B0"/>
    <w:rsid w:val="00CB624E"/>
    <w:rsid w:val="00CC6FE8"/>
    <w:rsid w:val="00CD4598"/>
    <w:rsid w:val="00CD5745"/>
    <w:rsid w:val="00CD748F"/>
    <w:rsid w:val="00CD7DB4"/>
    <w:rsid w:val="00CE2181"/>
    <w:rsid w:val="00CE2911"/>
    <w:rsid w:val="00CE65DD"/>
    <w:rsid w:val="00CF6EC3"/>
    <w:rsid w:val="00D00B56"/>
    <w:rsid w:val="00D012A2"/>
    <w:rsid w:val="00D13B01"/>
    <w:rsid w:val="00D1619B"/>
    <w:rsid w:val="00D204CC"/>
    <w:rsid w:val="00D264D5"/>
    <w:rsid w:val="00D30CB4"/>
    <w:rsid w:val="00D30E3F"/>
    <w:rsid w:val="00D3210B"/>
    <w:rsid w:val="00D322D2"/>
    <w:rsid w:val="00D42164"/>
    <w:rsid w:val="00D44932"/>
    <w:rsid w:val="00D44DC3"/>
    <w:rsid w:val="00D510F5"/>
    <w:rsid w:val="00D53F33"/>
    <w:rsid w:val="00D53FA6"/>
    <w:rsid w:val="00D626C0"/>
    <w:rsid w:val="00D6353F"/>
    <w:rsid w:val="00D66E11"/>
    <w:rsid w:val="00D677CD"/>
    <w:rsid w:val="00D67DE1"/>
    <w:rsid w:val="00D70426"/>
    <w:rsid w:val="00D71AF1"/>
    <w:rsid w:val="00D750E6"/>
    <w:rsid w:val="00D7630C"/>
    <w:rsid w:val="00D76B8B"/>
    <w:rsid w:val="00D77F76"/>
    <w:rsid w:val="00D800C8"/>
    <w:rsid w:val="00D81F03"/>
    <w:rsid w:val="00D8294F"/>
    <w:rsid w:val="00D83039"/>
    <w:rsid w:val="00D83090"/>
    <w:rsid w:val="00D870FE"/>
    <w:rsid w:val="00D876D3"/>
    <w:rsid w:val="00D9175E"/>
    <w:rsid w:val="00DA572F"/>
    <w:rsid w:val="00DA6AD0"/>
    <w:rsid w:val="00DB18FF"/>
    <w:rsid w:val="00DB21EE"/>
    <w:rsid w:val="00DB429F"/>
    <w:rsid w:val="00DB6078"/>
    <w:rsid w:val="00DC2F5B"/>
    <w:rsid w:val="00DC60E7"/>
    <w:rsid w:val="00DE0112"/>
    <w:rsid w:val="00DE64EF"/>
    <w:rsid w:val="00DE73DC"/>
    <w:rsid w:val="00DF2B0D"/>
    <w:rsid w:val="00DF3381"/>
    <w:rsid w:val="00DF6438"/>
    <w:rsid w:val="00DF6BD1"/>
    <w:rsid w:val="00E008E1"/>
    <w:rsid w:val="00E02027"/>
    <w:rsid w:val="00E02487"/>
    <w:rsid w:val="00E04DDF"/>
    <w:rsid w:val="00E05E4D"/>
    <w:rsid w:val="00E06D60"/>
    <w:rsid w:val="00E1451E"/>
    <w:rsid w:val="00E2120D"/>
    <w:rsid w:val="00E21A0E"/>
    <w:rsid w:val="00E22C45"/>
    <w:rsid w:val="00E2746E"/>
    <w:rsid w:val="00E30FC3"/>
    <w:rsid w:val="00E311A2"/>
    <w:rsid w:val="00E31308"/>
    <w:rsid w:val="00E31BCC"/>
    <w:rsid w:val="00E4507E"/>
    <w:rsid w:val="00E520E5"/>
    <w:rsid w:val="00E568D0"/>
    <w:rsid w:val="00E576E0"/>
    <w:rsid w:val="00E63814"/>
    <w:rsid w:val="00E66870"/>
    <w:rsid w:val="00E70BF2"/>
    <w:rsid w:val="00E73352"/>
    <w:rsid w:val="00E86172"/>
    <w:rsid w:val="00E9566B"/>
    <w:rsid w:val="00EA35EA"/>
    <w:rsid w:val="00EA3668"/>
    <w:rsid w:val="00EA6423"/>
    <w:rsid w:val="00EB1B2B"/>
    <w:rsid w:val="00EC048B"/>
    <w:rsid w:val="00EC3DD0"/>
    <w:rsid w:val="00EC5E44"/>
    <w:rsid w:val="00EE3AC8"/>
    <w:rsid w:val="00EE404A"/>
    <w:rsid w:val="00EE4EF1"/>
    <w:rsid w:val="00EE6C6A"/>
    <w:rsid w:val="00F03BC3"/>
    <w:rsid w:val="00F05301"/>
    <w:rsid w:val="00F06C87"/>
    <w:rsid w:val="00F16C74"/>
    <w:rsid w:val="00F20454"/>
    <w:rsid w:val="00F21103"/>
    <w:rsid w:val="00F22B37"/>
    <w:rsid w:val="00F26A81"/>
    <w:rsid w:val="00F27340"/>
    <w:rsid w:val="00F366E1"/>
    <w:rsid w:val="00F47183"/>
    <w:rsid w:val="00F52A05"/>
    <w:rsid w:val="00F534E1"/>
    <w:rsid w:val="00F53D25"/>
    <w:rsid w:val="00F57F45"/>
    <w:rsid w:val="00F617AA"/>
    <w:rsid w:val="00F63F99"/>
    <w:rsid w:val="00F70E6F"/>
    <w:rsid w:val="00F72A8B"/>
    <w:rsid w:val="00F75C78"/>
    <w:rsid w:val="00F833A6"/>
    <w:rsid w:val="00F85D48"/>
    <w:rsid w:val="00F85E2B"/>
    <w:rsid w:val="00F87123"/>
    <w:rsid w:val="00FA059E"/>
    <w:rsid w:val="00FA73B7"/>
    <w:rsid w:val="00FB1801"/>
    <w:rsid w:val="00FB46EB"/>
    <w:rsid w:val="00FB4AAE"/>
    <w:rsid w:val="00FC0B34"/>
    <w:rsid w:val="00FD1EF2"/>
    <w:rsid w:val="00FD562B"/>
    <w:rsid w:val="00FD6142"/>
    <w:rsid w:val="00FE1FE9"/>
    <w:rsid w:val="00FE3F58"/>
    <w:rsid w:val="00FE604D"/>
    <w:rsid w:val="00FF4B73"/>
    <w:rsid w:val="2D5C3E36"/>
    <w:rsid w:val="35E7390E"/>
    <w:rsid w:val="57D305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D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3D25"/>
    <w:rPr>
      <w:sz w:val="18"/>
      <w:szCs w:val="18"/>
    </w:rPr>
  </w:style>
  <w:style w:type="paragraph" w:styleId="a4">
    <w:name w:val="footer"/>
    <w:basedOn w:val="a"/>
    <w:link w:val="Char0"/>
    <w:uiPriority w:val="99"/>
    <w:unhideWhenUsed/>
    <w:qFormat/>
    <w:rsid w:val="00F53D2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53D2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rsid w:val="00F53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F53D25"/>
    <w:rPr>
      <w:sz w:val="18"/>
      <w:szCs w:val="18"/>
    </w:rPr>
  </w:style>
  <w:style w:type="character" w:customStyle="1" w:styleId="Char0">
    <w:name w:val="页脚 Char"/>
    <w:basedOn w:val="a0"/>
    <w:link w:val="a4"/>
    <w:uiPriority w:val="99"/>
    <w:rsid w:val="00F53D25"/>
    <w:rPr>
      <w:sz w:val="18"/>
      <w:szCs w:val="18"/>
    </w:rPr>
  </w:style>
  <w:style w:type="character" w:customStyle="1" w:styleId="Char">
    <w:name w:val="批注框文本 Char"/>
    <w:basedOn w:val="a0"/>
    <w:link w:val="a3"/>
    <w:uiPriority w:val="99"/>
    <w:semiHidden/>
    <w:rsid w:val="00F53D25"/>
    <w:rPr>
      <w:sz w:val="18"/>
      <w:szCs w:val="18"/>
    </w:rPr>
  </w:style>
  <w:style w:type="paragraph" w:customStyle="1" w:styleId="1">
    <w:name w:val="修订1"/>
    <w:hidden/>
    <w:uiPriority w:val="99"/>
    <w:semiHidden/>
    <w:rsid w:val="00F53D25"/>
    <w:rPr>
      <w:kern w:val="2"/>
      <w:sz w:val="21"/>
      <w:szCs w:val="22"/>
    </w:rPr>
  </w:style>
</w:styles>
</file>

<file path=word/webSettings.xml><?xml version="1.0" encoding="utf-8"?>
<w:webSettings xmlns:r="http://schemas.openxmlformats.org/officeDocument/2006/relationships" xmlns:w="http://schemas.openxmlformats.org/wordprocessingml/2006/main">
  <w:divs>
    <w:div w:id="623464739">
      <w:bodyDiv w:val="1"/>
      <w:marLeft w:val="0"/>
      <w:marRight w:val="0"/>
      <w:marTop w:val="0"/>
      <w:marBottom w:val="0"/>
      <w:divBdr>
        <w:top w:val="none" w:sz="0" w:space="0" w:color="auto"/>
        <w:left w:val="none" w:sz="0" w:space="0" w:color="auto"/>
        <w:bottom w:val="none" w:sz="0" w:space="0" w:color="auto"/>
        <w:right w:val="none" w:sz="0" w:space="0" w:color="auto"/>
      </w:divBdr>
    </w:div>
    <w:div w:id="211238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160B-A03D-411C-87AF-6E9FFB42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4</DocSecurity>
  <Lines>4</Lines>
  <Paragraphs>1</Paragraphs>
  <ScaleCrop>false</ScaleCrop>
  <Company>Microsoft</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王丹</dc:creator>
  <cp:lastModifiedBy>ZHONGM</cp:lastModifiedBy>
  <cp:revision>2</cp:revision>
  <cp:lastPrinted>2020-08-14T05:28:00Z</cp:lastPrinted>
  <dcterms:created xsi:type="dcterms:W3CDTF">2026-03-05T16:00:00Z</dcterms:created>
  <dcterms:modified xsi:type="dcterms:W3CDTF">2026-03-05T16:00:00Z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D83D3629847A441FA2EB32A351ED6688_12</vt:lpwstr>
  </property>
</Properties>
</file>