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22529B">
      <w:pPr>
        <w:widowControl/>
        <w:jc w:val="center"/>
        <w:rPr>
          <w:rFonts w:eastAsiaTheme="minorEastAsia"/>
          <w:b/>
          <w:kern w:val="0"/>
          <w:sz w:val="30"/>
          <w:szCs w:val="30"/>
        </w:rPr>
      </w:pPr>
      <w:r>
        <w:rPr>
          <w:rFonts w:eastAsiaTheme="minorEastAsia"/>
          <w:b/>
          <w:kern w:val="0"/>
          <w:sz w:val="30"/>
          <w:szCs w:val="30"/>
        </w:rPr>
        <w:t>易方达信息行业精选股票型证券投资基金分红公告</w:t>
      </w:r>
    </w:p>
    <w:p w:rsidR="003F0B40" w:rsidRDefault="0022529B">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2026</w:t>
      </w:r>
      <w:r>
        <w:rPr>
          <w:rFonts w:eastAsiaTheme="minorEastAsia"/>
          <w:b/>
          <w:color w:val="000000"/>
          <w:sz w:val="24"/>
          <w:szCs w:val="24"/>
        </w:rPr>
        <w:t>年</w:t>
      </w:r>
      <w:r>
        <w:rPr>
          <w:rFonts w:eastAsiaTheme="minorEastAsia"/>
          <w:b/>
          <w:color w:val="000000"/>
          <w:sz w:val="24"/>
          <w:szCs w:val="24"/>
        </w:rPr>
        <w:t>3</w:t>
      </w:r>
      <w:r>
        <w:rPr>
          <w:rFonts w:eastAsiaTheme="minorEastAsia"/>
          <w:b/>
          <w:color w:val="000000"/>
          <w:sz w:val="24"/>
          <w:szCs w:val="24"/>
        </w:rPr>
        <w:t>月</w:t>
      </w:r>
      <w:r>
        <w:rPr>
          <w:rFonts w:eastAsiaTheme="minorEastAsia"/>
          <w:b/>
          <w:color w:val="000000"/>
          <w:sz w:val="24"/>
          <w:szCs w:val="24"/>
        </w:rPr>
        <w:t>6</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22529B">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易方达信息行业精选股票型证券投资基金</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易方达信息行业精选股票</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010013</w:t>
            </w:r>
          </w:p>
        </w:tc>
      </w:tr>
      <w:tr w:rsidR="006A4C62">
        <w:trPr>
          <w:jc w:val="center"/>
        </w:trPr>
        <w:tc>
          <w:tcPr>
            <w:tcW w:w="4194" w:type="dxa"/>
            <w:gridSpan w:val="2"/>
            <w:vAlign w:val="center"/>
          </w:tcPr>
          <w:p w:rsidR="003F0B40" w:rsidRDefault="0022529B">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2020</w:t>
            </w:r>
            <w:r>
              <w:rPr>
                <w:rFonts w:eastAsiaTheme="minorEastAsia"/>
                <w:sz w:val="24"/>
                <w:szCs w:val="24"/>
              </w:rPr>
              <w:t>年</w:t>
            </w:r>
            <w:r>
              <w:rPr>
                <w:rFonts w:eastAsiaTheme="minorEastAsia"/>
                <w:sz w:val="24"/>
                <w:szCs w:val="24"/>
              </w:rPr>
              <w:t>8</w:t>
            </w:r>
            <w:r>
              <w:rPr>
                <w:rFonts w:eastAsiaTheme="minorEastAsia"/>
                <w:sz w:val="24"/>
                <w:szCs w:val="24"/>
              </w:rPr>
              <w:t>月</w:t>
            </w:r>
            <w:r>
              <w:rPr>
                <w:rFonts w:eastAsiaTheme="minorEastAsia"/>
                <w:sz w:val="24"/>
                <w:szCs w:val="24"/>
              </w:rPr>
              <w:t>24</w:t>
            </w:r>
            <w:r>
              <w:rPr>
                <w:rFonts w:eastAsiaTheme="minorEastAsia"/>
                <w:sz w:val="24"/>
                <w:szCs w:val="24"/>
              </w:rPr>
              <w:t>日</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易方达基金管理有限公司</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中国建设银行股份有限公司</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《公开募集证券投资基金信息披露管理办法》《易方达信息行业精选股票型证券投资基金基金合同》《易方达信息行业精选股票型证券投资基金更新的招募说明书》</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收益分配基准日</w:t>
            </w:r>
          </w:p>
        </w:tc>
        <w:tc>
          <w:tcPr>
            <w:tcW w:w="5412" w:type="dxa"/>
            <w:gridSpan w:val="2"/>
          </w:tcPr>
          <w:p w:rsidR="003F0B40" w:rsidRDefault="0022529B">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3</w:t>
            </w:r>
            <w:r>
              <w:rPr>
                <w:rFonts w:eastAsiaTheme="minorEastAsia"/>
                <w:sz w:val="24"/>
                <w:szCs w:val="24"/>
              </w:rPr>
              <w:t>月</w:t>
            </w:r>
            <w:r>
              <w:rPr>
                <w:rFonts w:eastAsiaTheme="minorEastAsia"/>
                <w:sz w:val="24"/>
                <w:szCs w:val="24"/>
              </w:rPr>
              <w:t>3</w:t>
            </w:r>
            <w:r>
              <w:rPr>
                <w:rFonts w:eastAsiaTheme="minorEastAsia"/>
                <w:sz w:val="24"/>
                <w:szCs w:val="24"/>
              </w:rPr>
              <w:t>日</w:t>
            </w:r>
          </w:p>
        </w:tc>
      </w:tr>
      <w:tr w:rsidR="006A4C62">
        <w:trPr>
          <w:jc w:val="center"/>
        </w:trPr>
        <w:tc>
          <w:tcPr>
            <w:tcW w:w="4194" w:type="dxa"/>
            <w:gridSpan w:val="2"/>
            <w:vAlign w:val="center"/>
          </w:tcPr>
          <w:p w:rsidR="003F0B40" w:rsidRDefault="0022529B">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22529B">
            <w:pPr>
              <w:rPr>
                <w:rFonts w:eastAsiaTheme="minorEastAsia"/>
                <w:sz w:val="24"/>
                <w:szCs w:val="24"/>
              </w:rPr>
            </w:pPr>
            <w:r>
              <w:rPr>
                <w:rFonts w:eastAsiaTheme="minorEastAsia"/>
                <w:sz w:val="24"/>
                <w:szCs w:val="24"/>
              </w:rPr>
              <w:t>本次分红为</w:t>
            </w:r>
            <w:r>
              <w:rPr>
                <w:rFonts w:eastAsiaTheme="minorEastAsia"/>
                <w:sz w:val="24"/>
                <w:szCs w:val="24"/>
              </w:rPr>
              <w:t>2026</w:t>
            </w:r>
            <w:r>
              <w:rPr>
                <w:rFonts w:eastAsiaTheme="minorEastAsia"/>
                <w:sz w:val="24"/>
                <w:szCs w:val="24"/>
              </w:rPr>
              <w:t>年度的第</w:t>
            </w:r>
            <w:r>
              <w:rPr>
                <w:rFonts w:eastAsiaTheme="minorEastAsia"/>
                <w:sz w:val="24"/>
                <w:szCs w:val="24"/>
              </w:rPr>
              <w:t>1</w:t>
            </w:r>
            <w:r>
              <w:rPr>
                <w:rFonts w:eastAsiaTheme="minorEastAsia"/>
                <w:sz w:val="24"/>
                <w:szCs w:val="24"/>
              </w:rPr>
              <w:t>次分红</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下属分级基金的基金简称</w:t>
            </w:r>
          </w:p>
        </w:tc>
        <w:tc>
          <w:tcPr>
            <w:tcW w:w="2706" w:type="dxa"/>
          </w:tcPr>
          <w:p w:rsidR="003F0B40" w:rsidRDefault="0022529B">
            <w:pPr>
              <w:rPr>
                <w:rFonts w:eastAsiaTheme="minorEastAsia"/>
                <w:sz w:val="24"/>
                <w:szCs w:val="24"/>
              </w:rPr>
            </w:pPr>
            <w:r>
              <w:rPr>
                <w:rFonts w:eastAsiaTheme="minorEastAsia"/>
                <w:sz w:val="24"/>
                <w:szCs w:val="24"/>
              </w:rPr>
              <w:t>易方达信息行业精选股票</w:t>
            </w:r>
            <w:r>
              <w:rPr>
                <w:rFonts w:eastAsiaTheme="minorEastAsia"/>
                <w:sz w:val="24"/>
                <w:szCs w:val="24"/>
              </w:rPr>
              <w:t>A</w:t>
            </w:r>
          </w:p>
        </w:tc>
        <w:tc>
          <w:tcPr>
            <w:tcW w:w="2706" w:type="dxa"/>
          </w:tcPr>
          <w:p w:rsidR="003F0B40" w:rsidRDefault="0022529B">
            <w:pPr>
              <w:rPr>
                <w:rFonts w:eastAsiaTheme="minorEastAsia"/>
                <w:sz w:val="24"/>
                <w:szCs w:val="24"/>
              </w:rPr>
            </w:pPr>
            <w:r>
              <w:rPr>
                <w:rFonts w:eastAsiaTheme="minorEastAsia"/>
                <w:sz w:val="24"/>
                <w:szCs w:val="24"/>
              </w:rPr>
              <w:t>易方达信息行业精选股票</w:t>
            </w:r>
            <w:r>
              <w:rPr>
                <w:rFonts w:eastAsiaTheme="minorEastAsia"/>
                <w:sz w:val="24"/>
                <w:szCs w:val="24"/>
              </w:rPr>
              <w:t>C</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下属分级基金的交易代码</w:t>
            </w:r>
          </w:p>
        </w:tc>
        <w:tc>
          <w:tcPr>
            <w:tcW w:w="2706" w:type="dxa"/>
          </w:tcPr>
          <w:p w:rsidR="003F0B40" w:rsidRDefault="0022529B">
            <w:pPr>
              <w:rPr>
                <w:rFonts w:eastAsiaTheme="minorEastAsia"/>
                <w:sz w:val="24"/>
                <w:szCs w:val="24"/>
              </w:rPr>
            </w:pPr>
            <w:r>
              <w:rPr>
                <w:rFonts w:eastAsiaTheme="minorEastAsia"/>
                <w:sz w:val="24"/>
                <w:szCs w:val="24"/>
              </w:rPr>
              <w:t>010013</w:t>
            </w:r>
          </w:p>
        </w:tc>
        <w:tc>
          <w:tcPr>
            <w:tcW w:w="2706" w:type="dxa"/>
          </w:tcPr>
          <w:p w:rsidR="003F0B40" w:rsidRDefault="0022529B">
            <w:pPr>
              <w:rPr>
                <w:rFonts w:eastAsiaTheme="minorEastAsia"/>
                <w:sz w:val="24"/>
                <w:szCs w:val="24"/>
              </w:rPr>
            </w:pPr>
            <w:r>
              <w:rPr>
                <w:rFonts w:eastAsiaTheme="minorEastAsia"/>
                <w:sz w:val="24"/>
                <w:szCs w:val="24"/>
              </w:rPr>
              <w:t>019024</w:t>
            </w:r>
          </w:p>
        </w:tc>
      </w:tr>
      <w:tr w:rsidR="006A4C62">
        <w:trPr>
          <w:jc w:val="center"/>
        </w:trPr>
        <w:tc>
          <w:tcPr>
            <w:tcW w:w="1980" w:type="dxa"/>
            <w:vMerge w:val="restart"/>
            <w:vAlign w:val="center"/>
          </w:tcPr>
          <w:p w:rsidR="003F0B40" w:rsidRDefault="0022529B">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22529B">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22529B">
            <w:pPr>
              <w:rPr>
                <w:rFonts w:eastAsiaTheme="minorEastAsia"/>
                <w:sz w:val="24"/>
                <w:szCs w:val="24"/>
              </w:rPr>
            </w:pPr>
            <w:r>
              <w:rPr>
                <w:rFonts w:eastAsiaTheme="minorEastAsia"/>
                <w:sz w:val="24"/>
                <w:szCs w:val="24"/>
              </w:rPr>
              <w:t>1.8600</w:t>
            </w:r>
          </w:p>
        </w:tc>
        <w:tc>
          <w:tcPr>
            <w:tcW w:w="2706" w:type="dxa"/>
          </w:tcPr>
          <w:p w:rsidR="003F0B40" w:rsidRDefault="0022529B">
            <w:pPr>
              <w:rPr>
                <w:rFonts w:eastAsiaTheme="minorEastAsia"/>
                <w:sz w:val="24"/>
                <w:szCs w:val="24"/>
              </w:rPr>
            </w:pPr>
            <w:r>
              <w:rPr>
                <w:rFonts w:eastAsiaTheme="minorEastAsia"/>
                <w:sz w:val="24"/>
                <w:szCs w:val="24"/>
              </w:rPr>
              <w:t>1.8385</w:t>
            </w:r>
          </w:p>
        </w:tc>
      </w:tr>
      <w:tr w:rsidR="006A4C62">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22529B">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22529B">
            <w:pPr>
              <w:rPr>
                <w:rFonts w:eastAsiaTheme="minorEastAsia"/>
                <w:sz w:val="24"/>
                <w:szCs w:val="24"/>
              </w:rPr>
            </w:pPr>
            <w:r>
              <w:rPr>
                <w:rFonts w:eastAsiaTheme="minorEastAsia"/>
                <w:sz w:val="24"/>
                <w:szCs w:val="24"/>
              </w:rPr>
              <w:t>1,418,406,111.32</w:t>
            </w:r>
          </w:p>
        </w:tc>
        <w:tc>
          <w:tcPr>
            <w:tcW w:w="2706" w:type="dxa"/>
          </w:tcPr>
          <w:p w:rsidR="003F0B40" w:rsidRDefault="0022529B">
            <w:pPr>
              <w:rPr>
                <w:rFonts w:eastAsiaTheme="minorEastAsia"/>
                <w:sz w:val="24"/>
                <w:szCs w:val="24"/>
              </w:rPr>
            </w:pPr>
            <w:r>
              <w:rPr>
                <w:rFonts w:eastAsiaTheme="minorEastAsia"/>
                <w:sz w:val="24"/>
                <w:szCs w:val="24"/>
              </w:rPr>
              <w:t>820,110,092.90</w:t>
            </w:r>
          </w:p>
        </w:tc>
      </w:tr>
      <w:tr w:rsidR="006A4C62">
        <w:trPr>
          <w:jc w:val="center"/>
        </w:trPr>
        <w:tc>
          <w:tcPr>
            <w:tcW w:w="1980" w:type="dxa"/>
            <w:vMerge/>
          </w:tcPr>
          <w:p w:rsidR="006A4C62" w:rsidRDefault="006A4C62"/>
        </w:tc>
        <w:tc>
          <w:tcPr>
            <w:tcW w:w="2214" w:type="dxa"/>
            <w:vAlign w:val="center"/>
          </w:tcPr>
          <w:p w:rsidR="006A4C62" w:rsidRDefault="0022529B">
            <w:pPr>
              <w:jc w:val="left"/>
            </w:pPr>
            <w:r>
              <w:rPr>
                <w:rFonts w:eastAsiaTheme="minorEastAsia"/>
                <w:sz w:val="24"/>
                <w:szCs w:val="24"/>
              </w:rPr>
              <w:t>截止基准日按照基金合同约定的分红比例计算的应分配金额（单位：人民币元）</w:t>
            </w:r>
          </w:p>
        </w:tc>
        <w:tc>
          <w:tcPr>
            <w:tcW w:w="2706" w:type="dxa"/>
            <w:vAlign w:val="center"/>
          </w:tcPr>
          <w:p w:rsidR="006A4C62" w:rsidRDefault="0022529B">
            <w:pPr>
              <w:jc w:val="left"/>
            </w:pPr>
            <w:r>
              <w:rPr>
                <w:rFonts w:eastAsiaTheme="minorEastAsia"/>
                <w:sz w:val="24"/>
                <w:szCs w:val="24"/>
              </w:rPr>
              <w:t>-</w:t>
            </w:r>
          </w:p>
        </w:tc>
        <w:tc>
          <w:tcPr>
            <w:tcW w:w="2706" w:type="dxa"/>
            <w:vAlign w:val="center"/>
          </w:tcPr>
          <w:p w:rsidR="006A4C62" w:rsidRDefault="0022529B">
            <w:pPr>
              <w:jc w:val="left"/>
            </w:pPr>
            <w:r>
              <w:rPr>
                <w:rFonts w:eastAsiaTheme="minorEastAsia"/>
                <w:sz w:val="24"/>
                <w:szCs w:val="24"/>
              </w:rPr>
              <w:t>-</w:t>
            </w:r>
          </w:p>
        </w:tc>
      </w:tr>
      <w:tr w:rsidR="006A4C62">
        <w:trPr>
          <w:jc w:val="center"/>
        </w:trPr>
        <w:tc>
          <w:tcPr>
            <w:tcW w:w="4194" w:type="dxa"/>
            <w:gridSpan w:val="2"/>
          </w:tcPr>
          <w:p w:rsidR="003F0B40" w:rsidRDefault="0022529B">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22529B">
            <w:pPr>
              <w:rPr>
                <w:rFonts w:eastAsiaTheme="minorEastAsia"/>
                <w:sz w:val="24"/>
                <w:szCs w:val="24"/>
              </w:rPr>
            </w:pPr>
            <w:r>
              <w:rPr>
                <w:rFonts w:eastAsiaTheme="minorEastAsia"/>
                <w:sz w:val="24"/>
                <w:szCs w:val="24"/>
              </w:rPr>
              <w:t>0.400</w:t>
            </w:r>
          </w:p>
        </w:tc>
        <w:tc>
          <w:tcPr>
            <w:tcW w:w="2706" w:type="dxa"/>
          </w:tcPr>
          <w:p w:rsidR="003F0B40" w:rsidRDefault="0022529B">
            <w:pPr>
              <w:rPr>
                <w:rFonts w:eastAsiaTheme="minorEastAsia"/>
                <w:sz w:val="24"/>
                <w:szCs w:val="24"/>
              </w:rPr>
            </w:pPr>
            <w:r>
              <w:rPr>
                <w:rFonts w:eastAsiaTheme="minorEastAsia"/>
                <w:sz w:val="24"/>
                <w:szCs w:val="24"/>
              </w:rPr>
              <w:t>0.400</w:t>
            </w:r>
          </w:p>
        </w:tc>
      </w:tr>
    </w:tbl>
    <w:p w:rsidR="003F0B40" w:rsidRDefault="003F0B40">
      <w:pPr>
        <w:spacing w:line="360" w:lineRule="auto"/>
        <w:rPr>
          <w:rFonts w:eastAsiaTheme="minorEastAsia"/>
          <w:sz w:val="24"/>
          <w:szCs w:val="24"/>
        </w:rPr>
      </w:pPr>
    </w:p>
    <w:p w:rsidR="003F0B40" w:rsidRDefault="0022529B">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6A4C62">
        <w:trPr>
          <w:jc w:val="center"/>
        </w:trPr>
        <w:tc>
          <w:tcPr>
            <w:tcW w:w="3342" w:type="dxa"/>
          </w:tcPr>
          <w:p w:rsidR="003F0B40" w:rsidRDefault="0022529B">
            <w:pPr>
              <w:rPr>
                <w:rFonts w:eastAsiaTheme="minorEastAsia"/>
                <w:sz w:val="24"/>
                <w:szCs w:val="24"/>
              </w:rPr>
            </w:pPr>
            <w:r>
              <w:rPr>
                <w:rFonts w:eastAsiaTheme="minorEastAsia"/>
                <w:sz w:val="24"/>
                <w:szCs w:val="24"/>
              </w:rPr>
              <w:t>权益登记日</w:t>
            </w:r>
          </w:p>
        </w:tc>
        <w:tc>
          <w:tcPr>
            <w:tcW w:w="5978" w:type="dxa"/>
          </w:tcPr>
          <w:p w:rsidR="003F0B40" w:rsidRDefault="0022529B">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3</w:t>
            </w:r>
            <w:r>
              <w:rPr>
                <w:rFonts w:eastAsiaTheme="minorEastAsia"/>
                <w:sz w:val="24"/>
                <w:szCs w:val="24"/>
              </w:rPr>
              <w:t>月</w:t>
            </w:r>
            <w:r>
              <w:rPr>
                <w:rFonts w:eastAsiaTheme="minorEastAsia"/>
                <w:sz w:val="24"/>
                <w:szCs w:val="24"/>
              </w:rPr>
              <w:t>9</w:t>
            </w:r>
            <w:r>
              <w:rPr>
                <w:rFonts w:eastAsiaTheme="minorEastAsia"/>
                <w:sz w:val="24"/>
                <w:szCs w:val="24"/>
              </w:rPr>
              <w:t>日</w:t>
            </w:r>
          </w:p>
        </w:tc>
      </w:tr>
      <w:tr w:rsidR="006A4C62">
        <w:trPr>
          <w:jc w:val="center"/>
        </w:trPr>
        <w:tc>
          <w:tcPr>
            <w:tcW w:w="3342" w:type="dxa"/>
          </w:tcPr>
          <w:p w:rsidR="003F0B40" w:rsidRDefault="0022529B">
            <w:pPr>
              <w:rPr>
                <w:rFonts w:eastAsiaTheme="minorEastAsia"/>
                <w:sz w:val="24"/>
                <w:szCs w:val="24"/>
              </w:rPr>
            </w:pPr>
            <w:r>
              <w:rPr>
                <w:rFonts w:eastAsiaTheme="minorEastAsia"/>
                <w:sz w:val="24"/>
                <w:szCs w:val="24"/>
              </w:rPr>
              <w:t>除息日</w:t>
            </w:r>
          </w:p>
        </w:tc>
        <w:tc>
          <w:tcPr>
            <w:tcW w:w="2989" w:type="dxa"/>
          </w:tcPr>
          <w:p w:rsidR="003F0B40" w:rsidRDefault="0022529B">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3</w:t>
            </w:r>
            <w:r>
              <w:rPr>
                <w:rFonts w:eastAsiaTheme="minorEastAsia"/>
                <w:sz w:val="24"/>
                <w:szCs w:val="24"/>
              </w:rPr>
              <w:t>月</w:t>
            </w:r>
            <w:r>
              <w:rPr>
                <w:rFonts w:eastAsiaTheme="minorEastAsia"/>
                <w:sz w:val="24"/>
                <w:szCs w:val="24"/>
              </w:rPr>
              <w:t>9</w:t>
            </w:r>
            <w:r>
              <w:rPr>
                <w:rFonts w:eastAsiaTheme="minorEastAsia"/>
                <w:sz w:val="24"/>
                <w:szCs w:val="24"/>
              </w:rPr>
              <w:t>日</w:t>
            </w:r>
          </w:p>
        </w:tc>
      </w:tr>
      <w:tr w:rsidR="006A4C62">
        <w:trPr>
          <w:jc w:val="center"/>
        </w:trPr>
        <w:tc>
          <w:tcPr>
            <w:tcW w:w="3342" w:type="dxa"/>
          </w:tcPr>
          <w:p w:rsidR="003F0B40" w:rsidRDefault="0022529B">
            <w:pPr>
              <w:rPr>
                <w:rFonts w:eastAsiaTheme="minorEastAsia"/>
                <w:sz w:val="24"/>
                <w:szCs w:val="24"/>
              </w:rPr>
            </w:pPr>
            <w:r>
              <w:rPr>
                <w:rFonts w:eastAsiaTheme="minorEastAsia"/>
                <w:sz w:val="24"/>
                <w:szCs w:val="24"/>
              </w:rPr>
              <w:t>现金红利发放日</w:t>
            </w:r>
          </w:p>
        </w:tc>
        <w:tc>
          <w:tcPr>
            <w:tcW w:w="5978" w:type="dxa"/>
          </w:tcPr>
          <w:p w:rsidR="003F0B40" w:rsidRDefault="0022529B">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3</w:t>
            </w:r>
            <w:r>
              <w:rPr>
                <w:rFonts w:eastAsiaTheme="minorEastAsia"/>
                <w:sz w:val="24"/>
                <w:szCs w:val="24"/>
              </w:rPr>
              <w:t>月</w:t>
            </w:r>
            <w:r>
              <w:rPr>
                <w:rFonts w:eastAsiaTheme="minorEastAsia"/>
                <w:sz w:val="24"/>
                <w:szCs w:val="24"/>
              </w:rPr>
              <w:t>10</w:t>
            </w:r>
            <w:r>
              <w:rPr>
                <w:rFonts w:eastAsiaTheme="minorEastAsia"/>
                <w:sz w:val="24"/>
                <w:szCs w:val="24"/>
              </w:rPr>
              <w:t>日</w:t>
            </w:r>
          </w:p>
        </w:tc>
      </w:tr>
      <w:tr w:rsidR="006A4C62">
        <w:trPr>
          <w:jc w:val="center"/>
        </w:trPr>
        <w:tc>
          <w:tcPr>
            <w:tcW w:w="3342" w:type="dxa"/>
          </w:tcPr>
          <w:p w:rsidR="003F0B40" w:rsidRDefault="0022529B">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22529B">
            <w:pPr>
              <w:rPr>
                <w:rFonts w:eastAsiaTheme="minorEastAsia"/>
                <w:sz w:val="24"/>
                <w:szCs w:val="24"/>
              </w:rPr>
            </w:pPr>
            <w:r>
              <w:rPr>
                <w:rFonts w:eastAsiaTheme="minorEastAsia"/>
                <w:sz w:val="24"/>
                <w:szCs w:val="24"/>
              </w:rPr>
              <w:t>权益登记日在易方达基金管理有限公司登记在册的本基金全体持有人。</w:t>
            </w:r>
          </w:p>
        </w:tc>
      </w:tr>
      <w:tr w:rsidR="006A4C62">
        <w:trPr>
          <w:jc w:val="center"/>
        </w:trPr>
        <w:tc>
          <w:tcPr>
            <w:tcW w:w="3342" w:type="dxa"/>
            <w:shd w:val="clear" w:color="auto" w:fill="auto"/>
            <w:vAlign w:val="center"/>
          </w:tcPr>
          <w:p w:rsidR="003F0B40" w:rsidRDefault="0022529B">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22529B">
            <w:pPr>
              <w:rPr>
                <w:rFonts w:eastAsiaTheme="minorEastAsia"/>
                <w:sz w:val="24"/>
                <w:szCs w:val="24"/>
              </w:rPr>
            </w:pPr>
            <w:r>
              <w:rPr>
                <w:rFonts w:eastAsiaTheme="minorEastAsia"/>
                <w:sz w:val="24"/>
                <w:szCs w:val="24"/>
              </w:rPr>
              <w:t>选择红利再投资方式的投资者红利再投资所得的基金份</w:t>
            </w:r>
            <w:r>
              <w:rPr>
                <w:rFonts w:eastAsiaTheme="minorEastAsia"/>
                <w:sz w:val="24"/>
                <w:szCs w:val="24"/>
              </w:rPr>
              <w:lastRenderedPageBreak/>
              <w:t>额将按</w:t>
            </w:r>
            <w:r>
              <w:rPr>
                <w:rFonts w:eastAsiaTheme="minorEastAsia"/>
                <w:sz w:val="24"/>
                <w:szCs w:val="24"/>
              </w:rPr>
              <w:t>2026</w:t>
            </w:r>
            <w:r>
              <w:rPr>
                <w:rFonts w:eastAsiaTheme="minorEastAsia"/>
                <w:sz w:val="24"/>
                <w:szCs w:val="24"/>
              </w:rPr>
              <w:t>年</w:t>
            </w:r>
            <w:r>
              <w:rPr>
                <w:rFonts w:eastAsiaTheme="minorEastAsia"/>
                <w:sz w:val="24"/>
                <w:szCs w:val="24"/>
              </w:rPr>
              <w:t>3</w:t>
            </w:r>
            <w:r>
              <w:rPr>
                <w:rFonts w:eastAsiaTheme="minorEastAsia"/>
                <w:sz w:val="24"/>
                <w:szCs w:val="24"/>
              </w:rPr>
              <w:t>月</w:t>
            </w:r>
            <w:r>
              <w:rPr>
                <w:rFonts w:eastAsiaTheme="minorEastAsia"/>
                <w:sz w:val="24"/>
                <w:szCs w:val="24"/>
              </w:rPr>
              <w:t>9</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2026</w:t>
            </w:r>
            <w:r>
              <w:rPr>
                <w:rFonts w:eastAsiaTheme="minorEastAsia"/>
                <w:sz w:val="24"/>
                <w:szCs w:val="24"/>
              </w:rPr>
              <w:t>年</w:t>
            </w:r>
            <w:r>
              <w:rPr>
                <w:rFonts w:eastAsiaTheme="minorEastAsia"/>
                <w:sz w:val="24"/>
                <w:szCs w:val="24"/>
              </w:rPr>
              <w:t>3</w:t>
            </w:r>
            <w:r>
              <w:rPr>
                <w:rFonts w:eastAsiaTheme="minorEastAsia"/>
                <w:sz w:val="24"/>
                <w:szCs w:val="24"/>
              </w:rPr>
              <w:t>月</w:t>
            </w:r>
            <w:r>
              <w:rPr>
                <w:rFonts w:eastAsiaTheme="minorEastAsia"/>
                <w:sz w:val="24"/>
                <w:szCs w:val="24"/>
              </w:rPr>
              <w:t>11</w:t>
            </w:r>
            <w:r>
              <w:rPr>
                <w:rFonts w:eastAsiaTheme="minorEastAsia"/>
                <w:sz w:val="24"/>
                <w:szCs w:val="24"/>
              </w:rPr>
              <w:t>日起投资者可以查询、赎回。权益登记日之前（不含权益登记日）办理了转托管转出尚未办理转托管转入的基金份额，其分红方式按照红利再投资处理。</w:t>
            </w:r>
          </w:p>
        </w:tc>
      </w:tr>
      <w:tr w:rsidR="006A4C62">
        <w:trPr>
          <w:jc w:val="center"/>
        </w:trPr>
        <w:tc>
          <w:tcPr>
            <w:tcW w:w="3342" w:type="dxa"/>
          </w:tcPr>
          <w:p w:rsidR="003F0B40" w:rsidRDefault="0022529B">
            <w:pPr>
              <w:rPr>
                <w:rFonts w:eastAsiaTheme="minorEastAsia"/>
                <w:sz w:val="24"/>
                <w:szCs w:val="24"/>
              </w:rPr>
            </w:pPr>
            <w:r>
              <w:rPr>
                <w:rFonts w:eastAsiaTheme="minorEastAsia"/>
                <w:sz w:val="24"/>
                <w:szCs w:val="24"/>
              </w:rPr>
              <w:lastRenderedPageBreak/>
              <w:t>税收相关事项的说明</w:t>
            </w:r>
          </w:p>
        </w:tc>
        <w:tc>
          <w:tcPr>
            <w:tcW w:w="5978" w:type="dxa"/>
            <w:shd w:val="clear" w:color="auto" w:fill="auto"/>
          </w:tcPr>
          <w:p w:rsidR="003F0B40" w:rsidRDefault="0022529B">
            <w:pPr>
              <w:rPr>
                <w:rFonts w:eastAsiaTheme="minorEastAsia"/>
                <w:sz w:val="24"/>
                <w:szCs w:val="24"/>
              </w:rPr>
            </w:pPr>
            <w:r>
              <w:rPr>
                <w:rFonts w:eastAsiaTheme="minorEastAsia"/>
                <w:sz w:val="24"/>
                <w:szCs w:val="24"/>
              </w:rPr>
              <w:t>根据相关法律法规规定，基金向投资者分配的基金收益，暂不征收所得税。</w:t>
            </w:r>
          </w:p>
        </w:tc>
      </w:tr>
      <w:tr w:rsidR="006A4C62">
        <w:trPr>
          <w:jc w:val="center"/>
        </w:trPr>
        <w:tc>
          <w:tcPr>
            <w:tcW w:w="3342" w:type="dxa"/>
          </w:tcPr>
          <w:p w:rsidR="003F0B40" w:rsidRDefault="0022529B">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22529B">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6A4C62" w:rsidRDefault="0022529B">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3</w:t>
      </w:r>
      <w:r>
        <w:rPr>
          <w:rFonts w:eastAsiaTheme="minorEastAsia"/>
          <w:color w:val="000000"/>
          <w:sz w:val="24"/>
          <w:szCs w:val="24"/>
        </w:rPr>
        <w:t>月</w:t>
      </w:r>
      <w:r>
        <w:rPr>
          <w:rFonts w:eastAsiaTheme="minorEastAsia"/>
          <w:color w:val="000000"/>
          <w:sz w:val="24"/>
          <w:szCs w:val="24"/>
        </w:rPr>
        <w:t>10</w:t>
      </w:r>
      <w:r>
        <w:rPr>
          <w:rFonts w:eastAsiaTheme="minorEastAsia"/>
          <w:color w:val="000000"/>
          <w:sz w:val="24"/>
          <w:szCs w:val="24"/>
        </w:rPr>
        <w:t>日自基金托管账户划出。</w:t>
      </w:r>
    </w:p>
    <w:p w:rsidR="003F0B40" w:rsidRDefault="0022529B">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22529B">
      <w:pPr>
        <w:pStyle w:val="3"/>
        <w:keepNext w:val="0"/>
        <w:keepLines w:val="0"/>
        <w:spacing w:before="0" w:after="0" w:line="360" w:lineRule="auto"/>
        <w:rPr>
          <w:rFonts w:eastAsiaTheme="minorEastAsia"/>
          <w:bCs w:val="0"/>
          <w:sz w:val="24"/>
          <w:szCs w:val="24"/>
        </w:rPr>
      </w:pPr>
      <w:bookmarkStart w:id="2" w:name="_Toc275961420"/>
      <w:r>
        <w:rPr>
          <w:rFonts w:eastAsiaTheme="minorEastAsia"/>
          <w:bCs w:val="0"/>
          <w:sz w:val="24"/>
          <w:szCs w:val="24"/>
        </w:rPr>
        <w:t>3.</w:t>
      </w:r>
      <w:r>
        <w:rPr>
          <w:rFonts w:eastAsiaTheme="minorEastAsia"/>
          <w:bCs w:val="0"/>
          <w:sz w:val="24"/>
          <w:szCs w:val="24"/>
        </w:rPr>
        <w:t>其他需要提示的事项</w:t>
      </w:r>
      <w:bookmarkEnd w:id="2"/>
    </w:p>
    <w:p w:rsidR="006A4C62" w:rsidRDefault="0022529B">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）权益登记日申请申购或转换转入的基金份额不享有本次分红权益，权益登记日申请赎回或转换转出的基金份额享有本次分红权益。</w:t>
      </w:r>
      <w:r>
        <w:rPr>
          <w:rFonts w:eastAsiaTheme="minorEastAsia"/>
          <w:color w:val="000000"/>
          <w:sz w:val="24"/>
          <w:szCs w:val="24"/>
        </w:rPr>
        <w:t xml:space="preserve"> </w:t>
      </w:r>
    </w:p>
    <w:p w:rsidR="006A4C62" w:rsidRDefault="0022529B">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6A4C62" w:rsidRDefault="0022529B">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了解相关情况。投资者也可以前往本基金有关销售机构进行咨询。本基金的销售机构详见基金管理人网站公示。</w:t>
      </w:r>
    </w:p>
    <w:p w:rsidR="003F0B40" w:rsidRDefault="0022529B">
      <w:pPr>
        <w:spacing w:line="360" w:lineRule="auto"/>
        <w:ind w:firstLineChars="200" w:firstLine="480"/>
        <w:rPr>
          <w:rFonts w:eastAsiaTheme="minorEastAsia"/>
          <w:color w:val="000000"/>
          <w:sz w:val="24"/>
          <w:szCs w:val="24"/>
        </w:rPr>
      </w:pPr>
      <w:r>
        <w:rPr>
          <w:rFonts w:eastAsiaTheme="minorEastAsia"/>
          <w:color w:val="000000"/>
          <w:sz w:val="24"/>
          <w:szCs w:val="24"/>
        </w:rPr>
        <w:t>特</w:t>
      </w:r>
      <w:r>
        <w:rPr>
          <w:rFonts w:eastAsiaTheme="minorEastAsia"/>
          <w:color w:val="000000"/>
          <w:sz w:val="24"/>
          <w:szCs w:val="24"/>
        </w:rPr>
        <w:t>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22529B">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22529B">
      <w:pPr>
        <w:spacing w:line="360" w:lineRule="auto"/>
        <w:ind w:firstLineChars="200" w:firstLine="480"/>
        <w:jc w:val="right"/>
        <w:rPr>
          <w:rFonts w:eastAsiaTheme="minorEastAsia"/>
          <w:color w:val="000000"/>
          <w:sz w:val="24"/>
          <w:szCs w:val="24"/>
        </w:rPr>
      </w:pP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3</w:t>
      </w:r>
      <w:r>
        <w:rPr>
          <w:rFonts w:eastAsiaTheme="minorEastAsia"/>
          <w:color w:val="000000"/>
          <w:sz w:val="24"/>
          <w:szCs w:val="24"/>
        </w:rPr>
        <w:t>月</w:t>
      </w:r>
      <w:r>
        <w:rPr>
          <w:rFonts w:eastAsiaTheme="minorEastAsia"/>
          <w:color w:val="000000"/>
          <w:sz w:val="24"/>
          <w:szCs w:val="24"/>
        </w:rPr>
        <w:t>6</w:t>
      </w:r>
      <w:r>
        <w:rPr>
          <w:rFonts w:eastAsiaTheme="minorEastAsia"/>
          <w:color w:val="000000"/>
          <w:sz w:val="24"/>
          <w:szCs w:val="24"/>
        </w:rPr>
        <w:t>日</w:t>
      </w:r>
    </w:p>
    <w:sectPr w:rsidR="003F0B40" w:rsidSect="006A4C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529B"/>
    <w:rsid w:val="00226206"/>
    <w:rsid w:val="00242E4D"/>
    <w:rsid w:val="00260BF8"/>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6A4C62"/>
    <w:rsid w:val="00721B55"/>
    <w:rsid w:val="007457E4"/>
    <w:rsid w:val="007C7B20"/>
    <w:rsid w:val="00812228"/>
    <w:rsid w:val="00865457"/>
    <w:rsid w:val="00880E4A"/>
    <w:rsid w:val="00893436"/>
    <w:rsid w:val="008D1F66"/>
    <w:rsid w:val="009302F7"/>
    <w:rsid w:val="0096162B"/>
    <w:rsid w:val="009732A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C62"/>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6A4C62"/>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6A4C62"/>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6A4C62"/>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A4C62"/>
    <w:rPr>
      <w:rFonts w:ascii="宋体" w:eastAsia="宋体"/>
      <w:sz w:val="18"/>
      <w:szCs w:val="18"/>
    </w:rPr>
  </w:style>
  <w:style w:type="paragraph" w:styleId="a4">
    <w:name w:val="Balloon Text"/>
    <w:basedOn w:val="a"/>
    <w:link w:val="Char0"/>
    <w:uiPriority w:val="99"/>
    <w:semiHidden/>
    <w:unhideWhenUsed/>
    <w:qFormat/>
    <w:rsid w:val="006A4C62"/>
    <w:rPr>
      <w:sz w:val="18"/>
      <w:szCs w:val="18"/>
    </w:rPr>
  </w:style>
  <w:style w:type="paragraph" w:styleId="a5">
    <w:name w:val="footer"/>
    <w:basedOn w:val="a"/>
    <w:link w:val="Char1"/>
    <w:uiPriority w:val="99"/>
    <w:unhideWhenUsed/>
    <w:rsid w:val="006A4C6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A4C62"/>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6A4C62"/>
    <w:pPr>
      <w:snapToGrid w:val="0"/>
      <w:jc w:val="left"/>
    </w:pPr>
    <w:rPr>
      <w:rFonts w:eastAsia="宋体"/>
      <w:sz w:val="18"/>
    </w:rPr>
  </w:style>
  <w:style w:type="character" w:styleId="a8">
    <w:name w:val="footnote reference"/>
    <w:basedOn w:val="a0"/>
    <w:qFormat/>
    <w:rsid w:val="006A4C62"/>
    <w:rPr>
      <w:vertAlign w:val="superscript"/>
    </w:rPr>
  </w:style>
  <w:style w:type="character" w:customStyle="1" w:styleId="1Char">
    <w:name w:val="标题 1 Char"/>
    <w:basedOn w:val="a0"/>
    <w:link w:val="1"/>
    <w:qFormat/>
    <w:rsid w:val="006A4C62"/>
    <w:rPr>
      <w:rFonts w:ascii="Times New Roman" w:eastAsia="宋体" w:hAnsi="Times New Roman" w:cs="Times New Roman"/>
      <w:b/>
      <w:bCs/>
      <w:kern w:val="44"/>
      <w:sz w:val="44"/>
      <w:szCs w:val="44"/>
    </w:rPr>
  </w:style>
  <w:style w:type="character" w:customStyle="1" w:styleId="2Char">
    <w:name w:val="标题 2 Char"/>
    <w:basedOn w:val="a0"/>
    <w:link w:val="2"/>
    <w:qFormat/>
    <w:rsid w:val="006A4C62"/>
    <w:rPr>
      <w:rFonts w:ascii="Arial" w:eastAsia="黑体" w:hAnsi="Arial" w:cs="Times New Roman"/>
      <w:b/>
      <w:bCs/>
      <w:sz w:val="32"/>
      <w:szCs w:val="32"/>
    </w:rPr>
  </w:style>
  <w:style w:type="character" w:customStyle="1" w:styleId="Char3">
    <w:name w:val="脚注文本 Char"/>
    <w:basedOn w:val="a0"/>
    <w:link w:val="a7"/>
    <w:rsid w:val="006A4C62"/>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6A4C62"/>
    <w:rPr>
      <w:rFonts w:ascii="宋体" w:eastAsia="宋体" w:hAnsi="Times New Roman" w:cs="Times New Roman"/>
      <w:sz w:val="18"/>
      <w:szCs w:val="18"/>
    </w:rPr>
  </w:style>
  <w:style w:type="character" w:customStyle="1" w:styleId="Char2">
    <w:name w:val="页眉 Char"/>
    <w:basedOn w:val="a0"/>
    <w:link w:val="a6"/>
    <w:uiPriority w:val="99"/>
    <w:qFormat/>
    <w:rsid w:val="006A4C62"/>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6A4C62"/>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6A4C62"/>
    <w:rPr>
      <w:rFonts w:ascii="Times New Roman" w:eastAsia="方正仿宋简体" w:hAnsi="Times New Roman" w:cs="Times New Roman"/>
      <w:sz w:val="18"/>
      <w:szCs w:val="18"/>
    </w:rPr>
  </w:style>
  <w:style w:type="character" w:customStyle="1" w:styleId="3Char">
    <w:name w:val="标题 3 Char"/>
    <w:basedOn w:val="a0"/>
    <w:link w:val="3"/>
    <w:qFormat/>
    <w:rsid w:val="006A4C62"/>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Application>Microsoft Office Word</Application>
  <DocSecurity>4</DocSecurity>
  <Lines>10</Lines>
  <Paragraphs>2</Paragraphs>
  <ScaleCrop>false</ScaleCrop>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2026-03-05T16:01:00Z</dcterms:created>
  <dcterms:modified xsi:type="dcterms:W3CDTF">2026-03-05T16:01:00Z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