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C8E" w:rsidRDefault="00381F22">
      <w:pPr>
        <w:spacing w:line="360" w:lineRule="auto"/>
        <w:jc w:val="center"/>
        <w:rPr>
          <w:rFonts w:ascii="Times New Roman" w:eastAsia="宋体" w:hAnsi="Times New Roman" w:cs="Times New Roman"/>
          <w:b/>
          <w:sz w:val="28"/>
          <w:szCs w:val="28"/>
        </w:rPr>
      </w:pPr>
      <w:r>
        <w:rPr>
          <w:rFonts w:ascii="Times New Roman" w:eastAsia="宋体" w:hAnsi="Times New Roman" w:cs="Times New Roman" w:hint="eastAsia"/>
          <w:b/>
          <w:sz w:val="28"/>
          <w:szCs w:val="28"/>
        </w:rPr>
        <w:t>华安基金管理有限公司关于旗下部分</w:t>
      </w:r>
      <w:r w:rsidR="001178C0">
        <w:rPr>
          <w:rFonts w:ascii="Times New Roman" w:eastAsia="宋体" w:hAnsi="Times New Roman" w:cs="Times New Roman" w:hint="eastAsia"/>
          <w:b/>
          <w:sz w:val="28"/>
          <w:szCs w:val="28"/>
        </w:rPr>
        <w:t>上交所</w:t>
      </w:r>
      <w:r w:rsidR="00296E08">
        <w:rPr>
          <w:rFonts w:ascii="Times New Roman" w:eastAsia="宋体" w:hAnsi="Times New Roman" w:cs="Times New Roman" w:hint="eastAsia"/>
          <w:b/>
          <w:sz w:val="28"/>
          <w:szCs w:val="28"/>
        </w:rPr>
        <w:t>ETF</w:t>
      </w:r>
      <w:r>
        <w:rPr>
          <w:rFonts w:ascii="Times New Roman" w:eastAsia="宋体" w:hAnsi="Times New Roman" w:cs="Times New Roman" w:hint="eastAsia"/>
          <w:b/>
          <w:sz w:val="28"/>
          <w:szCs w:val="28"/>
        </w:rPr>
        <w:t>变更扩位证券简称的公告</w:t>
      </w:r>
    </w:p>
    <w:p w:rsidR="00702C8E" w:rsidRDefault="00702C8E">
      <w:pPr>
        <w:spacing w:line="360" w:lineRule="auto"/>
        <w:ind w:firstLineChars="200" w:firstLine="420"/>
        <w:rPr>
          <w:rFonts w:ascii="Times New Roman" w:eastAsia="宋体" w:hAnsi="Times New Roman" w:cs="Times New Roman"/>
          <w:szCs w:val="21"/>
        </w:rPr>
      </w:pPr>
    </w:p>
    <w:p w:rsidR="00464F96" w:rsidRDefault="00464F96">
      <w:pPr>
        <w:spacing w:line="360" w:lineRule="auto"/>
        <w:ind w:firstLineChars="200" w:firstLine="420"/>
        <w:rPr>
          <w:rFonts w:ascii="Times New Roman" w:eastAsia="宋体" w:hAnsi="Times New Roman" w:cs="Times New Roman"/>
          <w:szCs w:val="21"/>
        </w:rPr>
      </w:pPr>
      <w:r w:rsidRPr="00464F96">
        <w:rPr>
          <w:rFonts w:ascii="Times New Roman" w:eastAsia="宋体" w:hAnsi="Times New Roman" w:cs="Times New Roman" w:hint="eastAsia"/>
          <w:szCs w:val="21"/>
        </w:rPr>
        <w:t>经向上海证券交易所申请，</w:t>
      </w:r>
      <w:r w:rsidR="00ED276D">
        <w:rPr>
          <w:rFonts w:ascii="Times New Roman" w:eastAsia="宋体" w:hAnsi="Times New Roman" w:cs="Times New Roman" w:hint="eastAsia"/>
          <w:szCs w:val="21"/>
        </w:rPr>
        <w:t>华安基金管理有限公司</w:t>
      </w:r>
      <w:r w:rsidRPr="00464F96">
        <w:rPr>
          <w:rFonts w:ascii="Times New Roman" w:eastAsia="宋体" w:hAnsi="Times New Roman" w:cs="Times New Roman" w:hint="eastAsia"/>
          <w:szCs w:val="21"/>
        </w:rPr>
        <w:t>旗下部分上交所</w:t>
      </w:r>
      <w:r w:rsidRPr="00464F96">
        <w:rPr>
          <w:rFonts w:ascii="Times New Roman" w:eastAsia="宋体" w:hAnsi="Times New Roman" w:cs="Times New Roman" w:hint="eastAsia"/>
          <w:szCs w:val="21"/>
        </w:rPr>
        <w:t>ETF</w:t>
      </w:r>
      <w:r w:rsidRPr="00464F96">
        <w:rPr>
          <w:rFonts w:ascii="Times New Roman" w:eastAsia="宋体" w:hAnsi="Times New Roman" w:cs="Times New Roman" w:hint="eastAsia"/>
          <w:szCs w:val="21"/>
        </w:rPr>
        <w:t>将自</w:t>
      </w:r>
      <w:r w:rsidRPr="00464F96">
        <w:rPr>
          <w:rFonts w:ascii="Times New Roman" w:eastAsia="宋体" w:hAnsi="Times New Roman" w:cs="Times New Roman" w:hint="eastAsia"/>
          <w:szCs w:val="21"/>
        </w:rPr>
        <w:t>2026</w:t>
      </w:r>
      <w:r w:rsidRPr="00464F96">
        <w:rPr>
          <w:rFonts w:ascii="Times New Roman" w:eastAsia="宋体" w:hAnsi="Times New Roman" w:cs="Times New Roman" w:hint="eastAsia"/>
          <w:szCs w:val="21"/>
        </w:rPr>
        <w:t>年</w:t>
      </w:r>
      <w:r w:rsidR="00CD2992">
        <w:rPr>
          <w:rFonts w:ascii="Times New Roman" w:eastAsia="宋体" w:hAnsi="Times New Roman" w:cs="Times New Roman"/>
          <w:szCs w:val="21"/>
        </w:rPr>
        <w:t>3</w:t>
      </w:r>
      <w:r w:rsidRPr="00464F96">
        <w:rPr>
          <w:rFonts w:ascii="Times New Roman" w:eastAsia="宋体" w:hAnsi="Times New Roman" w:cs="Times New Roman" w:hint="eastAsia"/>
          <w:szCs w:val="21"/>
        </w:rPr>
        <w:t>月</w:t>
      </w:r>
      <w:r w:rsidR="00CD2992">
        <w:rPr>
          <w:rFonts w:ascii="Times New Roman" w:eastAsia="宋体" w:hAnsi="Times New Roman" w:cs="Times New Roman"/>
          <w:szCs w:val="21"/>
        </w:rPr>
        <w:t>6</w:t>
      </w:r>
      <w:r w:rsidRPr="00464F96">
        <w:rPr>
          <w:rFonts w:ascii="Times New Roman" w:eastAsia="宋体" w:hAnsi="Times New Roman" w:cs="Times New Roman" w:hint="eastAsia"/>
          <w:szCs w:val="21"/>
        </w:rPr>
        <w:t>日起变更扩位证券简称，涉及基金及变更情况如下：</w:t>
      </w:r>
    </w:p>
    <w:tbl>
      <w:tblPr>
        <w:tblW w:w="9215" w:type="dxa"/>
        <w:tblInd w:w="-294" w:type="dxa"/>
        <w:tblLayout w:type="fixed"/>
        <w:tblLook w:val="04A0"/>
      </w:tblPr>
      <w:tblGrid>
        <w:gridCol w:w="992"/>
        <w:gridCol w:w="3403"/>
        <w:gridCol w:w="2268"/>
        <w:gridCol w:w="2552"/>
      </w:tblGrid>
      <w:tr w:rsidR="00AB31BE" w:rsidRPr="00DE20B1" w:rsidTr="000078ED">
        <w:trPr>
          <w:trHeight w:val="285"/>
        </w:trPr>
        <w:tc>
          <w:tcPr>
            <w:tcW w:w="992"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AB31BE" w:rsidRPr="00DE20B1" w:rsidRDefault="00AB31BE" w:rsidP="00DE20B1">
            <w:pPr>
              <w:widowControl/>
              <w:jc w:val="center"/>
              <w:rPr>
                <w:rFonts w:ascii="宋体" w:eastAsia="宋体" w:hAnsi="宋体" w:cs="宋体"/>
                <w:b/>
                <w:bCs/>
                <w:color w:val="000000"/>
                <w:kern w:val="0"/>
                <w:sz w:val="20"/>
                <w:szCs w:val="20"/>
              </w:rPr>
            </w:pPr>
            <w:r w:rsidRPr="00DE20B1">
              <w:rPr>
                <w:rFonts w:ascii="宋体" w:eastAsia="宋体" w:hAnsi="宋体" w:cs="宋体" w:hint="eastAsia"/>
                <w:b/>
                <w:bCs/>
                <w:color w:val="000000"/>
                <w:kern w:val="0"/>
                <w:sz w:val="20"/>
                <w:szCs w:val="20"/>
              </w:rPr>
              <w:t>基金代码</w:t>
            </w:r>
          </w:p>
        </w:tc>
        <w:tc>
          <w:tcPr>
            <w:tcW w:w="3403" w:type="dxa"/>
            <w:tcBorders>
              <w:top w:val="single" w:sz="8" w:space="0" w:color="auto"/>
              <w:left w:val="nil"/>
              <w:bottom w:val="single" w:sz="8" w:space="0" w:color="auto"/>
              <w:right w:val="single" w:sz="8" w:space="0" w:color="auto"/>
            </w:tcBorders>
            <w:shd w:val="clear" w:color="auto" w:fill="auto"/>
            <w:noWrap/>
            <w:vAlign w:val="center"/>
            <w:hideMark/>
          </w:tcPr>
          <w:p w:rsidR="00AB31BE" w:rsidRPr="00DE20B1" w:rsidRDefault="00C67B6F" w:rsidP="00DE20B1">
            <w:pPr>
              <w:widowControl/>
              <w:jc w:val="center"/>
              <w:rPr>
                <w:rFonts w:ascii="宋体" w:eastAsia="宋体" w:hAnsi="宋体" w:cs="宋体"/>
                <w:b/>
                <w:bCs/>
                <w:color w:val="000000"/>
                <w:kern w:val="0"/>
                <w:sz w:val="20"/>
                <w:szCs w:val="20"/>
              </w:rPr>
            </w:pPr>
            <w:r>
              <w:rPr>
                <w:rFonts w:ascii="宋体" w:eastAsia="宋体" w:hAnsi="宋体" w:cs="宋体" w:hint="eastAsia"/>
                <w:b/>
                <w:bCs/>
                <w:color w:val="000000"/>
                <w:kern w:val="0"/>
                <w:sz w:val="20"/>
                <w:szCs w:val="20"/>
              </w:rPr>
              <w:t>基金</w:t>
            </w:r>
            <w:r w:rsidR="00AB31BE" w:rsidRPr="00DE20B1">
              <w:rPr>
                <w:rFonts w:ascii="宋体" w:eastAsia="宋体" w:hAnsi="宋体" w:cs="宋体" w:hint="eastAsia"/>
                <w:b/>
                <w:bCs/>
                <w:color w:val="000000"/>
                <w:kern w:val="0"/>
                <w:sz w:val="20"/>
                <w:szCs w:val="20"/>
              </w:rPr>
              <w:t>名称</w:t>
            </w:r>
          </w:p>
        </w:tc>
        <w:tc>
          <w:tcPr>
            <w:tcW w:w="2268" w:type="dxa"/>
            <w:tcBorders>
              <w:top w:val="single" w:sz="8" w:space="0" w:color="auto"/>
              <w:left w:val="nil"/>
              <w:bottom w:val="single" w:sz="8" w:space="0" w:color="auto"/>
              <w:right w:val="single" w:sz="8" w:space="0" w:color="auto"/>
            </w:tcBorders>
            <w:shd w:val="clear" w:color="auto" w:fill="auto"/>
            <w:noWrap/>
            <w:vAlign w:val="center"/>
            <w:hideMark/>
          </w:tcPr>
          <w:p w:rsidR="00AB31BE" w:rsidRPr="00DE20B1" w:rsidRDefault="00C761A9" w:rsidP="00DE20B1">
            <w:pPr>
              <w:widowControl/>
              <w:jc w:val="center"/>
              <w:rPr>
                <w:rFonts w:ascii="宋体" w:eastAsia="宋体" w:hAnsi="宋体" w:cs="宋体"/>
                <w:b/>
                <w:bCs/>
                <w:color w:val="000000"/>
                <w:kern w:val="0"/>
                <w:sz w:val="20"/>
                <w:szCs w:val="20"/>
              </w:rPr>
            </w:pPr>
            <w:r w:rsidRPr="00C761A9">
              <w:rPr>
                <w:rFonts w:ascii="宋体" w:eastAsia="宋体" w:hAnsi="宋体" w:cs="宋体" w:hint="eastAsia"/>
                <w:b/>
                <w:bCs/>
                <w:color w:val="000000"/>
                <w:kern w:val="0"/>
                <w:sz w:val="20"/>
                <w:szCs w:val="20"/>
              </w:rPr>
              <w:t>原扩位证券简称</w:t>
            </w:r>
          </w:p>
        </w:tc>
        <w:tc>
          <w:tcPr>
            <w:tcW w:w="2552" w:type="dxa"/>
            <w:tcBorders>
              <w:top w:val="single" w:sz="8" w:space="0" w:color="auto"/>
              <w:left w:val="nil"/>
              <w:bottom w:val="single" w:sz="8" w:space="0" w:color="auto"/>
              <w:right w:val="single" w:sz="8" w:space="0" w:color="auto"/>
            </w:tcBorders>
            <w:shd w:val="clear" w:color="auto" w:fill="auto"/>
            <w:noWrap/>
            <w:vAlign w:val="center"/>
            <w:hideMark/>
          </w:tcPr>
          <w:p w:rsidR="00AB31BE" w:rsidRPr="00DE20B1" w:rsidRDefault="00686851" w:rsidP="00DE20B1">
            <w:pPr>
              <w:widowControl/>
              <w:jc w:val="center"/>
              <w:rPr>
                <w:rFonts w:ascii="宋体" w:eastAsia="宋体" w:hAnsi="宋体" w:cs="宋体"/>
                <w:b/>
                <w:bCs/>
                <w:color w:val="000000"/>
                <w:kern w:val="0"/>
                <w:sz w:val="20"/>
                <w:szCs w:val="20"/>
              </w:rPr>
            </w:pPr>
            <w:r w:rsidRPr="00686851">
              <w:rPr>
                <w:rFonts w:ascii="宋体" w:eastAsia="宋体" w:hAnsi="宋体" w:cs="宋体" w:hint="eastAsia"/>
                <w:b/>
                <w:bCs/>
                <w:color w:val="000000"/>
                <w:kern w:val="0"/>
                <w:sz w:val="20"/>
                <w:szCs w:val="20"/>
              </w:rPr>
              <w:t>变更后扩位证券简称</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518880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华安易富黄金交易型开放式证券投资基金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黄金</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黄金</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510180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上证</w:t>
            </w:r>
            <w:r>
              <w:rPr>
                <w:rFonts w:hint="eastAsia"/>
                <w:color w:val="000000"/>
                <w:sz w:val="20"/>
                <w:szCs w:val="20"/>
              </w:rPr>
              <w:t>180</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上证</w:t>
            </w:r>
            <w:r>
              <w:rPr>
                <w:rFonts w:ascii="Arial" w:hAnsi="Arial" w:cs="Arial"/>
                <w:color w:val="000000"/>
                <w:sz w:val="20"/>
                <w:szCs w:val="20"/>
              </w:rPr>
              <w:t>180ETF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上证</w:t>
            </w:r>
            <w:r>
              <w:rPr>
                <w:rFonts w:ascii="Arial" w:hAnsi="Arial" w:cs="Arial"/>
                <w:color w:val="000000"/>
                <w:sz w:val="20"/>
                <w:szCs w:val="20"/>
              </w:rPr>
              <w:t>180ETF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513920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华安恒生港股通中国央企红利交易型开放式指数证券投资基金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港股通央企红利</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港股通央企红利</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513580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华安恒生科技交易型开放式指数证券投资基金（</w:t>
            </w:r>
            <w:r>
              <w:rPr>
                <w:rFonts w:hint="eastAsia"/>
                <w:color w:val="000000"/>
                <w:sz w:val="20"/>
                <w:szCs w:val="20"/>
              </w:rPr>
              <w:t>QDII</w:t>
            </w:r>
            <w:r>
              <w:rPr>
                <w:rFonts w:hint="eastAsia"/>
                <w:color w:val="000000"/>
                <w:sz w:val="20"/>
                <w:szCs w:val="20"/>
              </w:rPr>
              <w:t>）</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恒生科技</w:t>
            </w:r>
            <w:r>
              <w:rPr>
                <w:rFonts w:ascii="Arial" w:hAnsi="Arial" w:cs="Arial"/>
                <w:color w:val="000000"/>
                <w:sz w:val="20"/>
                <w:szCs w:val="20"/>
              </w:rPr>
              <w:t>ETF</w:t>
            </w:r>
            <w:r>
              <w:rPr>
                <w:rFonts w:hint="eastAsia"/>
                <w:color w:val="000000"/>
                <w:sz w:val="20"/>
                <w:szCs w:val="20"/>
              </w:rPr>
              <w:t>指数</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恒生科技</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588290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华安上证科创板芯片交易型开放式指数证券投资基金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科创芯片</w:t>
            </w:r>
            <w:r>
              <w:rPr>
                <w:rFonts w:ascii="Arial" w:hAnsi="Arial" w:cs="Arial"/>
                <w:color w:val="000000"/>
                <w:sz w:val="20"/>
                <w:szCs w:val="20"/>
              </w:rPr>
              <w:t>ETF</w:t>
            </w:r>
            <w:r>
              <w:rPr>
                <w:rFonts w:hint="eastAsia"/>
                <w:color w:val="000000"/>
                <w:sz w:val="20"/>
                <w:szCs w:val="20"/>
              </w:rPr>
              <w:t>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科创芯片</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513880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华安三菱日联日经</w:t>
            </w:r>
            <w:r>
              <w:rPr>
                <w:rFonts w:hint="eastAsia"/>
                <w:color w:val="000000"/>
                <w:sz w:val="20"/>
                <w:szCs w:val="20"/>
              </w:rPr>
              <w:t>225</w:t>
            </w:r>
            <w:r>
              <w:rPr>
                <w:rFonts w:hint="eastAsia"/>
                <w:color w:val="000000"/>
                <w:sz w:val="20"/>
                <w:szCs w:val="20"/>
              </w:rPr>
              <w:t>交易型开放式指数证券投资基金（</w:t>
            </w:r>
            <w:r>
              <w:rPr>
                <w:rFonts w:hint="eastAsia"/>
                <w:color w:val="000000"/>
                <w:sz w:val="20"/>
                <w:szCs w:val="20"/>
              </w:rPr>
              <w:t>QDII</w:t>
            </w:r>
            <w:r>
              <w:rPr>
                <w:rFonts w:hint="eastAsia"/>
                <w:color w:val="000000"/>
                <w:sz w:val="20"/>
                <w:szCs w:val="20"/>
              </w:rPr>
              <w:t>）</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日经</w:t>
            </w:r>
            <w:r>
              <w:rPr>
                <w:rFonts w:ascii="Arial" w:hAnsi="Arial" w:cs="Arial"/>
                <w:color w:val="000000"/>
                <w:sz w:val="20"/>
                <w:szCs w:val="20"/>
              </w:rPr>
              <w:t>225ETF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日经</w:t>
            </w:r>
            <w:r>
              <w:rPr>
                <w:rFonts w:ascii="Arial" w:hAnsi="Arial" w:cs="Arial"/>
                <w:color w:val="000000"/>
                <w:sz w:val="20"/>
                <w:szCs w:val="20"/>
              </w:rPr>
              <w:t>225ETF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513030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华安国际龙头</w:t>
            </w:r>
            <w:r w:rsidR="009911A7">
              <w:rPr>
                <w:rFonts w:hint="eastAsia"/>
                <w:color w:val="000000"/>
                <w:sz w:val="20"/>
                <w:szCs w:val="20"/>
              </w:rPr>
              <w:t>（</w:t>
            </w:r>
            <w:r>
              <w:rPr>
                <w:rFonts w:hint="eastAsia"/>
                <w:color w:val="000000"/>
                <w:sz w:val="20"/>
                <w:szCs w:val="20"/>
              </w:rPr>
              <w:t>DAX</w:t>
            </w:r>
            <w:r w:rsidR="009911A7">
              <w:rPr>
                <w:rFonts w:hint="eastAsia"/>
                <w:color w:val="000000"/>
                <w:sz w:val="20"/>
                <w:szCs w:val="20"/>
              </w:rPr>
              <w:t>）</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德国</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德国</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520840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华安恒生港股通科技主题交易型开放式指数证券投资基金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港股通恒生科技</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港股通恒生科技</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513080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华安法国</w:t>
            </w:r>
            <w:r>
              <w:rPr>
                <w:rFonts w:hint="eastAsia"/>
                <w:color w:val="000000"/>
                <w:sz w:val="20"/>
                <w:szCs w:val="20"/>
              </w:rPr>
              <w:t>CAC40</w:t>
            </w:r>
            <w:r>
              <w:rPr>
                <w:rFonts w:hint="eastAsia"/>
                <w:color w:val="000000"/>
                <w:sz w:val="20"/>
                <w:szCs w:val="20"/>
              </w:rPr>
              <w:t>交易型开放式指数证券投资基金（</w:t>
            </w:r>
            <w:r>
              <w:rPr>
                <w:rFonts w:hint="eastAsia"/>
                <w:color w:val="000000"/>
                <w:sz w:val="20"/>
                <w:szCs w:val="20"/>
              </w:rPr>
              <w:t>QDII</w:t>
            </w:r>
            <w:r>
              <w:rPr>
                <w:rFonts w:hint="eastAsia"/>
                <w:color w:val="000000"/>
                <w:sz w:val="20"/>
                <w:szCs w:val="20"/>
              </w:rPr>
              <w:t>）</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法国</w:t>
            </w:r>
            <w:r>
              <w:rPr>
                <w:rFonts w:ascii="Arial" w:hAnsi="Arial" w:cs="Arial"/>
                <w:color w:val="000000"/>
                <w:sz w:val="20"/>
                <w:szCs w:val="20"/>
              </w:rPr>
              <w:t>CAC40ETF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法国</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515390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华安沪深</w:t>
            </w:r>
            <w:r>
              <w:rPr>
                <w:rFonts w:hint="eastAsia"/>
                <w:color w:val="000000"/>
                <w:sz w:val="20"/>
                <w:szCs w:val="20"/>
              </w:rPr>
              <w:t>300</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沪深</w:t>
            </w:r>
            <w:r>
              <w:rPr>
                <w:rFonts w:ascii="Arial" w:hAnsi="Arial" w:cs="Arial"/>
                <w:color w:val="000000"/>
                <w:sz w:val="20"/>
                <w:szCs w:val="20"/>
              </w:rPr>
              <w:t>300ETF</w:t>
            </w:r>
            <w:r>
              <w:rPr>
                <w:rFonts w:hint="eastAsia"/>
                <w:color w:val="000000"/>
                <w:sz w:val="20"/>
                <w:szCs w:val="20"/>
              </w:rPr>
              <w:t>指数基金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沪深</w:t>
            </w:r>
            <w:r>
              <w:rPr>
                <w:rFonts w:ascii="Arial" w:hAnsi="Arial" w:cs="Arial"/>
                <w:color w:val="000000"/>
                <w:sz w:val="20"/>
                <w:szCs w:val="20"/>
              </w:rPr>
              <w:t>300ETF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588280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华安上证科创板</w:t>
            </w:r>
            <w:r>
              <w:rPr>
                <w:rFonts w:hint="eastAsia"/>
                <w:color w:val="000000"/>
                <w:sz w:val="20"/>
                <w:szCs w:val="20"/>
              </w:rPr>
              <w:t>50</w:t>
            </w:r>
            <w:r>
              <w:rPr>
                <w:rFonts w:hint="eastAsia"/>
                <w:color w:val="000000"/>
                <w:sz w:val="20"/>
                <w:szCs w:val="20"/>
              </w:rPr>
              <w:t>成份交易型开放式指数证券投资基金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w:t>
            </w:r>
            <w:r>
              <w:rPr>
                <w:rFonts w:ascii="Arial" w:hAnsi="Arial" w:cs="Arial"/>
                <w:color w:val="000000"/>
                <w:sz w:val="20"/>
                <w:szCs w:val="20"/>
              </w:rPr>
              <w:t>50ETF</w:t>
            </w:r>
            <w:r>
              <w:rPr>
                <w:rFonts w:hint="eastAsia"/>
                <w:color w:val="000000"/>
                <w:sz w:val="20"/>
                <w:szCs w:val="20"/>
              </w:rPr>
              <w:t>指数基金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w:t>
            </w:r>
            <w:r>
              <w:rPr>
                <w:rFonts w:ascii="Arial" w:hAnsi="Arial" w:cs="Arial"/>
                <w:color w:val="000000"/>
                <w:sz w:val="20"/>
                <w:szCs w:val="20"/>
              </w:rPr>
              <w:t>50ETF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512120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华安中证细分医药交易型开放式指数证券投资基金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医药</w:t>
            </w:r>
            <w:r>
              <w:rPr>
                <w:rFonts w:ascii="Arial" w:hAnsi="Arial" w:cs="Arial"/>
                <w:color w:val="000000"/>
                <w:sz w:val="20"/>
                <w:szCs w:val="20"/>
              </w:rPr>
              <w:t>50ETF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医药</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516200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华安中证全指证券公司交易型开放式指数证券投资基金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证券</w:t>
            </w:r>
            <w:r>
              <w:rPr>
                <w:rFonts w:ascii="Arial" w:hAnsi="Arial" w:cs="Arial"/>
                <w:color w:val="000000"/>
                <w:sz w:val="20"/>
                <w:szCs w:val="20"/>
              </w:rPr>
              <w:t>ETF</w:t>
            </w:r>
            <w:r>
              <w:rPr>
                <w:rFonts w:hint="eastAsia"/>
                <w:color w:val="000000"/>
                <w:sz w:val="20"/>
                <w:szCs w:val="20"/>
              </w:rPr>
              <w:t>指数基金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hint="eastAsia"/>
                <w:color w:val="000000"/>
                <w:sz w:val="20"/>
                <w:szCs w:val="20"/>
              </w:rPr>
              <w:t>证券</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561010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华安中证全指软件开发交易型开放式指数证券投资基金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软件</w:t>
            </w:r>
            <w:r>
              <w:rPr>
                <w:rFonts w:ascii="Arial" w:hAnsi="Arial" w:cs="Arial"/>
                <w:color w:val="000000"/>
                <w:sz w:val="20"/>
                <w:szCs w:val="20"/>
              </w:rPr>
              <w:t>ETF</w:t>
            </w:r>
            <w:r>
              <w:rPr>
                <w:rFonts w:hint="eastAsia"/>
                <w:color w:val="000000"/>
                <w:sz w:val="20"/>
                <w:szCs w:val="20"/>
              </w:rPr>
              <w:t>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软件</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516660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华安中证新能源汽车交易型开放式指数证券投资基金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新能源车</w:t>
            </w:r>
            <w:r>
              <w:rPr>
                <w:rFonts w:ascii="Arial" w:hAnsi="Arial" w:cs="Arial"/>
                <w:color w:val="000000"/>
                <w:sz w:val="20"/>
                <w:szCs w:val="20"/>
              </w:rPr>
              <w:t>ETF</w:t>
            </w:r>
            <w:r>
              <w:rPr>
                <w:rFonts w:hint="eastAsia"/>
                <w:color w:val="000000"/>
                <w:sz w:val="20"/>
                <w:szCs w:val="20"/>
              </w:rPr>
              <w:t>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新能源车</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561090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w:t>
            </w:r>
            <w:r>
              <w:rPr>
                <w:rFonts w:hint="eastAsia"/>
                <w:color w:val="000000"/>
                <w:sz w:val="20"/>
                <w:szCs w:val="20"/>
              </w:rPr>
              <w:t>A500</w:t>
            </w:r>
            <w:r>
              <w:rPr>
                <w:rFonts w:hint="eastAsia"/>
                <w:color w:val="000000"/>
                <w:sz w:val="20"/>
                <w:szCs w:val="20"/>
              </w:rPr>
              <w:t>增强策略交易型开放式指数证券投资基金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中证</w:t>
            </w:r>
            <w:r>
              <w:rPr>
                <w:rFonts w:ascii="Arial" w:hAnsi="Arial" w:cs="Arial"/>
                <w:color w:val="000000"/>
                <w:sz w:val="20"/>
                <w:szCs w:val="20"/>
              </w:rPr>
              <w:t>A500</w:t>
            </w:r>
            <w:r>
              <w:rPr>
                <w:rFonts w:hint="eastAsia"/>
                <w:color w:val="000000"/>
                <w:sz w:val="20"/>
                <w:szCs w:val="20"/>
              </w:rPr>
              <w:t>增强</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ascii="Arial" w:eastAsia="等线" w:hAnsi="Arial" w:cs="Arial"/>
                <w:color w:val="000000"/>
                <w:sz w:val="20"/>
                <w:szCs w:val="20"/>
              </w:rPr>
              <w:t>A500</w:t>
            </w:r>
            <w:r>
              <w:rPr>
                <w:rFonts w:cs="Arial" w:hint="eastAsia"/>
                <w:color w:val="000000"/>
                <w:sz w:val="20"/>
                <w:szCs w:val="20"/>
              </w:rPr>
              <w:t>增强</w:t>
            </w:r>
            <w:r>
              <w:rPr>
                <w:rFonts w:ascii="Arial" w:eastAsia="等线" w:hAnsi="Arial" w:cs="Arial"/>
                <w:color w:val="000000"/>
                <w:sz w:val="20"/>
                <w:szCs w:val="20"/>
              </w:rPr>
              <w:t>ETF</w:t>
            </w:r>
            <w:r>
              <w:rPr>
                <w:rFonts w:cs="Arial"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516270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华安中证内地新能源主题交易型开</w:t>
            </w:r>
            <w:r>
              <w:rPr>
                <w:rFonts w:hint="eastAsia"/>
                <w:color w:val="000000"/>
                <w:sz w:val="20"/>
                <w:szCs w:val="20"/>
              </w:rPr>
              <w:lastRenderedPageBreak/>
              <w:t>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lastRenderedPageBreak/>
              <w:t>新能源</w:t>
            </w:r>
            <w:r>
              <w:rPr>
                <w:rFonts w:ascii="Arial" w:hAnsi="Arial" w:cs="Arial"/>
                <w:color w:val="000000"/>
                <w:sz w:val="20"/>
                <w:szCs w:val="20"/>
              </w:rPr>
              <w:t>50ETF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新能源</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lastRenderedPageBreak/>
              <w:t>516900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华安中证申万食品饮料交易型开放式指数证券投资基金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食品饮料</w:t>
            </w:r>
            <w:r>
              <w:rPr>
                <w:rFonts w:ascii="Arial" w:hAnsi="Arial" w:cs="Arial"/>
                <w:color w:val="000000"/>
                <w:sz w:val="20"/>
                <w:szCs w:val="20"/>
              </w:rPr>
              <w:t>ETF</w:t>
            </w:r>
            <w:r>
              <w:rPr>
                <w:rFonts w:hint="eastAsia"/>
                <w:color w:val="000000"/>
                <w:sz w:val="20"/>
                <w:szCs w:val="20"/>
              </w:rPr>
              <w:t>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食品饮料</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516210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华安中证银行交易型开放式指数证券投资基金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银行</w:t>
            </w:r>
            <w:r>
              <w:rPr>
                <w:rFonts w:ascii="Arial" w:hAnsi="Arial" w:cs="Arial"/>
                <w:color w:val="000000"/>
                <w:sz w:val="20"/>
                <w:szCs w:val="20"/>
              </w:rPr>
              <w:t>ETF</w:t>
            </w:r>
            <w:r>
              <w:rPr>
                <w:rFonts w:hint="eastAsia"/>
                <w:color w:val="000000"/>
                <w:sz w:val="20"/>
                <w:szCs w:val="20"/>
              </w:rPr>
              <w:t>指数基金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银行</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588260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华安上证科创板新一代信息技术交易型开放式指数证券投资基金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科创信息</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科创信息</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515320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华安中证电子</w:t>
            </w:r>
            <w:r>
              <w:rPr>
                <w:rFonts w:hint="eastAsia"/>
                <w:color w:val="000000"/>
                <w:sz w:val="20"/>
                <w:szCs w:val="20"/>
              </w:rPr>
              <w:t>50</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电子</w:t>
            </w:r>
            <w:r>
              <w:rPr>
                <w:rFonts w:ascii="Arial" w:hAnsi="Arial" w:cs="Arial"/>
                <w:color w:val="000000"/>
                <w:sz w:val="20"/>
                <w:szCs w:val="20"/>
              </w:rPr>
              <w:t>50ETF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电子</w:t>
            </w:r>
            <w:r>
              <w:rPr>
                <w:rFonts w:ascii="Arial" w:hAnsi="Arial" w:cs="Arial"/>
                <w:color w:val="000000"/>
                <w:sz w:val="20"/>
                <w:szCs w:val="20"/>
              </w:rPr>
              <w:t>50ETF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513900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w:t>
            </w:r>
            <w:r>
              <w:rPr>
                <w:rFonts w:hint="eastAsia"/>
                <w:color w:val="000000"/>
                <w:sz w:val="20"/>
                <w:szCs w:val="20"/>
              </w:rPr>
              <w:t>CES</w:t>
            </w:r>
            <w:r>
              <w:rPr>
                <w:rFonts w:hint="eastAsia"/>
                <w:color w:val="000000"/>
                <w:sz w:val="20"/>
                <w:szCs w:val="20"/>
              </w:rPr>
              <w:t>港股通精选</w:t>
            </w:r>
            <w:r>
              <w:rPr>
                <w:rFonts w:hint="eastAsia"/>
                <w:color w:val="000000"/>
                <w:sz w:val="20"/>
                <w:szCs w:val="20"/>
              </w:rPr>
              <w:t>100</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w:t>
            </w:r>
            <w:r>
              <w:rPr>
                <w:rFonts w:ascii="Arial" w:hAnsi="Arial" w:cs="Arial"/>
                <w:color w:val="000000"/>
                <w:sz w:val="20"/>
                <w:szCs w:val="20"/>
              </w:rPr>
              <w:t>100ETF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w:t>
            </w:r>
            <w:r>
              <w:rPr>
                <w:rFonts w:ascii="Arial" w:hAnsi="Arial" w:cs="Arial"/>
                <w:color w:val="000000"/>
                <w:sz w:val="20"/>
                <w:szCs w:val="20"/>
              </w:rPr>
              <w:t>100ETF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511600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华安日日鑫货币市场基金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货币</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华安日日鑫</w:t>
            </w:r>
            <w:r>
              <w:rPr>
                <w:rFonts w:hint="eastAsia"/>
                <w:color w:val="000000"/>
                <w:sz w:val="20"/>
                <w:szCs w:val="20"/>
              </w:rPr>
              <w:t>ETF</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561000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华安沪深</w:t>
            </w:r>
            <w:r>
              <w:rPr>
                <w:rFonts w:hint="eastAsia"/>
                <w:color w:val="000000"/>
                <w:sz w:val="20"/>
                <w:szCs w:val="20"/>
              </w:rPr>
              <w:t>300</w:t>
            </w:r>
            <w:r>
              <w:rPr>
                <w:rFonts w:hint="eastAsia"/>
                <w:color w:val="000000"/>
                <w:sz w:val="20"/>
                <w:szCs w:val="20"/>
              </w:rPr>
              <w:t>增强策略交易型开放式指数证券投资基金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沪深</w:t>
            </w:r>
            <w:r>
              <w:rPr>
                <w:rFonts w:ascii="Arial" w:hAnsi="Arial" w:cs="Arial"/>
                <w:color w:val="000000"/>
                <w:sz w:val="20"/>
                <w:szCs w:val="20"/>
              </w:rPr>
              <w:t>300ETF</w:t>
            </w:r>
            <w:r>
              <w:rPr>
                <w:rFonts w:hint="eastAsia"/>
                <w:color w:val="000000"/>
                <w:sz w:val="20"/>
                <w:szCs w:val="20"/>
              </w:rPr>
              <w:t>增强基金</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沪深</w:t>
            </w:r>
            <w:r>
              <w:rPr>
                <w:rFonts w:ascii="Arial" w:hAnsi="Arial" w:cs="Arial"/>
                <w:color w:val="000000"/>
                <w:sz w:val="20"/>
                <w:szCs w:val="20"/>
              </w:rPr>
              <w:t>300</w:t>
            </w:r>
            <w:r>
              <w:rPr>
                <w:rFonts w:hint="eastAsia"/>
                <w:color w:val="000000"/>
                <w:sz w:val="20"/>
                <w:szCs w:val="20"/>
              </w:rPr>
              <w:t>增强</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561060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华安中证国有企业红利交易型开放式指数证券投资基金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国企红利</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国企红利</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512260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w:t>
            </w:r>
            <w:r>
              <w:rPr>
                <w:rFonts w:hint="eastAsia"/>
                <w:color w:val="000000"/>
                <w:sz w:val="20"/>
                <w:szCs w:val="20"/>
              </w:rPr>
              <w:t>500</w:t>
            </w:r>
            <w:r>
              <w:rPr>
                <w:rFonts w:hint="eastAsia"/>
                <w:color w:val="000000"/>
                <w:sz w:val="20"/>
                <w:szCs w:val="20"/>
              </w:rPr>
              <w:t>行业中性低波动交易型开放式指数证券投资基金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中证</w:t>
            </w:r>
            <w:r>
              <w:rPr>
                <w:rFonts w:ascii="Arial" w:hAnsi="Arial" w:cs="Arial"/>
                <w:color w:val="000000"/>
                <w:sz w:val="20"/>
                <w:szCs w:val="20"/>
              </w:rPr>
              <w:t>500</w:t>
            </w:r>
            <w:r>
              <w:rPr>
                <w:rFonts w:hint="eastAsia"/>
                <w:color w:val="000000"/>
                <w:sz w:val="20"/>
                <w:szCs w:val="20"/>
              </w:rPr>
              <w:t>低波动</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中证</w:t>
            </w:r>
            <w:r>
              <w:rPr>
                <w:rFonts w:ascii="Arial" w:hAnsi="Arial" w:cs="Arial"/>
                <w:color w:val="000000"/>
                <w:sz w:val="20"/>
                <w:szCs w:val="20"/>
              </w:rPr>
              <w:t>500</w:t>
            </w:r>
            <w:r>
              <w:rPr>
                <w:rFonts w:hint="eastAsia"/>
                <w:color w:val="000000"/>
                <w:sz w:val="20"/>
                <w:szCs w:val="20"/>
              </w:rPr>
              <w:t>低波动</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561080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华安中证全指自由现金流交易型开放式指数证券投资基金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自由现金流</w:t>
            </w:r>
            <w:r>
              <w:rPr>
                <w:rFonts w:ascii="Arial" w:hAnsi="Arial" w:cs="Arial"/>
                <w:color w:val="000000"/>
                <w:sz w:val="20"/>
                <w:szCs w:val="20"/>
              </w:rPr>
              <w:t>ETF</w:t>
            </w:r>
            <w:r>
              <w:rPr>
                <w:rFonts w:hint="eastAsia"/>
                <w:color w:val="000000"/>
                <w:sz w:val="20"/>
                <w:szCs w:val="20"/>
              </w:rPr>
              <w:t>中证全指</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全指现金流</w:t>
            </w:r>
            <w:r>
              <w:rPr>
                <w:rFonts w:hint="eastAsia"/>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520940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华安恒指港股通交易型开放式指数证券投资基金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港股通恒生</w:t>
            </w:r>
            <w:r>
              <w:rPr>
                <w:rFonts w:ascii="Arial" w:hAnsi="Arial" w:cs="Arial"/>
                <w:color w:val="000000"/>
                <w:sz w:val="20"/>
                <w:szCs w:val="20"/>
              </w:rPr>
              <w:t>ETF</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港股通恒生</w:t>
            </w:r>
            <w:r>
              <w:rPr>
                <w:rFonts w:ascii="Arial" w:hAnsi="Arial" w:cs="Arial"/>
                <w:color w:val="000000"/>
                <w:sz w:val="20"/>
                <w:szCs w:val="20"/>
              </w:rPr>
              <w:t>ETF</w:t>
            </w:r>
            <w:r>
              <w:rPr>
                <w:rFonts w:hint="eastAsia"/>
                <w:color w:val="000000"/>
                <w:sz w:val="20"/>
                <w:szCs w:val="20"/>
              </w:rPr>
              <w:t>华安</w:t>
            </w:r>
          </w:p>
        </w:tc>
      </w:tr>
      <w:tr w:rsidR="009E4774" w:rsidRPr="00DE20B1" w:rsidTr="000078ED">
        <w:trPr>
          <w:trHeight w:val="285"/>
        </w:trPr>
        <w:tc>
          <w:tcPr>
            <w:tcW w:w="992" w:type="dxa"/>
            <w:tcBorders>
              <w:top w:val="nil"/>
              <w:left w:val="single" w:sz="8" w:space="0" w:color="auto"/>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Arial" w:eastAsia="等线" w:hAnsi="Arial" w:cs="Arial"/>
                <w:color w:val="000000"/>
                <w:kern w:val="0"/>
                <w:sz w:val="20"/>
                <w:szCs w:val="20"/>
              </w:rPr>
            </w:pPr>
            <w:r>
              <w:rPr>
                <w:rFonts w:ascii="Arial" w:eastAsia="等线" w:hAnsi="Arial" w:cs="Arial"/>
                <w:color w:val="000000"/>
                <w:sz w:val="20"/>
                <w:szCs w:val="20"/>
              </w:rPr>
              <w:t>517360</w:t>
            </w:r>
          </w:p>
        </w:tc>
        <w:tc>
          <w:tcPr>
            <w:tcW w:w="3403"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华安中证沪港深科技</w:t>
            </w:r>
            <w:r>
              <w:rPr>
                <w:rFonts w:hint="eastAsia"/>
                <w:color w:val="000000"/>
                <w:sz w:val="20"/>
                <w:szCs w:val="20"/>
              </w:rPr>
              <w:t>100</w:t>
            </w:r>
            <w:r>
              <w:rPr>
                <w:rFonts w:hint="eastAsia"/>
                <w:color w:val="000000"/>
                <w:sz w:val="20"/>
                <w:szCs w:val="20"/>
              </w:rPr>
              <w:t>交易型开放式指数证券投资基金</w:t>
            </w:r>
          </w:p>
        </w:tc>
        <w:tc>
          <w:tcPr>
            <w:tcW w:w="2268"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科技</w:t>
            </w:r>
            <w:r>
              <w:rPr>
                <w:rFonts w:ascii="Arial" w:hAnsi="Arial" w:cs="Arial"/>
                <w:color w:val="000000"/>
                <w:sz w:val="20"/>
                <w:szCs w:val="20"/>
              </w:rPr>
              <w:t>ETF</w:t>
            </w:r>
            <w:r>
              <w:rPr>
                <w:rFonts w:hint="eastAsia"/>
                <w:color w:val="000000"/>
                <w:sz w:val="20"/>
                <w:szCs w:val="20"/>
              </w:rPr>
              <w:t>沪港深</w:t>
            </w:r>
          </w:p>
        </w:tc>
        <w:tc>
          <w:tcPr>
            <w:tcW w:w="2552" w:type="dxa"/>
            <w:tcBorders>
              <w:top w:val="nil"/>
              <w:left w:val="nil"/>
              <w:bottom w:val="single" w:sz="8" w:space="0" w:color="auto"/>
              <w:right w:val="single" w:sz="8" w:space="0" w:color="auto"/>
            </w:tcBorders>
            <w:shd w:val="clear" w:color="auto" w:fill="auto"/>
            <w:noWrap/>
            <w:vAlign w:val="center"/>
            <w:hideMark/>
          </w:tcPr>
          <w:p w:rsidR="009E4774" w:rsidRPr="00DE20B1" w:rsidRDefault="009E4774" w:rsidP="009E4774">
            <w:pPr>
              <w:widowControl/>
              <w:jc w:val="center"/>
              <w:rPr>
                <w:rFonts w:ascii="宋体" w:eastAsia="宋体" w:hAnsi="宋体" w:cs="宋体"/>
                <w:color w:val="000000"/>
                <w:kern w:val="0"/>
                <w:sz w:val="20"/>
                <w:szCs w:val="20"/>
              </w:rPr>
            </w:pPr>
            <w:r>
              <w:rPr>
                <w:rFonts w:hint="eastAsia"/>
                <w:color w:val="000000"/>
                <w:sz w:val="20"/>
                <w:szCs w:val="20"/>
              </w:rPr>
              <w:t>沪港深科技</w:t>
            </w:r>
            <w:r>
              <w:rPr>
                <w:rFonts w:hint="eastAsia"/>
                <w:color w:val="000000"/>
                <w:sz w:val="20"/>
                <w:szCs w:val="20"/>
              </w:rPr>
              <w:t>ETF</w:t>
            </w:r>
            <w:r>
              <w:rPr>
                <w:rFonts w:hint="eastAsia"/>
                <w:color w:val="000000"/>
                <w:sz w:val="20"/>
                <w:szCs w:val="20"/>
              </w:rPr>
              <w:t>华安</w:t>
            </w:r>
          </w:p>
        </w:tc>
      </w:tr>
    </w:tbl>
    <w:p w:rsidR="00702C8E" w:rsidRDefault="00F6748A">
      <w:pPr>
        <w:spacing w:line="360" w:lineRule="auto"/>
        <w:ind w:firstLineChars="200" w:firstLine="420"/>
        <w:rPr>
          <w:rFonts w:ascii="Times New Roman" w:eastAsia="宋体" w:hAnsi="Times New Roman" w:cs="Times New Roman"/>
          <w:szCs w:val="21"/>
        </w:rPr>
      </w:pPr>
      <w:bookmarkStart w:id="0" w:name="_GoBack"/>
      <w:bookmarkEnd w:id="0"/>
      <w:r>
        <w:rPr>
          <w:rFonts w:ascii="Times New Roman" w:eastAsia="宋体" w:hAnsi="Times New Roman" w:cs="Times New Roman" w:hint="eastAsia"/>
          <w:szCs w:val="21"/>
        </w:rPr>
        <w:t>基金代码、基金名称等其他事项保持不变</w:t>
      </w:r>
      <w:r w:rsidR="00381F22">
        <w:rPr>
          <w:rFonts w:ascii="Times New Roman" w:eastAsia="宋体" w:hAnsi="Times New Roman" w:cs="Times New Roman" w:hint="eastAsia"/>
          <w:szCs w:val="21"/>
        </w:rPr>
        <w:t>。本次更新符合相关法律法规及基金合同的规定，基金管理人将据此更新上述基金的产品资料概要。</w:t>
      </w:r>
    </w:p>
    <w:p w:rsidR="00702C8E" w:rsidRDefault="00381F2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以上基金扩位证券简称变更对基金份额持有人的权益无实质性不利影响，无需召开基金份额持有人大会审议。</w:t>
      </w:r>
    </w:p>
    <w:p w:rsidR="00702C8E" w:rsidRDefault="00381F2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风险提示：基金管理人承诺以诚实信用、勤勉尽责的原则管理和运用基金资产，但不保证基金一定盈利，也不保证最低收益。投资者在投资基金前应认真阅读《基金合同》《招募说明书》《基金产品资料概要》等基金法律文件，敬请投资者注意投资风险。</w:t>
      </w:r>
    </w:p>
    <w:p w:rsidR="00702C8E" w:rsidRDefault="00702C8E">
      <w:pPr>
        <w:spacing w:line="360" w:lineRule="auto"/>
        <w:ind w:firstLineChars="200" w:firstLine="420"/>
        <w:rPr>
          <w:rFonts w:ascii="Times New Roman" w:eastAsia="宋体" w:hAnsi="Times New Roman" w:cs="Times New Roman"/>
          <w:szCs w:val="21"/>
        </w:rPr>
      </w:pPr>
    </w:p>
    <w:p w:rsidR="00702C8E" w:rsidRDefault="00381F22">
      <w:pPr>
        <w:spacing w:line="360" w:lineRule="auto"/>
        <w:ind w:firstLineChars="200" w:firstLine="420"/>
        <w:rPr>
          <w:rFonts w:ascii="Times New Roman" w:eastAsia="宋体" w:hAnsi="Times New Roman" w:cs="Times New Roman"/>
          <w:szCs w:val="21"/>
        </w:rPr>
      </w:pPr>
      <w:r>
        <w:rPr>
          <w:rFonts w:ascii="Times New Roman" w:eastAsia="宋体" w:hAnsi="Times New Roman" w:cs="Times New Roman" w:hint="eastAsia"/>
          <w:szCs w:val="21"/>
        </w:rPr>
        <w:t>特此公告。</w:t>
      </w:r>
    </w:p>
    <w:p w:rsidR="00702C8E" w:rsidRDefault="00702C8E">
      <w:pPr>
        <w:spacing w:line="360" w:lineRule="auto"/>
        <w:ind w:firstLineChars="200" w:firstLine="420"/>
        <w:rPr>
          <w:rFonts w:ascii="Times New Roman" w:eastAsia="宋体" w:hAnsi="Times New Roman" w:cs="Times New Roman"/>
          <w:szCs w:val="21"/>
        </w:rPr>
      </w:pPr>
    </w:p>
    <w:p w:rsidR="00702C8E" w:rsidRDefault="00381F22">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华安基金管理有限公司</w:t>
      </w:r>
    </w:p>
    <w:p w:rsidR="00702C8E" w:rsidRDefault="00381F22">
      <w:pPr>
        <w:spacing w:line="360" w:lineRule="auto"/>
        <w:ind w:firstLineChars="200" w:firstLine="420"/>
        <w:jc w:val="right"/>
        <w:rPr>
          <w:rFonts w:ascii="Times New Roman" w:eastAsia="宋体" w:hAnsi="Times New Roman" w:cs="Times New Roman"/>
          <w:szCs w:val="21"/>
        </w:rPr>
      </w:pPr>
      <w:r>
        <w:rPr>
          <w:rFonts w:ascii="Times New Roman" w:eastAsia="宋体" w:hAnsi="Times New Roman" w:cs="Times New Roman" w:hint="eastAsia"/>
          <w:szCs w:val="21"/>
        </w:rPr>
        <w:t>202</w:t>
      </w:r>
      <w:r w:rsidR="00D65C0B">
        <w:rPr>
          <w:rFonts w:ascii="Times New Roman" w:eastAsia="宋体" w:hAnsi="Times New Roman" w:cs="Times New Roman"/>
          <w:szCs w:val="21"/>
        </w:rPr>
        <w:t>6</w:t>
      </w:r>
      <w:r>
        <w:rPr>
          <w:rFonts w:ascii="Times New Roman" w:eastAsia="宋体" w:hAnsi="Times New Roman" w:cs="Times New Roman" w:hint="eastAsia"/>
          <w:szCs w:val="21"/>
        </w:rPr>
        <w:t>年</w:t>
      </w:r>
      <w:r w:rsidR="00D65C0B">
        <w:rPr>
          <w:rFonts w:ascii="Times New Roman" w:eastAsia="宋体" w:hAnsi="Times New Roman" w:cs="Times New Roman"/>
          <w:szCs w:val="21"/>
        </w:rPr>
        <w:t>3</w:t>
      </w:r>
      <w:r>
        <w:rPr>
          <w:rFonts w:ascii="Times New Roman" w:eastAsia="宋体" w:hAnsi="Times New Roman" w:cs="Times New Roman" w:hint="eastAsia"/>
          <w:szCs w:val="21"/>
        </w:rPr>
        <w:t>月</w:t>
      </w:r>
      <w:r w:rsidR="00D65C0B">
        <w:rPr>
          <w:rFonts w:ascii="Times New Roman" w:eastAsia="宋体" w:hAnsi="Times New Roman" w:cs="Times New Roman"/>
          <w:szCs w:val="21"/>
        </w:rPr>
        <w:t>5</w:t>
      </w:r>
      <w:r>
        <w:rPr>
          <w:rFonts w:ascii="Times New Roman" w:eastAsia="宋体" w:hAnsi="Times New Roman" w:cs="Times New Roman" w:hint="eastAsia"/>
          <w:szCs w:val="21"/>
        </w:rPr>
        <w:t>日</w:t>
      </w:r>
    </w:p>
    <w:p w:rsidR="00702C8E" w:rsidRDefault="00702C8E">
      <w:pPr>
        <w:rPr>
          <w:rFonts w:ascii="Times New Roman" w:eastAsia="宋体" w:hAnsi="Times New Roman" w:cs="Times New Roman"/>
          <w:szCs w:val="21"/>
        </w:rPr>
      </w:pPr>
    </w:p>
    <w:sectPr w:rsidR="00702C8E" w:rsidSect="00260A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5D2" w:rsidRDefault="00B655D2" w:rsidP="00236EB7">
      <w:r>
        <w:separator/>
      </w:r>
    </w:p>
  </w:endnote>
  <w:endnote w:type="continuationSeparator" w:id="0">
    <w:p w:rsidR="00B655D2" w:rsidRDefault="00B655D2" w:rsidP="00236EB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5D2" w:rsidRDefault="00B655D2" w:rsidP="00236EB7">
      <w:r>
        <w:separator/>
      </w:r>
    </w:p>
  </w:footnote>
  <w:footnote w:type="continuationSeparator" w:id="0">
    <w:p w:rsidR="00B655D2" w:rsidRDefault="00B655D2" w:rsidP="00236EB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C7830"/>
    <w:rsid w:val="000001BF"/>
    <w:rsid w:val="000078ED"/>
    <w:rsid w:val="00013FFB"/>
    <w:rsid w:val="000159C7"/>
    <w:rsid w:val="00020286"/>
    <w:rsid w:val="000432EF"/>
    <w:rsid w:val="00044ED1"/>
    <w:rsid w:val="00045532"/>
    <w:rsid w:val="00057449"/>
    <w:rsid w:val="00063064"/>
    <w:rsid w:val="00086B88"/>
    <w:rsid w:val="00092C83"/>
    <w:rsid w:val="0009713D"/>
    <w:rsid w:val="000C7830"/>
    <w:rsid w:val="000D776B"/>
    <w:rsid w:val="000E3E30"/>
    <w:rsid w:val="001018BE"/>
    <w:rsid w:val="00107A67"/>
    <w:rsid w:val="001142FB"/>
    <w:rsid w:val="00116164"/>
    <w:rsid w:val="001178C0"/>
    <w:rsid w:val="00122EAA"/>
    <w:rsid w:val="00132835"/>
    <w:rsid w:val="00133CE4"/>
    <w:rsid w:val="001355A9"/>
    <w:rsid w:val="00151CED"/>
    <w:rsid w:val="0015376A"/>
    <w:rsid w:val="001727ED"/>
    <w:rsid w:val="00175DEA"/>
    <w:rsid w:val="00185FEC"/>
    <w:rsid w:val="0018715A"/>
    <w:rsid w:val="001913B1"/>
    <w:rsid w:val="00193776"/>
    <w:rsid w:val="0019602A"/>
    <w:rsid w:val="001C5327"/>
    <w:rsid w:val="001C7572"/>
    <w:rsid w:val="001F6F30"/>
    <w:rsid w:val="002012C3"/>
    <w:rsid w:val="00205AE9"/>
    <w:rsid w:val="002135C2"/>
    <w:rsid w:val="002172D7"/>
    <w:rsid w:val="0022060B"/>
    <w:rsid w:val="0022151F"/>
    <w:rsid w:val="00223BA2"/>
    <w:rsid w:val="00233652"/>
    <w:rsid w:val="00234B18"/>
    <w:rsid w:val="00235A08"/>
    <w:rsid w:val="00236EB7"/>
    <w:rsid w:val="0025202F"/>
    <w:rsid w:val="00260A0A"/>
    <w:rsid w:val="0026603C"/>
    <w:rsid w:val="00287B85"/>
    <w:rsid w:val="00292AC8"/>
    <w:rsid w:val="0029450B"/>
    <w:rsid w:val="002967EC"/>
    <w:rsid w:val="00296E08"/>
    <w:rsid w:val="002B7FA0"/>
    <w:rsid w:val="002C085F"/>
    <w:rsid w:val="002C46E6"/>
    <w:rsid w:val="002D0053"/>
    <w:rsid w:val="002D2FD8"/>
    <w:rsid w:val="002F48DF"/>
    <w:rsid w:val="002F5A45"/>
    <w:rsid w:val="00302E69"/>
    <w:rsid w:val="00305F04"/>
    <w:rsid w:val="00305F39"/>
    <w:rsid w:val="0031676F"/>
    <w:rsid w:val="00317B11"/>
    <w:rsid w:val="0032398E"/>
    <w:rsid w:val="00326838"/>
    <w:rsid w:val="00344FC3"/>
    <w:rsid w:val="00381F22"/>
    <w:rsid w:val="00386F0B"/>
    <w:rsid w:val="003A53CE"/>
    <w:rsid w:val="003D03B7"/>
    <w:rsid w:val="003D4BCD"/>
    <w:rsid w:val="003D6E93"/>
    <w:rsid w:val="003D6F3A"/>
    <w:rsid w:val="00406A28"/>
    <w:rsid w:val="004118C2"/>
    <w:rsid w:val="00412408"/>
    <w:rsid w:val="004164AB"/>
    <w:rsid w:val="00420320"/>
    <w:rsid w:val="00424CAA"/>
    <w:rsid w:val="0042506B"/>
    <w:rsid w:val="004257CC"/>
    <w:rsid w:val="004336FA"/>
    <w:rsid w:val="00453960"/>
    <w:rsid w:val="00464F96"/>
    <w:rsid w:val="00487A85"/>
    <w:rsid w:val="004B068D"/>
    <w:rsid w:val="004C3B76"/>
    <w:rsid w:val="00503164"/>
    <w:rsid w:val="00523A18"/>
    <w:rsid w:val="00524D1E"/>
    <w:rsid w:val="005313DB"/>
    <w:rsid w:val="00535209"/>
    <w:rsid w:val="00536B18"/>
    <w:rsid w:val="00537374"/>
    <w:rsid w:val="00542E95"/>
    <w:rsid w:val="00554455"/>
    <w:rsid w:val="0055548A"/>
    <w:rsid w:val="00556A37"/>
    <w:rsid w:val="005675C4"/>
    <w:rsid w:val="00570845"/>
    <w:rsid w:val="005900C2"/>
    <w:rsid w:val="00592A2A"/>
    <w:rsid w:val="005A3188"/>
    <w:rsid w:val="005A31DC"/>
    <w:rsid w:val="005A4D0F"/>
    <w:rsid w:val="005D0107"/>
    <w:rsid w:val="005E2AD4"/>
    <w:rsid w:val="005E612C"/>
    <w:rsid w:val="005E6FA2"/>
    <w:rsid w:val="005E7DC1"/>
    <w:rsid w:val="005F3571"/>
    <w:rsid w:val="00604C2E"/>
    <w:rsid w:val="006128F6"/>
    <w:rsid w:val="006147D4"/>
    <w:rsid w:val="00630D77"/>
    <w:rsid w:val="00655B48"/>
    <w:rsid w:val="00656549"/>
    <w:rsid w:val="00657A54"/>
    <w:rsid w:val="00670765"/>
    <w:rsid w:val="00683551"/>
    <w:rsid w:val="0068469E"/>
    <w:rsid w:val="00686851"/>
    <w:rsid w:val="006B52BB"/>
    <w:rsid w:val="006E7332"/>
    <w:rsid w:val="006F5628"/>
    <w:rsid w:val="00702C8E"/>
    <w:rsid w:val="00713938"/>
    <w:rsid w:val="00741105"/>
    <w:rsid w:val="007724C3"/>
    <w:rsid w:val="00783A51"/>
    <w:rsid w:val="007A5E81"/>
    <w:rsid w:val="007C3EFC"/>
    <w:rsid w:val="007C45D9"/>
    <w:rsid w:val="007D0ECD"/>
    <w:rsid w:val="007E6A4C"/>
    <w:rsid w:val="007F6E51"/>
    <w:rsid w:val="0080241F"/>
    <w:rsid w:val="00805FAD"/>
    <w:rsid w:val="00816AE1"/>
    <w:rsid w:val="00827020"/>
    <w:rsid w:val="008306D9"/>
    <w:rsid w:val="00832A5E"/>
    <w:rsid w:val="00841F57"/>
    <w:rsid w:val="00883C7C"/>
    <w:rsid w:val="008949E7"/>
    <w:rsid w:val="008A4780"/>
    <w:rsid w:val="008B2AF5"/>
    <w:rsid w:val="008C7B36"/>
    <w:rsid w:val="008D4AB3"/>
    <w:rsid w:val="008E50D1"/>
    <w:rsid w:val="008E5CE1"/>
    <w:rsid w:val="008E5DB9"/>
    <w:rsid w:val="00922890"/>
    <w:rsid w:val="00935CD0"/>
    <w:rsid w:val="00976448"/>
    <w:rsid w:val="0098274D"/>
    <w:rsid w:val="0099024D"/>
    <w:rsid w:val="009911A7"/>
    <w:rsid w:val="00993D2D"/>
    <w:rsid w:val="009A5919"/>
    <w:rsid w:val="009B05C1"/>
    <w:rsid w:val="009C3703"/>
    <w:rsid w:val="009E4774"/>
    <w:rsid w:val="009F76D9"/>
    <w:rsid w:val="00A0502D"/>
    <w:rsid w:val="00A16220"/>
    <w:rsid w:val="00A617E1"/>
    <w:rsid w:val="00AB31BE"/>
    <w:rsid w:val="00AB3558"/>
    <w:rsid w:val="00AB4412"/>
    <w:rsid w:val="00AC2FFD"/>
    <w:rsid w:val="00AC3800"/>
    <w:rsid w:val="00AD156F"/>
    <w:rsid w:val="00AD6C05"/>
    <w:rsid w:val="00AE5243"/>
    <w:rsid w:val="00B22FB0"/>
    <w:rsid w:val="00B41B76"/>
    <w:rsid w:val="00B44826"/>
    <w:rsid w:val="00B52CB6"/>
    <w:rsid w:val="00B54C13"/>
    <w:rsid w:val="00B64103"/>
    <w:rsid w:val="00B655D2"/>
    <w:rsid w:val="00B7509B"/>
    <w:rsid w:val="00B761F0"/>
    <w:rsid w:val="00B80306"/>
    <w:rsid w:val="00B97833"/>
    <w:rsid w:val="00B97DA6"/>
    <w:rsid w:val="00BB5481"/>
    <w:rsid w:val="00BB5EB9"/>
    <w:rsid w:val="00BD14F9"/>
    <w:rsid w:val="00BD53FE"/>
    <w:rsid w:val="00BE2741"/>
    <w:rsid w:val="00BE7909"/>
    <w:rsid w:val="00BF2D05"/>
    <w:rsid w:val="00C10701"/>
    <w:rsid w:val="00C15282"/>
    <w:rsid w:val="00C15929"/>
    <w:rsid w:val="00C22ACF"/>
    <w:rsid w:val="00C250AB"/>
    <w:rsid w:val="00C4045E"/>
    <w:rsid w:val="00C45D8D"/>
    <w:rsid w:val="00C52F72"/>
    <w:rsid w:val="00C6560A"/>
    <w:rsid w:val="00C67B6F"/>
    <w:rsid w:val="00C73EB6"/>
    <w:rsid w:val="00C757DC"/>
    <w:rsid w:val="00C761A9"/>
    <w:rsid w:val="00C82B6D"/>
    <w:rsid w:val="00C858A9"/>
    <w:rsid w:val="00CA2D76"/>
    <w:rsid w:val="00CA41FE"/>
    <w:rsid w:val="00CB588E"/>
    <w:rsid w:val="00CD0B2D"/>
    <w:rsid w:val="00CD2992"/>
    <w:rsid w:val="00CD4506"/>
    <w:rsid w:val="00CD58EB"/>
    <w:rsid w:val="00CE5295"/>
    <w:rsid w:val="00D00C51"/>
    <w:rsid w:val="00D02BB5"/>
    <w:rsid w:val="00D1613E"/>
    <w:rsid w:val="00D227D1"/>
    <w:rsid w:val="00D31423"/>
    <w:rsid w:val="00D33C3A"/>
    <w:rsid w:val="00D34F5C"/>
    <w:rsid w:val="00D412DD"/>
    <w:rsid w:val="00D50038"/>
    <w:rsid w:val="00D57FCE"/>
    <w:rsid w:val="00D64308"/>
    <w:rsid w:val="00D65C0B"/>
    <w:rsid w:val="00D94105"/>
    <w:rsid w:val="00D94136"/>
    <w:rsid w:val="00DB21A8"/>
    <w:rsid w:val="00DB441E"/>
    <w:rsid w:val="00DB4CD8"/>
    <w:rsid w:val="00DC14D3"/>
    <w:rsid w:val="00DD0187"/>
    <w:rsid w:val="00DD09EC"/>
    <w:rsid w:val="00DD1CD3"/>
    <w:rsid w:val="00DE20B1"/>
    <w:rsid w:val="00DE439F"/>
    <w:rsid w:val="00DE49B2"/>
    <w:rsid w:val="00DE6BED"/>
    <w:rsid w:val="00DF2FA7"/>
    <w:rsid w:val="00E10976"/>
    <w:rsid w:val="00E12E30"/>
    <w:rsid w:val="00E1476F"/>
    <w:rsid w:val="00E33D20"/>
    <w:rsid w:val="00E33F90"/>
    <w:rsid w:val="00E34F1E"/>
    <w:rsid w:val="00E7183D"/>
    <w:rsid w:val="00E72724"/>
    <w:rsid w:val="00E742DE"/>
    <w:rsid w:val="00EA2D4F"/>
    <w:rsid w:val="00EA54ED"/>
    <w:rsid w:val="00EC0A42"/>
    <w:rsid w:val="00EC1B77"/>
    <w:rsid w:val="00ED07EB"/>
    <w:rsid w:val="00ED276D"/>
    <w:rsid w:val="00EE0CE3"/>
    <w:rsid w:val="00EE69AC"/>
    <w:rsid w:val="00EE7B89"/>
    <w:rsid w:val="00EE7DAA"/>
    <w:rsid w:val="00F13456"/>
    <w:rsid w:val="00F216D8"/>
    <w:rsid w:val="00F22663"/>
    <w:rsid w:val="00F23A8F"/>
    <w:rsid w:val="00F246E4"/>
    <w:rsid w:val="00F375D3"/>
    <w:rsid w:val="00F42DC3"/>
    <w:rsid w:val="00F52A0F"/>
    <w:rsid w:val="00F6748A"/>
    <w:rsid w:val="00F839F0"/>
    <w:rsid w:val="00F9200E"/>
    <w:rsid w:val="00F92D74"/>
    <w:rsid w:val="00F94A8B"/>
    <w:rsid w:val="00FA3744"/>
    <w:rsid w:val="00FA689E"/>
    <w:rsid w:val="00FB364F"/>
    <w:rsid w:val="00FC7DBB"/>
    <w:rsid w:val="00FD5282"/>
    <w:rsid w:val="00FF12F8"/>
    <w:rsid w:val="00FF6609"/>
    <w:rsid w:val="4F7A190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A0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60A0A"/>
    <w:rPr>
      <w:sz w:val="18"/>
      <w:szCs w:val="18"/>
    </w:rPr>
  </w:style>
  <w:style w:type="paragraph" w:styleId="a4">
    <w:name w:val="footer"/>
    <w:basedOn w:val="a"/>
    <w:link w:val="Char0"/>
    <w:uiPriority w:val="99"/>
    <w:unhideWhenUsed/>
    <w:rsid w:val="00260A0A"/>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260A0A"/>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rsid w:val="00260A0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rsid w:val="00260A0A"/>
    <w:rPr>
      <w:sz w:val="18"/>
      <w:szCs w:val="18"/>
    </w:rPr>
  </w:style>
  <w:style w:type="character" w:customStyle="1" w:styleId="Char0">
    <w:name w:val="页脚 Char"/>
    <w:basedOn w:val="a0"/>
    <w:link w:val="a4"/>
    <w:uiPriority w:val="99"/>
    <w:qFormat/>
    <w:rsid w:val="00260A0A"/>
    <w:rPr>
      <w:sz w:val="18"/>
      <w:szCs w:val="18"/>
    </w:rPr>
  </w:style>
  <w:style w:type="character" w:customStyle="1" w:styleId="Char">
    <w:name w:val="批注框文本 Char"/>
    <w:basedOn w:val="a0"/>
    <w:link w:val="a3"/>
    <w:uiPriority w:val="99"/>
    <w:semiHidden/>
    <w:rsid w:val="00260A0A"/>
    <w:rPr>
      <w:sz w:val="18"/>
      <w:szCs w:val="18"/>
    </w:rPr>
  </w:style>
</w:styles>
</file>

<file path=word/webSettings.xml><?xml version="1.0" encoding="utf-8"?>
<w:webSettings xmlns:r="http://schemas.openxmlformats.org/officeDocument/2006/relationships" xmlns:w="http://schemas.openxmlformats.org/wordprocessingml/2006/main">
  <w:divs>
    <w:div w:id="4374840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Words>
  <Characters>1632</Characters>
  <Application>Microsoft Office Word</Application>
  <DocSecurity>4</DocSecurity>
  <Lines>13</Lines>
  <Paragraphs>3</Paragraphs>
  <ScaleCrop>false</ScaleCrop>
  <Company/>
  <LinksUpToDate>false</LinksUpToDate>
  <CharactersWithSpaces>1915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段永伟</dc:creator>
  <cp:lastModifiedBy>ZHONGM</cp:lastModifiedBy>
  <cp:revision>2</cp:revision>
  <dcterms:created xsi:type="dcterms:W3CDTF">2026-03-04T16:01:00Z</dcterms:created>
  <dcterms:modified xsi:type="dcterms:W3CDTF">2026-03-04T16:01:00Z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CE40CBF263354D5CB6E33508138DE3ED_12</vt:lpwstr>
  </property>
</Properties>
</file>