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景顺长城基金管理有限公司</w:t>
      </w:r>
      <w:r w:rsidR="00C62C07">
        <w:rPr>
          <w:rFonts w:ascii="Arial" w:eastAsiaTheme="minorEastAsia" w:hAnsi="Arial" w:cs="Arial" w:hint="eastAsia"/>
          <w:b/>
          <w:bCs/>
          <w:kern w:val="0"/>
          <w:sz w:val="28"/>
          <w:szCs w:val="28"/>
        </w:rPr>
        <w:t>关于</w:t>
      </w:r>
      <w:r w:rsidRPr="00773116">
        <w:rPr>
          <w:rFonts w:ascii="Arial" w:eastAsiaTheme="minorEastAsia" w:hAnsi="Arial" w:cs="Arial" w:hint="eastAsia"/>
          <w:b/>
          <w:bCs/>
          <w:kern w:val="0"/>
          <w:sz w:val="28"/>
          <w:szCs w:val="28"/>
        </w:rPr>
        <w:t>旗下部分基金新增</w:t>
      </w:r>
      <w:r w:rsidR="00C71FBA">
        <w:rPr>
          <w:rFonts w:ascii="Arial" w:eastAsiaTheme="minorEastAsia" w:hAnsi="Arial" w:cs="Arial" w:hint="eastAsia"/>
          <w:b/>
          <w:bCs/>
          <w:kern w:val="0"/>
          <w:sz w:val="28"/>
          <w:szCs w:val="28"/>
        </w:rPr>
        <w:t>郑州</w:t>
      </w:r>
      <w:r w:rsidR="007D7A6E" w:rsidRPr="007D7A6E">
        <w:rPr>
          <w:rFonts w:ascii="Arial" w:eastAsiaTheme="minorEastAsia" w:hAnsi="Arial" w:cs="Arial" w:hint="eastAsia"/>
          <w:b/>
          <w:bCs/>
          <w:kern w:val="0"/>
          <w:sz w:val="28"/>
          <w:szCs w:val="28"/>
        </w:rPr>
        <w:t>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56CF6" w:rsidRDefault="0098471D">
      <w:pPr>
        <w:widowControl/>
        <w:spacing w:line="360" w:lineRule="auto"/>
        <w:jc w:val="center"/>
        <w:rPr>
          <w:rFonts w:ascii="Arial" w:hAnsi="Arial" w:cs="Arial"/>
          <w:kern w:val="0"/>
          <w:szCs w:val="21"/>
        </w:rPr>
      </w:pPr>
      <w:bookmarkStart w:id="0" w:name="_GoBack"/>
      <w:bookmarkEnd w:id="0"/>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C71FBA" w:rsidRPr="00C71FBA">
        <w:rPr>
          <w:rFonts w:ascii="Arial" w:hAnsi="Arial" w:cs="Arial" w:hint="eastAsia"/>
          <w:szCs w:val="21"/>
        </w:rPr>
        <w:t>郑州银行股份有限公司</w:t>
      </w:r>
      <w:r>
        <w:rPr>
          <w:rFonts w:ascii="Arial" w:hAnsi="Arial" w:cs="Arial" w:hint="eastAsia"/>
          <w:szCs w:val="21"/>
        </w:rPr>
        <w:t>（以下简称“</w:t>
      </w:r>
      <w:r w:rsidR="00C71FBA" w:rsidRPr="00C71FBA">
        <w:rPr>
          <w:rFonts w:ascii="Arial" w:hAnsi="Arial" w:cs="Arial" w:hint="eastAsia"/>
          <w:szCs w:val="21"/>
        </w:rPr>
        <w:t>郑州银行</w:t>
      </w:r>
      <w:r>
        <w:rPr>
          <w:rFonts w:ascii="Arial" w:hAnsi="Arial" w:cs="Arial" w:hint="eastAsia"/>
          <w:szCs w:val="21"/>
        </w:rPr>
        <w:t>”）签署的委托销售协议，自</w:t>
      </w:r>
      <w:r>
        <w:rPr>
          <w:rFonts w:ascii="Arial" w:hAnsi="Arial" w:cs="Arial"/>
          <w:szCs w:val="21"/>
        </w:rPr>
        <w:t>202</w:t>
      </w:r>
      <w:r w:rsidR="007D7A6E">
        <w:rPr>
          <w:rFonts w:ascii="Arial" w:hAnsi="Arial" w:cs="Arial" w:hint="eastAsia"/>
          <w:szCs w:val="21"/>
        </w:rPr>
        <w:t>6</w:t>
      </w:r>
      <w:r>
        <w:rPr>
          <w:rFonts w:ascii="Arial" w:hAnsi="Arial" w:cs="Arial" w:hint="eastAsia"/>
          <w:szCs w:val="21"/>
        </w:rPr>
        <w:t>年</w:t>
      </w:r>
      <w:r w:rsidR="00C71FBA">
        <w:rPr>
          <w:rFonts w:ascii="Arial" w:hAnsi="Arial" w:cs="Arial"/>
          <w:szCs w:val="21"/>
        </w:rPr>
        <w:t>3</w:t>
      </w:r>
      <w:r>
        <w:rPr>
          <w:rFonts w:ascii="Arial" w:hAnsi="Arial" w:cs="Arial" w:hint="eastAsia"/>
          <w:szCs w:val="21"/>
        </w:rPr>
        <w:t>月</w:t>
      </w:r>
      <w:r w:rsidR="00C71FBA">
        <w:rPr>
          <w:rFonts w:ascii="Arial" w:hAnsi="Arial" w:cs="Arial"/>
          <w:szCs w:val="21"/>
        </w:rPr>
        <w:t>5</w:t>
      </w:r>
      <w:r>
        <w:rPr>
          <w:rFonts w:ascii="Arial" w:hAnsi="Arial" w:cs="Arial" w:hint="eastAsia"/>
          <w:szCs w:val="21"/>
        </w:rPr>
        <w:t>日起新增委托</w:t>
      </w:r>
      <w:r w:rsidR="00C71FBA">
        <w:rPr>
          <w:rFonts w:ascii="Arial" w:hAnsi="Arial" w:cs="Arial" w:hint="eastAsia"/>
          <w:szCs w:val="21"/>
        </w:rPr>
        <w:t>郑州</w:t>
      </w:r>
      <w:r w:rsidR="000A0BB4">
        <w:rPr>
          <w:rFonts w:ascii="Arial" w:hAnsi="Arial" w:cs="Arial" w:hint="eastAsia"/>
          <w:szCs w:val="21"/>
        </w:rPr>
        <w:t>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C71FBA">
        <w:rPr>
          <w:rFonts w:ascii="Arial" w:hAnsi="Arial" w:cs="Arial" w:hint="eastAsia"/>
          <w:szCs w:val="21"/>
        </w:rPr>
        <w:t>郑州</w:t>
      </w:r>
      <w:r w:rsidR="000A0BB4">
        <w:rPr>
          <w:rFonts w:ascii="Arial" w:hAnsi="Arial" w:cs="Arial" w:hint="eastAsia"/>
          <w:szCs w:val="21"/>
        </w:rPr>
        <w:t>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0" w:type="auto"/>
        <w:tblLook w:val="04A0"/>
      </w:tblPr>
      <w:tblGrid>
        <w:gridCol w:w="2689"/>
        <w:gridCol w:w="5386"/>
      </w:tblGrid>
      <w:tr w:rsidR="00166631" w:rsidRPr="00166631" w:rsidTr="00CD1A61">
        <w:trPr>
          <w:trHeight w:val="285"/>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代码</w:t>
            </w:r>
          </w:p>
        </w:tc>
        <w:tc>
          <w:tcPr>
            <w:tcW w:w="5386" w:type="dxa"/>
            <w:tcBorders>
              <w:top w:val="single" w:sz="4" w:space="0" w:color="auto"/>
              <w:left w:val="nil"/>
              <w:bottom w:val="single" w:sz="4" w:space="0" w:color="auto"/>
              <w:right w:val="single" w:sz="4" w:space="0" w:color="auto"/>
            </w:tcBorders>
            <w:shd w:val="clear" w:color="auto" w:fill="auto"/>
            <w:noWrap/>
            <w:vAlign w:val="center"/>
            <w:hideMark/>
          </w:tcPr>
          <w:p w:rsidR="00166631" w:rsidRPr="00166631" w:rsidRDefault="00166631" w:rsidP="00166631">
            <w:pPr>
              <w:widowControl/>
              <w:jc w:val="center"/>
              <w:rPr>
                <w:rFonts w:ascii="Arial" w:eastAsia="等线" w:hAnsi="Arial" w:cs="Arial"/>
                <w:color w:val="000000"/>
                <w:kern w:val="0"/>
                <w:sz w:val="22"/>
              </w:rPr>
            </w:pPr>
            <w:r>
              <w:rPr>
                <w:rFonts w:ascii="宋体" w:hAnsi="宋体" w:cs="Arial" w:hint="eastAsia"/>
                <w:color w:val="000000"/>
                <w:kern w:val="0"/>
                <w:sz w:val="22"/>
              </w:rPr>
              <w:t>基金</w:t>
            </w:r>
            <w:r w:rsidRPr="00166631">
              <w:rPr>
                <w:rFonts w:ascii="宋体" w:hAnsi="宋体" w:cs="Arial" w:hint="eastAsia"/>
                <w:color w:val="000000"/>
                <w:kern w:val="0"/>
                <w:sz w:val="22"/>
              </w:rPr>
              <w:t>名称</w:t>
            </w:r>
          </w:p>
        </w:tc>
      </w:tr>
      <w:tr w:rsidR="00C71FBA" w:rsidRPr="00166631" w:rsidTr="004D4659">
        <w:trPr>
          <w:trHeight w:val="28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C71FBA" w:rsidRPr="00CD1A61" w:rsidRDefault="00C71FBA" w:rsidP="00C71FBA">
            <w:pPr>
              <w:widowControl/>
              <w:jc w:val="center"/>
              <w:rPr>
                <w:rFonts w:ascii="Arial" w:hAnsi="Arial" w:cs="Arial"/>
                <w:szCs w:val="21"/>
              </w:rPr>
            </w:pPr>
            <w:r w:rsidRPr="00C71FBA">
              <w:rPr>
                <w:rFonts w:ascii="Arial" w:hAnsi="Arial" w:cs="Arial" w:hint="eastAsia"/>
                <w:szCs w:val="21"/>
              </w:rPr>
              <w:t>021313</w:t>
            </w:r>
          </w:p>
        </w:tc>
        <w:tc>
          <w:tcPr>
            <w:tcW w:w="5386" w:type="dxa"/>
            <w:tcBorders>
              <w:top w:val="nil"/>
              <w:left w:val="nil"/>
              <w:bottom w:val="single" w:sz="4" w:space="0" w:color="auto"/>
              <w:right w:val="single" w:sz="4" w:space="0" w:color="auto"/>
            </w:tcBorders>
            <w:shd w:val="clear" w:color="auto" w:fill="auto"/>
            <w:noWrap/>
            <w:vAlign w:val="bottom"/>
          </w:tcPr>
          <w:p w:rsidR="00C71FBA" w:rsidRPr="00CD1A61" w:rsidRDefault="00C71FBA" w:rsidP="00C71FBA">
            <w:pPr>
              <w:widowControl/>
              <w:jc w:val="center"/>
              <w:rPr>
                <w:rFonts w:ascii="Arial" w:hAnsi="Arial" w:cs="Arial"/>
                <w:szCs w:val="21"/>
              </w:rPr>
            </w:pPr>
            <w:r w:rsidRPr="00C71FBA">
              <w:rPr>
                <w:rFonts w:ascii="Arial" w:hAnsi="Arial" w:cs="Arial" w:hint="eastAsia"/>
                <w:szCs w:val="21"/>
              </w:rPr>
              <w:t>景顺长城沪港深精选股票型证券投资基金</w:t>
            </w:r>
            <w:r w:rsidRPr="00C71FBA">
              <w:rPr>
                <w:rFonts w:ascii="Arial" w:hAnsi="Arial" w:cs="Arial" w:hint="eastAsia"/>
                <w:szCs w:val="21"/>
              </w:rPr>
              <w:t>C</w:t>
            </w:r>
          </w:p>
        </w:tc>
      </w:tr>
      <w:tr w:rsidR="00C71FBA" w:rsidRPr="00166631" w:rsidTr="007337B5">
        <w:trPr>
          <w:trHeight w:val="285"/>
        </w:trPr>
        <w:tc>
          <w:tcPr>
            <w:tcW w:w="2689" w:type="dxa"/>
            <w:tcBorders>
              <w:top w:val="nil"/>
              <w:left w:val="single" w:sz="4" w:space="0" w:color="auto"/>
              <w:bottom w:val="single" w:sz="4" w:space="0" w:color="auto"/>
              <w:right w:val="single" w:sz="4" w:space="0" w:color="auto"/>
            </w:tcBorders>
            <w:shd w:val="clear" w:color="auto" w:fill="auto"/>
            <w:noWrap/>
            <w:vAlign w:val="bottom"/>
          </w:tcPr>
          <w:p w:rsidR="00C71FBA" w:rsidRPr="00CD1A61" w:rsidRDefault="00C71FBA" w:rsidP="00C71FBA">
            <w:pPr>
              <w:widowControl/>
              <w:jc w:val="center"/>
              <w:rPr>
                <w:rFonts w:ascii="Arial" w:hAnsi="Arial" w:cs="Arial"/>
                <w:szCs w:val="21"/>
              </w:rPr>
            </w:pPr>
            <w:r w:rsidRPr="00C71FBA">
              <w:rPr>
                <w:rFonts w:ascii="Arial" w:hAnsi="Arial" w:cs="Arial" w:hint="eastAsia"/>
                <w:szCs w:val="21"/>
              </w:rPr>
              <w:t>001194</w:t>
            </w:r>
          </w:p>
        </w:tc>
        <w:tc>
          <w:tcPr>
            <w:tcW w:w="5386" w:type="dxa"/>
            <w:tcBorders>
              <w:top w:val="nil"/>
              <w:left w:val="nil"/>
              <w:bottom w:val="single" w:sz="4" w:space="0" w:color="auto"/>
              <w:right w:val="single" w:sz="4" w:space="0" w:color="auto"/>
            </w:tcBorders>
            <w:shd w:val="clear" w:color="auto" w:fill="auto"/>
            <w:noWrap/>
            <w:vAlign w:val="bottom"/>
          </w:tcPr>
          <w:p w:rsidR="00C71FBA" w:rsidRPr="00CD1A61" w:rsidRDefault="00C71FBA" w:rsidP="00C71FBA">
            <w:pPr>
              <w:widowControl/>
              <w:jc w:val="center"/>
              <w:rPr>
                <w:rFonts w:ascii="Arial" w:hAnsi="Arial" w:cs="Arial"/>
                <w:szCs w:val="21"/>
              </w:rPr>
            </w:pPr>
            <w:r w:rsidRPr="00C71FBA">
              <w:rPr>
                <w:rFonts w:ascii="Arial" w:hAnsi="Arial" w:cs="Arial" w:hint="eastAsia"/>
                <w:szCs w:val="21"/>
              </w:rPr>
              <w:t>景顺长城稳健回报灵活配置混合型证券投资基金</w:t>
            </w:r>
            <w:r w:rsidRPr="00C71FBA">
              <w:rPr>
                <w:rFonts w:ascii="Arial" w:hAnsi="Arial" w:cs="Arial" w:hint="eastAsia"/>
                <w:szCs w:val="21"/>
              </w:rPr>
              <w:t>A</w:t>
            </w:r>
          </w:p>
        </w:tc>
      </w:tr>
      <w:tr w:rsidR="00C71FBA" w:rsidRPr="00166631" w:rsidTr="007803FD">
        <w:trPr>
          <w:trHeight w:val="285"/>
        </w:trPr>
        <w:tc>
          <w:tcPr>
            <w:tcW w:w="2689" w:type="dxa"/>
            <w:tcBorders>
              <w:top w:val="nil"/>
              <w:left w:val="single" w:sz="4" w:space="0" w:color="auto"/>
              <w:bottom w:val="single" w:sz="4" w:space="0" w:color="auto"/>
              <w:right w:val="single" w:sz="4" w:space="0" w:color="auto"/>
            </w:tcBorders>
            <w:shd w:val="clear" w:color="auto" w:fill="auto"/>
            <w:noWrap/>
            <w:vAlign w:val="center"/>
          </w:tcPr>
          <w:p w:rsidR="00C71FBA" w:rsidRPr="00CD1A61" w:rsidRDefault="00C71FBA" w:rsidP="00C71FBA">
            <w:pPr>
              <w:widowControl/>
              <w:jc w:val="center"/>
              <w:rPr>
                <w:rFonts w:ascii="Arial" w:hAnsi="Arial" w:cs="Arial"/>
                <w:szCs w:val="21"/>
              </w:rPr>
            </w:pPr>
            <w:r w:rsidRPr="00C71FBA">
              <w:rPr>
                <w:rFonts w:ascii="Arial" w:hAnsi="Arial" w:cs="Arial"/>
                <w:szCs w:val="21"/>
              </w:rPr>
              <w:t>001407</w:t>
            </w:r>
          </w:p>
        </w:tc>
        <w:tc>
          <w:tcPr>
            <w:tcW w:w="5386" w:type="dxa"/>
            <w:tcBorders>
              <w:top w:val="nil"/>
              <w:left w:val="nil"/>
              <w:bottom w:val="single" w:sz="4" w:space="0" w:color="auto"/>
              <w:right w:val="single" w:sz="4" w:space="0" w:color="auto"/>
            </w:tcBorders>
            <w:shd w:val="clear" w:color="auto" w:fill="auto"/>
            <w:noWrap/>
            <w:vAlign w:val="bottom"/>
          </w:tcPr>
          <w:p w:rsidR="00C71FBA" w:rsidRPr="00CD1A61" w:rsidRDefault="00C71FBA" w:rsidP="00C71FBA">
            <w:pPr>
              <w:widowControl/>
              <w:jc w:val="center"/>
              <w:rPr>
                <w:rFonts w:ascii="Arial" w:hAnsi="Arial" w:cs="Arial"/>
                <w:szCs w:val="21"/>
              </w:rPr>
            </w:pPr>
            <w:r w:rsidRPr="00C71FBA">
              <w:rPr>
                <w:rFonts w:ascii="Arial" w:hAnsi="Arial" w:cs="Arial" w:hint="eastAsia"/>
                <w:szCs w:val="21"/>
              </w:rPr>
              <w:t>景顺长城稳健回报灵活配置混合型证券投资基金</w:t>
            </w:r>
            <w:r w:rsidRPr="00C71FBA">
              <w:rPr>
                <w:rFonts w:ascii="Arial" w:hAnsi="Arial" w:cs="Arial" w:hint="eastAsia"/>
                <w:szCs w:val="21"/>
              </w:rPr>
              <w:t>A</w:t>
            </w:r>
          </w:p>
        </w:tc>
      </w:tr>
    </w:tbl>
    <w:p w:rsidR="004F0132" w:rsidRPr="00166631"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C71FBA" w:rsidRPr="00C71FBA">
        <w:rPr>
          <w:rFonts w:ascii="Arial" w:hAnsi="Arial" w:cs="Arial" w:hint="eastAsia"/>
          <w:szCs w:val="21"/>
        </w:rPr>
        <w:t>郑州银行股份有限公司</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注册地址：郑州市郑东新区商务外环路</w:t>
      </w:r>
      <w:r w:rsidRPr="00C71FBA">
        <w:rPr>
          <w:rFonts w:ascii="Arial" w:hAnsi="Arial" w:cs="Arial" w:hint="eastAsia"/>
          <w:kern w:val="0"/>
          <w:szCs w:val="21"/>
        </w:rPr>
        <w:t>22</w:t>
      </w:r>
      <w:r w:rsidRPr="00C71FBA">
        <w:rPr>
          <w:rFonts w:ascii="Arial" w:hAnsi="Arial" w:cs="Arial" w:hint="eastAsia"/>
          <w:kern w:val="0"/>
          <w:szCs w:val="21"/>
        </w:rPr>
        <w:t>号</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办公地址：郑州市郑东新区商务外环路</w:t>
      </w:r>
      <w:r w:rsidRPr="00C71FBA">
        <w:rPr>
          <w:rFonts w:ascii="Arial" w:hAnsi="Arial" w:cs="Arial" w:hint="eastAsia"/>
          <w:kern w:val="0"/>
          <w:szCs w:val="21"/>
        </w:rPr>
        <w:t>22</w:t>
      </w:r>
      <w:r w:rsidRPr="00C71FBA">
        <w:rPr>
          <w:rFonts w:ascii="Arial" w:hAnsi="Arial" w:cs="Arial" w:hint="eastAsia"/>
          <w:kern w:val="0"/>
          <w:szCs w:val="21"/>
        </w:rPr>
        <w:t>号</w:t>
      </w:r>
      <w:r w:rsidRPr="00C71FBA">
        <w:rPr>
          <w:rFonts w:ascii="Arial" w:hAnsi="Arial" w:cs="Arial" w:hint="eastAsia"/>
          <w:kern w:val="0"/>
          <w:szCs w:val="21"/>
        </w:rPr>
        <w:t xml:space="preserve"> </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法定代表人：赵飞</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联系人：焦明飞、陈威任</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电话：</w:t>
      </w:r>
      <w:r w:rsidRPr="00C71FBA">
        <w:rPr>
          <w:rFonts w:ascii="Arial" w:hAnsi="Arial" w:cs="Arial" w:hint="eastAsia"/>
          <w:kern w:val="0"/>
          <w:szCs w:val="21"/>
        </w:rPr>
        <w:t>0371-67009917</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传真：</w:t>
      </w:r>
      <w:r w:rsidRPr="00C71FBA">
        <w:rPr>
          <w:rFonts w:ascii="Arial" w:hAnsi="Arial" w:cs="Arial" w:hint="eastAsia"/>
          <w:kern w:val="0"/>
          <w:szCs w:val="21"/>
        </w:rPr>
        <w:t>0371-67009097</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客户服务电话：</w:t>
      </w:r>
      <w:r w:rsidRPr="00C71FBA">
        <w:rPr>
          <w:rFonts w:ascii="Arial" w:hAnsi="Arial" w:cs="Arial" w:hint="eastAsia"/>
          <w:kern w:val="0"/>
          <w:szCs w:val="21"/>
        </w:rPr>
        <w:t>95097</w:t>
      </w:r>
    </w:p>
    <w:p w:rsidR="000A0BB4"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网址：</w:t>
      </w:r>
      <w:hyperlink r:id="rId8" w:history="1">
        <w:r w:rsidRPr="005C2674">
          <w:rPr>
            <w:rStyle w:val="a8"/>
            <w:rFonts w:ascii="Arial" w:hAnsi="Arial" w:cs="Arial" w:hint="eastAsia"/>
            <w:kern w:val="0"/>
            <w:szCs w:val="21"/>
          </w:rPr>
          <w:t>http://www.zzbank.cn/</w:t>
        </w:r>
      </w:hyperlink>
    </w:p>
    <w:p w:rsidR="00C71FBA" w:rsidRDefault="00C71FBA" w:rsidP="00C71FBA">
      <w:pPr>
        <w:widowControl/>
        <w:spacing w:line="360" w:lineRule="auto"/>
        <w:ind w:firstLineChars="200" w:firstLine="420"/>
        <w:jc w:val="left"/>
        <w:rPr>
          <w:rFonts w:ascii="Arial" w:hAnsi="Arial" w:cs="Arial"/>
          <w:kern w:val="0"/>
          <w:szCs w:val="21"/>
        </w:rPr>
      </w:pPr>
    </w:p>
    <w:p w:rsidR="00EF4BB2" w:rsidRDefault="002B7241" w:rsidP="00E26E7E">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C71FBA" w:rsidRPr="00D73417" w:rsidRDefault="00EF4360" w:rsidP="00C71FBA">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C71FBA" w:rsidRPr="00C71FBA">
        <w:rPr>
          <w:rFonts w:ascii="Arial" w:hAnsi="Arial" w:cs="Arial" w:hint="eastAsia"/>
          <w:szCs w:val="21"/>
        </w:rPr>
        <w:t>郑州银行股份有限公司</w:t>
      </w:r>
    </w:p>
    <w:p w:rsidR="00C71FBA" w:rsidRP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客户服务电话：</w:t>
      </w:r>
      <w:r w:rsidRPr="00C71FBA">
        <w:rPr>
          <w:rFonts w:ascii="Arial" w:hAnsi="Arial" w:cs="Arial" w:hint="eastAsia"/>
          <w:kern w:val="0"/>
          <w:szCs w:val="21"/>
        </w:rPr>
        <w:t>95097</w:t>
      </w:r>
    </w:p>
    <w:p w:rsidR="00C71FBA" w:rsidRDefault="00C71FBA" w:rsidP="00C71FBA">
      <w:pPr>
        <w:widowControl/>
        <w:spacing w:line="360" w:lineRule="auto"/>
        <w:ind w:firstLineChars="200" w:firstLine="420"/>
        <w:jc w:val="left"/>
        <w:rPr>
          <w:rFonts w:ascii="Arial" w:hAnsi="Arial" w:cs="Arial"/>
          <w:kern w:val="0"/>
          <w:szCs w:val="21"/>
        </w:rPr>
      </w:pPr>
      <w:r w:rsidRPr="00C71FBA">
        <w:rPr>
          <w:rFonts w:ascii="Arial" w:hAnsi="Arial" w:cs="Arial" w:hint="eastAsia"/>
          <w:kern w:val="0"/>
          <w:szCs w:val="21"/>
        </w:rPr>
        <w:t>网址：</w:t>
      </w:r>
      <w:r w:rsidRPr="00C71FBA">
        <w:rPr>
          <w:rFonts w:ascii="Arial" w:hAnsi="Arial" w:cs="Arial" w:hint="eastAsia"/>
          <w:kern w:val="0"/>
          <w:szCs w:val="21"/>
        </w:rPr>
        <w:t>http://www.zzbank.cn/</w:t>
      </w:r>
    </w:p>
    <w:p w:rsidR="00E26E7E" w:rsidRPr="00C71FBA" w:rsidRDefault="00E26E7E" w:rsidP="00C71FBA">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8900BF" w:rsidRPr="001F07D5" w:rsidRDefault="008900BF" w:rsidP="008900BF">
      <w:pPr>
        <w:widowControl/>
        <w:spacing w:line="360" w:lineRule="auto"/>
        <w:jc w:val="right"/>
        <w:rPr>
          <w:rFonts w:ascii="Arial" w:hAnsi="Arial" w:cs="Arial"/>
          <w:szCs w:val="21"/>
        </w:rPr>
      </w:pPr>
      <w:r w:rsidRPr="001F07D5">
        <w:rPr>
          <w:rFonts w:ascii="Arial" w:hAnsi="Arial" w:cs="Arial"/>
          <w:kern w:val="0"/>
          <w:szCs w:val="21"/>
        </w:rPr>
        <w:t>二〇二</w:t>
      </w:r>
      <w:r>
        <w:rPr>
          <w:rFonts w:ascii="Arial" w:hAnsi="Arial" w:cs="Arial" w:hint="eastAsia"/>
          <w:kern w:val="0"/>
          <w:szCs w:val="21"/>
        </w:rPr>
        <w:t>六</w:t>
      </w:r>
      <w:r w:rsidRPr="001F07D5">
        <w:rPr>
          <w:rFonts w:ascii="Arial" w:hAnsi="Arial" w:cs="Arial"/>
          <w:kern w:val="0"/>
          <w:szCs w:val="21"/>
        </w:rPr>
        <w:t>年</w:t>
      </w:r>
      <w:r>
        <w:rPr>
          <w:rFonts w:ascii="Arial" w:hAnsi="Arial" w:cs="Arial" w:hint="eastAsia"/>
          <w:kern w:val="0"/>
          <w:szCs w:val="21"/>
        </w:rPr>
        <w:t>三</w:t>
      </w:r>
      <w:r w:rsidRPr="001F07D5">
        <w:rPr>
          <w:rFonts w:ascii="Arial" w:hAnsi="Arial" w:cs="Arial"/>
          <w:kern w:val="0"/>
          <w:szCs w:val="21"/>
        </w:rPr>
        <w:t>月</w:t>
      </w:r>
      <w:r>
        <w:rPr>
          <w:rFonts w:ascii="Arial" w:hAnsi="Arial" w:cs="Arial" w:hint="eastAsia"/>
          <w:kern w:val="0"/>
          <w:szCs w:val="21"/>
        </w:rPr>
        <w:t>五</w:t>
      </w:r>
      <w:r w:rsidRPr="001F07D5">
        <w:rPr>
          <w:rFonts w:ascii="Arial" w:hAnsi="Arial" w:cs="Arial"/>
          <w:kern w:val="0"/>
          <w:szCs w:val="21"/>
        </w:rPr>
        <w:t>日</w:t>
      </w:r>
    </w:p>
    <w:p w:rsidR="0098471D" w:rsidRPr="00FD5083" w:rsidRDefault="0098471D" w:rsidP="008900BF">
      <w:pPr>
        <w:widowControl/>
        <w:spacing w:line="360" w:lineRule="auto"/>
        <w:jc w:val="right"/>
        <w:rPr>
          <w:rFonts w:ascii="Arial" w:hAnsi="Arial" w:cs="Arial"/>
          <w:szCs w:val="21"/>
        </w:rPr>
      </w:pP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0B" w:rsidRDefault="00B6550B" w:rsidP="008E6554">
      <w:r>
        <w:separator/>
      </w:r>
    </w:p>
  </w:endnote>
  <w:endnote w:type="continuationSeparator" w:id="0">
    <w:p w:rsidR="00B6550B" w:rsidRDefault="00B6550B"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0B" w:rsidRDefault="00B6550B" w:rsidP="008E6554">
      <w:r>
        <w:separator/>
      </w:r>
    </w:p>
  </w:footnote>
  <w:footnote w:type="continuationSeparator" w:id="0">
    <w:p w:rsidR="00B6550B" w:rsidRDefault="00B6550B"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097D"/>
    <w:rsid w:val="00032518"/>
    <w:rsid w:val="00044302"/>
    <w:rsid w:val="00047E91"/>
    <w:rsid w:val="00050352"/>
    <w:rsid w:val="00050DD0"/>
    <w:rsid w:val="000528B7"/>
    <w:rsid w:val="00056CF6"/>
    <w:rsid w:val="0006655E"/>
    <w:rsid w:val="00073E17"/>
    <w:rsid w:val="00083AAF"/>
    <w:rsid w:val="000863EA"/>
    <w:rsid w:val="0009138D"/>
    <w:rsid w:val="00093D33"/>
    <w:rsid w:val="000975F7"/>
    <w:rsid w:val="00097B35"/>
    <w:rsid w:val="000A0BB4"/>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2AE0"/>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6631"/>
    <w:rsid w:val="001672E8"/>
    <w:rsid w:val="0017061B"/>
    <w:rsid w:val="001745A4"/>
    <w:rsid w:val="00174B31"/>
    <w:rsid w:val="00177C9A"/>
    <w:rsid w:val="001821D8"/>
    <w:rsid w:val="00182CCD"/>
    <w:rsid w:val="0018307A"/>
    <w:rsid w:val="001872AB"/>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115"/>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58C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A86"/>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2A99"/>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D7A6E"/>
    <w:rsid w:val="007E228A"/>
    <w:rsid w:val="007E72F2"/>
    <w:rsid w:val="007F4E1C"/>
    <w:rsid w:val="007F62BF"/>
    <w:rsid w:val="007F6941"/>
    <w:rsid w:val="007F6D8E"/>
    <w:rsid w:val="0081417C"/>
    <w:rsid w:val="008201EF"/>
    <w:rsid w:val="00826885"/>
    <w:rsid w:val="00830255"/>
    <w:rsid w:val="008302C5"/>
    <w:rsid w:val="00830E84"/>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00BF"/>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5F0"/>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2485E"/>
    <w:rsid w:val="00B3369A"/>
    <w:rsid w:val="00B34BE6"/>
    <w:rsid w:val="00B42242"/>
    <w:rsid w:val="00B425D5"/>
    <w:rsid w:val="00B44969"/>
    <w:rsid w:val="00B46D00"/>
    <w:rsid w:val="00B55515"/>
    <w:rsid w:val="00B61B14"/>
    <w:rsid w:val="00B6550B"/>
    <w:rsid w:val="00B6779C"/>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0DF2"/>
    <w:rsid w:val="00C057E4"/>
    <w:rsid w:val="00C06895"/>
    <w:rsid w:val="00C11517"/>
    <w:rsid w:val="00C22499"/>
    <w:rsid w:val="00C229F4"/>
    <w:rsid w:val="00C22DC9"/>
    <w:rsid w:val="00C35F6A"/>
    <w:rsid w:val="00C405EC"/>
    <w:rsid w:val="00C4350D"/>
    <w:rsid w:val="00C53026"/>
    <w:rsid w:val="00C62558"/>
    <w:rsid w:val="00C62C07"/>
    <w:rsid w:val="00C63875"/>
    <w:rsid w:val="00C7034F"/>
    <w:rsid w:val="00C71454"/>
    <w:rsid w:val="00C71FBA"/>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1A61"/>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139F"/>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469"/>
    <w:rsid w:val="00E23889"/>
    <w:rsid w:val="00E26E7E"/>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932D7"/>
    <w:rsid w:val="00EA161C"/>
    <w:rsid w:val="00EA2824"/>
    <w:rsid w:val="00EB3448"/>
    <w:rsid w:val="00EB40D2"/>
    <w:rsid w:val="00EB5B6E"/>
    <w:rsid w:val="00EB5D68"/>
    <w:rsid w:val="00EB6A0C"/>
    <w:rsid w:val="00EC1D5D"/>
    <w:rsid w:val="00EC431C"/>
    <w:rsid w:val="00EC5BA3"/>
    <w:rsid w:val="00ED4BFA"/>
    <w:rsid w:val="00ED6928"/>
    <w:rsid w:val="00EF4360"/>
    <w:rsid w:val="00EF4BB2"/>
    <w:rsid w:val="00EF7EAA"/>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67EA1"/>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0FF53F9"/>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25437277">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35018500">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3257669">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bank.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A755B-820C-4ED2-B1CD-7C683166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1280</Characters>
  <Application>Microsoft Office Word</Application>
  <DocSecurity>4</DocSecurity>
  <Lines>10</Lines>
  <Paragraphs>3</Paragraphs>
  <ScaleCrop>false</ScaleCrop>
  <Company>JDJR</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2026-03-04T16:02:00Z</dcterms:created>
  <dcterms:modified xsi:type="dcterms:W3CDTF">2026-03-04T16:02:00Z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