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5D" w:rsidRDefault="00B45F70" w:rsidP="00BF275D">
      <w:pPr>
        <w:spacing w:line="360" w:lineRule="auto"/>
        <w:jc w:val="center"/>
        <w:rPr>
          <w:rFonts w:ascii="仿宋" w:eastAsia="仿宋" w:hAnsi="仿宋" w:cs="Times New Roman"/>
          <w:b/>
          <w:sz w:val="30"/>
          <w:szCs w:val="30"/>
        </w:rPr>
      </w:pPr>
      <w:r w:rsidRPr="00BF275D">
        <w:rPr>
          <w:rFonts w:ascii="仿宋" w:eastAsia="仿宋" w:hAnsi="仿宋" w:cs="Times New Roman"/>
          <w:b/>
          <w:sz w:val="30"/>
          <w:szCs w:val="30"/>
        </w:rPr>
        <w:t>关于</w:t>
      </w:r>
      <w:r w:rsidR="00A46939">
        <w:rPr>
          <w:rFonts w:ascii="仿宋" w:eastAsia="仿宋" w:hAnsi="仿宋" w:cs="Times New Roman" w:hint="eastAsia"/>
          <w:b/>
          <w:sz w:val="30"/>
          <w:szCs w:val="30"/>
        </w:rPr>
        <w:t>兴</w:t>
      </w:r>
      <w:r w:rsidR="0017073D">
        <w:rPr>
          <w:rFonts w:ascii="仿宋" w:eastAsia="仿宋" w:hAnsi="仿宋" w:cs="Times New Roman" w:hint="eastAsia"/>
          <w:b/>
          <w:sz w:val="30"/>
          <w:szCs w:val="30"/>
        </w:rPr>
        <w:t>证</w:t>
      </w:r>
      <w:r w:rsidR="00A46939">
        <w:rPr>
          <w:rFonts w:ascii="仿宋" w:eastAsia="仿宋" w:hAnsi="仿宋" w:cs="Times New Roman" w:hint="eastAsia"/>
          <w:b/>
          <w:sz w:val="30"/>
          <w:szCs w:val="30"/>
        </w:rPr>
        <w:t>全</w:t>
      </w:r>
      <w:r w:rsidR="0017073D">
        <w:rPr>
          <w:rFonts w:ascii="仿宋" w:eastAsia="仿宋" w:hAnsi="仿宋" w:cs="Times New Roman" w:hint="eastAsia"/>
          <w:b/>
          <w:sz w:val="30"/>
          <w:szCs w:val="30"/>
        </w:rPr>
        <w:t>球</w:t>
      </w:r>
      <w:r w:rsidR="00A46939">
        <w:rPr>
          <w:rFonts w:ascii="仿宋" w:eastAsia="仿宋" w:hAnsi="仿宋" w:cs="Times New Roman" w:hint="eastAsia"/>
          <w:b/>
          <w:sz w:val="30"/>
          <w:szCs w:val="30"/>
        </w:rPr>
        <w:t>嘉益债券型</w:t>
      </w:r>
      <w:r w:rsidRPr="00BF275D">
        <w:rPr>
          <w:rFonts w:ascii="仿宋" w:eastAsia="仿宋" w:hAnsi="仿宋" w:cs="Times New Roman"/>
          <w:b/>
          <w:sz w:val="30"/>
          <w:szCs w:val="30"/>
        </w:rPr>
        <w:t>证券投资基金</w:t>
      </w:r>
    </w:p>
    <w:p w:rsidR="00B45F70" w:rsidRPr="00BF275D" w:rsidRDefault="00B45F70" w:rsidP="00BF275D">
      <w:pPr>
        <w:spacing w:line="360" w:lineRule="auto"/>
        <w:jc w:val="center"/>
        <w:rPr>
          <w:rFonts w:ascii="仿宋" w:eastAsia="仿宋" w:hAnsi="仿宋" w:cs="Times New Roman"/>
          <w:b/>
          <w:sz w:val="30"/>
          <w:szCs w:val="30"/>
        </w:rPr>
      </w:pPr>
      <w:r w:rsidRPr="00BF275D">
        <w:rPr>
          <w:rFonts w:ascii="仿宋" w:eastAsia="仿宋" w:hAnsi="仿宋" w:cs="Times New Roman"/>
          <w:b/>
          <w:sz w:val="30"/>
          <w:szCs w:val="30"/>
        </w:rPr>
        <w:t>变更基金</w:t>
      </w:r>
      <w:r w:rsidR="00785482" w:rsidRPr="00785482">
        <w:rPr>
          <w:rFonts w:ascii="仿宋" w:eastAsia="仿宋" w:hAnsi="仿宋" w:cs="Times New Roman" w:hint="eastAsia"/>
          <w:b/>
          <w:sz w:val="30"/>
          <w:szCs w:val="30"/>
        </w:rPr>
        <w:t>全称</w:t>
      </w:r>
      <w:r w:rsidRPr="00BF275D">
        <w:rPr>
          <w:rFonts w:ascii="仿宋" w:eastAsia="仿宋" w:hAnsi="仿宋" w:cs="Times New Roman"/>
          <w:b/>
          <w:sz w:val="30"/>
          <w:szCs w:val="30"/>
        </w:rPr>
        <w:t>的公告</w:t>
      </w:r>
    </w:p>
    <w:p w:rsidR="00BF275D" w:rsidRPr="00D02B23" w:rsidRDefault="00BF275D" w:rsidP="00BF275D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</w:p>
    <w:p w:rsidR="00BF275D" w:rsidRDefault="00E3511A" w:rsidP="00EB0E4C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  <w:r>
        <w:rPr>
          <w:rFonts w:ascii="Times New Roman" w:eastAsia="楷体_GB2312" w:hAnsi="Times New Roman" w:cs="Times New Roman" w:hint="eastAsia"/>
          <w:sz w:val="24"/>
        </w:rPr>
        <w:t>经与基金托管人协商一致，</w:t>
      </w:r>
      <w:r w:rsidR="00A46939">
        <w:rPr>
          <w:rFonts w:ascii="Times New Roman" w:eastAsia="楷体_GB2312" w:hAnsi="Times New Roman" w:cs="Times New Roman" w:hint="eastAsia"/>
          <w:sz w:val="24"/>
        </w:rPr>
        <w:t>兴证全球基金管理有限公司</w:t>
      </w:r>
      <w:r w:rsidR="00EB0E4C">
        <w:rPr>
          <w:rFonts w:ascii="Times New Roman" w:eastAsia="楷体_GB2312" w:hAnsi="Times New Roman" w:cs="Times New Roman" w:hint="eastAsia"/>
          <w:sz w:val="24"/>
        </w:rPr>
        <w:t>（以下简称“本公司”）</w:t>
      </w:r>
      <w:r w:rsidR="00A46939">
        <w:rPr>
          <w:rFonts w:ascii="Times New Roman" w:eastAsia="楷体_GB2312" w:hAnsi="Times New Roman" w:cs="Times New Roman" w:hint="eastAsia"/>
          <w:sz w:val="24"/>
        </w:rPr>
        <w:t>决定</w:t>
      </w:r>
      <w:r w:rsidR="00D5300D" w:rsidRPr="00BF275D">
        <w:rPr>
          <w:rFonts w:ascii="Times New Roman" w:eastAsia="楷体_GB2312" w:hAnsi="Times New Roman" w:cs="Times New Roman"/>
          <w:sz w:val="24"/>
        </w:rPr>
        <w:t>自</w:t>
      </w:r>
      <w:r w:rsidR="00D5300D" w:rsidRPr="00BF275D">
        <w:rPr>
          <w:rFonts w:ascii="Times New Roman" w:eastAsia="楷体_GB2312" w:hAnsi="Times New Roman" w:cs="Times New Roman"/>
          <w:sz w:val="24"/>
        </w:rPr>
        <w:t>2026</w:t>
      </w:r>
      <w:r w:rsidR="00D5300D" w:rsidRPr="00BF275D">
        <w:rPr>
          <w:rFonts w:ascii="Times New Roman" w:eastAsia="楷体_GB2312" w:hAnsi="Times New Roman" w:cs="Times New Roman"/>
          <w:sz w:val="24"/>
        </w:rPr>
        <w:t>年</w:t>
      </w:r>
      <w:r w:rsidR="00A46939">
        <w:rPr>
          <w:rFonts w:ascii="Times New Roman" w:eastAsia="楷体_GB2312" w:hAnsi="Times New Roman" w:cs="Times New Roman" w:hint="eastAsia"/>
          <w:sz w:val="24"/>
        </w:rPr>
        <w:t>3</w:t>
      </w:r>
      <w:r w:rsidR="00D5300D" w:rsidRPr="00BF275D">
        <w:rPr>
          <w:rFonts w:ascii="Times New Roman" w:eastAsia="楷体_GB2312" w:hAnsi="Times New Roman" w:cs="Times New Roman"/>
          <w:sz w:val="24"/>
        </w:rPr>
        <w:t>月</w:t>
      </w:r>
      <w:r w:rsidR="0017073D" w:rsidRPr="0017073D">
        <w:rPr>
          <w:rFonts w:ascii="Times New Roman" w:eastAsia="楷体_GB2312" w:hAnsi="Times New Roman" w:cs="Times New Roman" w:hint="eastAsia"/>
          <w:sz w:val="24"/>
        </w:rPr>
        <w:t>5</w:t>
      </w:r>
      <w:r w:rsidR="00D5300D" w:rsidRPr="00BF275D">
        <w:rPr>
          <w:rFonts w:ascii="Times New Roman" w:eastAsia="楷体_GB2312" w:hAnsi="Times New Roman" w:cs="Times New Roman"/>
          <w:sz w:val="24"/>
        </w:rPr>
        <w:t>日起变更</w:t>
      </w:r>
      <w:r w:rsidR="00A46939">
        <w:rPr>
          <w:rFonts w:ascii="Times New Roman" w:eastAsia="楷体_GB2312" w:hAnsi="Times New Roman" w:cs="Times New Roman" w:hint="eastAsia"/>
          <w:sz w:val="24"/>
        </w:rPr>
        <w:t>兴证全球</w:t>
      </w:r>
      <w:r w:rsidR="00A46939" w:rsidRPr="00A46939">
        <w:rPr>
          <w:rFonts w:ascii="Times New Roman" w:eastAsia="楷体_GB2312" w:hAnsi="Times New Roman" w:cs="Times New Roman" w:hint="eastAsia"/>
          <w:sz w:val="24"/>
        </w:rPr>
        <w:t>嘉益债券型证券投资基金</w:t>
      </w:r>
      <w:r w:rsidR="00EB0E4C">
        <w:rPr>
          <w:rFonts w:ascii="Times New Roman" w:eastAsia="楷体_GB2312" w:hAnsi="Times New Roman" w:cs="Times New Roman" w:hint="eastAsia"/>
          <w:sz w:val="24"/>
        </w:rPr>
        <w:t>（以下简称“本基金”）</w:t>
      </w:r>
      <w:r w:rsidR="00A46939">
        <w:rPr>
          <w:rFonts w:ascii="Times New Roman" w:eastAsia="楷体_GB2312" w:hAnsi="Times New Roman" w:cs="Times New Roman" w:hint="eastAsia"/>
          <w:sz w:val="24"/>
        </w:rPr>
        <w:t>的</w:t>
      </w:r>
      <w:r w:rsidR="00D5300D" w:rsidRPr="00BF275D">
        <w:rPr>
          <w:rFonts w:ascii="Times New Roman" w:eastAsia="楷体_GB2312" w:hAnsi="Times New Roman" w:cs="Times New Roman" w:hint="eastAsia"/>
          <w:sz w:val="24"/>
        </w:rPr>
        <w:t>基金</w:t>
      </w:r>
      <w:r w:rsidR="00785482" w:rsidRPr="00BF275D">
        <w:rPr>
          <w:rFonts w:ascii="楷体" w:eastAsia="楷体" w:hAnsi="楷体"/>
          <w:sz w:val="24"/>
          <w:szCs w:val="24"/>
        </w:rPr>
        <w:t>全称</w:t>
      </w:r>
      <w:r w:rsidR="00D5300D" w:rsidRPr="00BF275D">
        <w:rPr>
          <w:rFonts w:ascii="Times New Roman" w:eastAsia="楷体_GB2312" w:hAnsi="Times New Roman" w:cs="Times New Roman"/>
          <w:sz w:val="24"/>
        </w:rPr>
        <w:t>，</w:t>
      </w:r>
      <w:r w:rsidR="00A46939">
        <w:rPr>
          <w:rFonts w:ascii="Times New Roman" w:eastAsia="楷体_GB2312" w:hAnsi="Times New Roman" w:cs="Times New Roman" w:hint="eastAsia"/>
          <w:sz w:val="24"/>
        </w:rPr>
        <w:t>基金简称、基金代码不变</w:t>
      </w:r>
      <w:r w:rsidR="00EB0E4C">
        <w:rPr>
          <w:rFonts w:ascii="Times New Roman" w:eastAsia="楷体_GB2312" w:hAnsi="Times New Roman" w:cs="Times New Roman" w:hint="eastAsia"/>
          <w:sz w:val="24"/>
        </w:rPr>
        <w:t>，</w:t>
      </w:r>
      <w:r w:rsidR="00D5300D" w:rsidRPr="00BF275D">
        <w:rPr>
          <w:rFonts w:ascii="Times New Roman" w:eastAsia="楷体_GB2312" w:hAnsi="Times New Roman" w:cs="Times New Roman"/>
          <w:sz w:val="24"/>
        </w:rPr>
        <w:t>具体情况如下：</w:t>
      </w:r>
    </w:p>
    <w:p w:rsidR="00E72488" w:rsidRDefault="00E72488" w:rsidP="00EB0E4C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</w:p>
    <w:p w:rsidR="00EB0E4C" w:rsidRDefault="00EB0E4C" w:rsidP="00EB0E4C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  <w:r>
        <w:rPr>
          <w:rFonts w:ascii="Times New Roman" w:eastAsia="楷体_GB2312" w:hAnsi="Times New Roman" w:cs="Times New Roman" w:hint="eastAsia"/>
          <w:sz w:val="24"/>
        </w:rPr>
        <w:t>本基金的基金全称由“</w:t>
      </w:r>
      <w:r w:rsidRPr="00EB0E4C">
        <w:rPr>
          <w:rFonts w:ascii="Times New Roman" w:eastAsia="楷体_GB2312" w:hAnsi="Times New Roman" w:cs="Times New Roman" w:hint="eastAsia"/>
          <w:sz w:val="24"/>
        </w:rPr>
        <w:t>兴证全球嘉益债券型证券投资基金</w:t>
      </w:r>
      <w:r>
        <w:rPr>
          <w:rFonts w:ascii="Times New Roman" w:eastAsia="楷体_GB2312" w:hAnsi="Times New Roman" w:cs="Times New Roman" w:hint="eastAsia"/>
          <w:sz w:val="24"/>
        </w:rPr>
        <w:t>”变更为“</w:t>
      </w:r>
      <w:r w:rsidRPr="00EB0E4C">
        <w:rPr>
          <w:rFonts w:ascii="Times New Roman" w:eastAsia="楷体_GB2312" w:hAnsi="Times New Roman" w:cs="Times New Roman" w:hint="eastAsia"/>
          <w:sz w:val="24"/>
        </w:rPr>
        <w:t>兴全嘉益债券型证券投资基金</w:t>
      </w:r>
      <w:r>
        <w:rPr>
          <w:rFonts w:ascii="Times New Roman" w:eastAsia="楷体_GB2312" w:hAnsi="Times New Roman" w:cs="Times New Roman" w:hint="eastAsia"/>
          <w:sz w:val="24"/>
        </w:rPr>
        <w:t>”。变更后的基金信息如下：</w:t>
      </w:r>
    </w:p>
    <w:tbl>
      <w:tblPr>
        <w:tblStyle w:val="a5"/>
        <w:tblW w:w="0" w:type="auto"/>
        <w:jc w:val="center"/>
        <w:tblLook w:val="04A0"/>
      </w:tblPr>
      <w:tblGrid>
        <w:gridCol w:w="1413"/>
        <w:gridCol w:w="4117"/>
        <w:gridCol w:w="2766"/>
      </w:tblGrid>
      <w:tr w:rsidR="00EB0E4C" w:rsidRPr="00BF275D" w:rsidTr="00A60029">
        <w:trPr>
          <w:jc w:val="center"/>
        </w:trPr>
        <w:tc>
          <w:tcPr>
            <w:tcW w:w="1413" w:type="dxa"/>
            <w:vAlign w:val="center"/>
          </w:tcPr>
          <w:p w:rsidR="00EB0E4C" w:rsidRPr="00BF275D" w:rsidRDefault="00EB0E4C" w:rsidP="00A600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F275D">
              <w:rPr>
                <w:rFonts w:ascii="楷体" w:eastAsia="楷体" w:hAnsi="楷体"/>
                <w:sz w:val="24"/>
                <w:szCs w:val="24"/>
              </w:rPr>
              <w:t>基金代码</w:t>
            </w:r>
          </w:p>
        </w:tc>
        <w:tc>
          <w:tcPr>
            <w:tcW w:w="4117" w:type="dxa"/>
            <w:vAlign w:val="center"/>
          </w:tcPr>
          <w:p w:rsidR="00EB0E4C" w:rsidRPr="00BF275D" w:rsidRDefault="00EB0E4C" w:rsidP="00A600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F275D">
              <w:rPr>
                <w:rFonts w:ascii="楷体" w:eastAsia="楷体" w:hAnsi="楷体"/>
                <w:sz w:val="24"/>
                <w:szCs w:val="24"/>
              </w:rPr>
              <w:t>基金全称</w:t>
            </w:r>
          </w:p>
        </w:tc>
        <w:tc>
          <w:tcPr>
            <w:tcW w:w="2766" w:type="dxa"/>
            <w:vAlign w:val="center"/>
          </w:tcPr>
          <w:p w:rsidR="00EB0E4C" w:rsidRPr="00BF275D" w:rsidRDefault="00EB0E4C" w:rsidP="00A600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基金</w:t>
            </w:r>
            <w:r w:rsidRPr="00BF275D">
              <w:rPr>
                <w:rFonts w:ascii="楷体" w:eastAsia="楷体" w:hAnsi="楷体"/>
                <w:sz w:val="24"/>
                <w:szCs w:val="24"/>
              </w:rPr>
              <w:t>简称</w:t>
            </w:r>
          </w:p>
        </w:tc>
      </w:tr>
      <w:tr w:rsidR="00EB0E4C" w:rsidRPr="00BF275D" w:rsidTr="00A60029">
        <w:trPr>
          <w:jc w:val="center"/>
        </w:trPr>
        <w:tc>
          <w:tcPr>
            <w:tcW w:w="1413" w:type="dxa"/>
            <w:vAlign w:val="center"/>
          </w:tcPr>
          <w:p w:rsidR="00EB0E4C" w:rsidRPr="00BF275D" w:rsidRDefault="00EB0E4C" w:rsidP="00A600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0E4C">
              <w:rPr>
                <w:rFonts w:ascii="楷体" w:eastAsia="楷体" w:hAnsi="楷体"/>
                <w:sz w:val="24"/>
                <w:szCs w:val="24"/>
              </w:rPr>
              <w:t>026057</w:t>
            </w:r>
          </w:p>
        </w:tc>
        <w:tc>
          <w:tcPr>
            <w:tcW w:w="4117" w:type="dxa"/>
            <w:vAlign w:val="center"/>
          </w:tcPr>
          <w:p w:rsidR="00EB0E4C" w:rsidRPr="00BF275D" w:rsidRDefault="00EB0E4C" w:rsidP="00A60029">
            <w:pPr>
              <w:rPr>
                <w:rFonts w:ascii="楷体" w:eastAsia="楷体" w:hAnsi="楷体"/>
                <w:sz w:val="24"/>
                <w:szCs w:val="24"/>
              </w:rPr>
            </w:pPr>
            <w:r w:rsidRPr="00EB0E4C">
              <w:rPr>
                <w:rFonts w:ascii="楷体" w:eastAsia="楷体" w:hAnsi="楷体" w:cs="Times New Roman" w:hint="eastAsia"/>
                <w:sz w:val="24"/>
                <w:szCs w:val="24"/>
              </w:rPr>
              <w:t>兴全嘉益债券型证券投资基金</w:t>
            </w:r>
          </w:p>
        </w:tc>
        <w:tc>
          <w:tcPr>
            <w:tcW w:w="2766" w:type="dxa"/>
            <w:vAlign w:val="center"/>
          </w:tcPr>
          <w:p w:rsidR="00EB0E4C" w:rsidRPr="00BF275D" w:rsidRDefault="00EB0E4C" w:rsidP="00A600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兴全嘉益债券</w:t>
            </w:r>
          </w:p>
        </w:tc>
      </w:tr>
    </w:tbl>
    <w:p w:rsidR="00D02B23" w:rsidRDefault="00D02B23" w:rsidP="00BF275D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</w:p>
    <w:p w:rsidR="00E55AF3" w:rsidRDefault="00D5300D" w:rsidP="00E55AF3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BF275D">
        <w:rPr>
          <w:rFonts w:ascii="Times New Roman" w:eastAsia="楷体_GB2312" w:hAnsi="Times New Roman" w:cs="Times New Roman"/>
          <w:sz w:val="24"/>
        </w:rPr>
        <w:t>本次变更</w:t>
      </w:r>
      <w:r w:rsidR="00785482">
        <w:rPr>
          <w:rFonts w:ascii="Times New Roman" w:eastAsia="楷体_GB2312" w:hAnsi="Times New Roman" w:cs="Times New Roman" w:hint="eastAsia"/>
          <w:sz w:val="24"/>
        </w:rPr>
        <w:t>基金</w:t>
      </w:r>
      <w:r w:rsidR="00785482" w:rsidRPr="00BF275D">
        <w:rPr>
          <w:rFonts w:ascii="楷体" w:eastAsia="楷体" w:hAnsi="楷体"/>
          <w:sz w:val="24"/>
          <w:szCs w:val="24"/>
        </w:rPr>
        <w:t>全称</w:t>
      </w:r>
      <w:r w:rsidRPr="00BF275D">
        <w:rPr>
          <w:rFonts w:ascii="Times New Roman" w:eastAsia="楷体_GB2312" w:hAnsi="Times New Roman" w:cs="Times New Roman"/>
          <w:sz w:val="24"/>
        </w:rPr>
        <w:t>对基金份额持有人利益无实质性不利影响，且不涉及《基金合同》当事人权利义务关系发生变化，</w:t>
      </w:r>
      <w:r w:rsidR="00F83A09">
        <w:rPr>
          <w:rFonts w:ascii="Times New Roman" w:eastAsia="楷体_GB2312" w:hAnsi="Times New Roman" w:cs="Times New Roman" w:hint="eastAsia"/>
          <w:sz w:val="24"/>
        </w:rPr>
        <w:t>可以由基金管理人和基金托管人协商一致作出，不违反</w:t>
      </w:r>
      <w:r w:rsidR="00E55AF3">
        <w:rPr>
          <w:rFonts w:ascii="Times New Roman" w:eastAsia="楷体_GB2312" w:hAnsi="Times New Roman" w:cs="Times New Roman" w:hint="eastAsia"/>
          <w:sz w:val="24"/>
        </w:rPr>
        <w:t>相关法律法规及基金合同的规定，</w:t>
      </w:r>
      <w:r w:rsidRPr="00BF275D">
        <w:rPr>
          <w:rFonts w:ascii="Times New Roman" w:eastAsia="楷体_GB2312" w:hAnsi="Times New Roman" w:cs="Times New Roman"/>
          <w:sz w:val="24"/>
        </w:rPr>
        <w:t>不需要召开基金份额持有人大会。</w:t>
      </w:r>
      <w:r w:rsidR="00E55AF3" w:rsidRPr="00E55AF3">
        <w:rPr>
          <w:rFonts w:ascii="Times New Roman" w:eastAsia="楷体_GB2312" w:hAnsi="Times New Roman" w:cs="Times New Roman" w:hint="eastAsia"/>
          <w:sz w:val="24"/>
        </w:rPr>
        <w:t>本基金管理人将于公告当日将</w:t>
      </w:r>
      <w:r w:rsidR="00E55AF3">
        <w:rPr>
          <w:rFonts w:ascii="Times New Roman" w:eastAsia="楷体_GB2312" w:hAnsi="Times New Roman" w:cs="Times New Roman" w:hint="eastAsia"/>
          <w:sz w:val="24"/>
        </w:rPr>
        <w:t>本</w:t>
      </w:r>
      <w:r w:rsidR="00E55AF3" w:rsidRPr="00E55AF3">
        <w:rPr>
          <w:rFonts w:ascii="Times New Roman" w:eastAsia="楷体_GB2312" w:hAnsi="Times New Roman" w:cs="Times New Roman" w:hint="eastAsia"/>
          <w:sz w:val="24"/>
        </w:rPr>
        <w:t>基金修改后的基金合同和托管协议登载于规定网站。</w:t>
      </w:r>
      <w:r w:rsidR="00E55AF3">
        <w:rPr>
          <w:rFonts w:ascii="Times New Roman" w:eastAsia="楷体_GB2312" w:hAnsi="Times New Roman" w:cs="Times New Roman" w:hint="eastAsia"/>
          <w:sz w:val="24"/>
        </w:rPr>
        <w:t>本</w:t>
      </w:r>
      <w:r w:rsidR="00E55AF3" w:rsidRPr="00E55AF3">
        <w:rPr>
          <w:rFonts w:ascii="Times New Roman" w:eastAsia="楷体_GB2312" w:hAnsi="Times New Roman" w:cs="Times New Roman" w:hint="eastAsia"/>
          <w:sz w:val="24"/>
        </w:rPr>
        <w:t>基金招募说明书及基金产品资料概要涉及前述内容的，将一并修改，并依照《信息披露办法》的有关规定在规定媒介上公告。</w:t>
      </w:r>
    </w:p>
    <w:p w:rsidR="00E72488" w:rsidRDefault="00E72488" w:rsidP="00E55AF3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</w:p>
    <w:p w:rsidR="00D5300D" w:rsidRPr="00612255" w:rsidRDefault="00D5300D" w:rsidP="00BF275D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BF275D">
        <w:rPr>
          <w:rFonts w:ascii="Times New Roman" w:eastAsia="楷体_GB2312" w:hAnsi="Times New Roman" w:cs="Times New Roman"/>
          <w:sz w:val="24"/>
        </w:rPr>
        <w:t>投资者欲了解上述基金的详细情况，</w:t>
      </w:r>
      <w:r w:rsidRPr="00612255">
        <w:rPr>
          <w:rFonts w:ascii="Times New Roman" w:eastAsia="楷体_GB2312" w:hAnsi="Times New Roman" w:cs="Times New Roman"/>
          <w:sz w:val="24"/>
        </w:rPr>
        <w:t>请查阅本基金的</w:t>
      </w:r>
      <w:r w:rsidRPr="00612255">
        <w:rPr>
          <w:rFonts w:ascii="Times New Roman" w:eastAsia="楷体_GB2312" w:hAnsi="Times New Roman" w:cs="Times New Roman" w:hint="eastAsia"/>
          <w:sz w:val="24"/>
        </w:rPr>
        <w:t>基金合同</w:t>
      </w:r>
      <w:r w:rsidRPr="00612255">
        <w:rPr>
          <w:rFonts w:ascii="Times New Roman" w:eastAsia="楷体_GB2312" w:hAnsi="Times New Roman" w:cs="Times New Roman"/>
          <w:sz w:val="24"/>
        </w:rPr>
        <w:t>、招募说明书及最新相关公告。投资人可访问兴证全球基金管理有限公司网站（</w:t>
      </w:r>
      <w:r w:rsidRPr="00612255">
        <w:rPr>
          <w:rFonts w:ascii="Times New Roman" w:eastAsia="楷体_GB2312" w:hAnsi="Times New Roman" w:cs="Times New Roman"/>
          <w:sz w:val="24"/>
        </w:rPr>
        <w:t>www.xqfunds.com</w:t>
      </w:r>
      <w:r w:rsidRPr="00612255">
        <w:rPr>
          <w:rFonts w:ascii="Times New Roman" w:eastAsia="楷体_GB2312" w:hAnsi="Times New Roman" w:cs="Times New Roman"/>
          <w:sz w:val="24"/>
        </w:rPr>
        <w:t>）或拨打客户服务电话（</w:t>
      </w:r>
      <w:r w:rsidRPr="00612255">
        <w:rPr>
          <w:rFonts w:ascii="Times New Roman" w:eastAsia="楷体_GB2312" w:hAnsi="Times New Roman" w:cs="Times New Roman"/>
          <w:sz w:val="24"/>
        </w:rPr>
        <w:t>400-678-0099</w:t>
      </w:r>
      <w:r w:rsidRPr="00612255">
        <w:rPr>
          <w:rFonts w:ascii="Times New Roman" w:eastAsia="楷体_GB2312" w:hAnsi="Times New Roman" w:cs="Times New Roman"/>
          <w:sz w:val="24"/>
        </w:rPr>
        <w:t>（免长话）、</w:t>
      </w:r>
      <w:r w:rsidRPr="00612255">
        <w:rPr>
          <w:rFonts w:ascii="Times New Roman" w:eastAsia="楷体_GB2312" w:hAnsi="Times New Roman" w:cs="Times New Roman"/>
          <w:sz w:val="24"/>
        </w:rPr>
        <w:t>021-38824536</w:t>
      </w:r>
      <w:r w:rsidRPr="00612255">
        <w:rPr>
          <w:rFonts w:ascii="Times New Roman" w:eastAsia="楷体_GB2312" w:hAnsi="Times New Roman" w:cs="Times New Roman"/>
          <w:sz w:val="24"/>
        </w:rPr>
        <w:t>）咨询相关情况。</w:t>
      </w:r>
    </w:p>
    <w:p w:rsidR="00BF275D" w:rsidRDefault="00BF275D" w:rsidP="00D5300D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</w:p>
    <w:p w:rsidR="00D5300D" w:rsidRPr="00612255" w:rsidRDefault="00D5300D" w:rsidP="00D5300D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612255">
        <w:rPr>
          <w:rFonts w:ascii="Times New Roman" w:eastAsia="楷体_GB2312" w:hAnsi="Times New Roman" w:cs="Times New Roman"/>
          <w:sz w:val="24"/>
        </w:rPr>
        <w:t>风险提示：</w:t>
      </w:r>
      <w:r w:rsidRPr="00612255">
        <w:rPr>
          <w:rFonts w:ascii="Times New Roman" w:eastAsia="楷体_GB2312" w:hAnsi="Times New Roman" w:cs="Times New Roman" w:hint="eastAsia"/>
          <w:sz w:val="24"/>
        </w:rPr>
        <w:t>基金管理人依照恪尽职守、诚实信用、谨慎勤勉的原则管理和运用基金财产，但不保证基金一定盈利，也不保证最低收益。基金的过往业绩并不预示其未来表现。基金管理人管理的其它基金的业绩并不构成对本基金业绩表现</w:t>
      </w:r>
      <w:r w:rsidRPr="00612255">
        <w:rPr>
          <w:rFonts w:ascii="Times New Roman" w:eastAsia="楷体_GB2312" w:hAnsi="Times New Roman" w:cs="Times New Roman" w:hint="eastAsia"/>
          <w:sz w:val="24"/>
        </w:rPr>
        <w:lastRenderedPageBreak/>
        <w:t>的保证。本基金管理人提醒投资者基金投资的“买者自负”原则，在投资者作出投资决策后，基金运营状况与基金净值变化导致的投资风险，由投资者自行负担。投资者申购基金份额时应认真阅读基金招募说明书，全面认识本基金产品的风</w:t>
      </w:r>
      <w:bookmarkStart w:id="0" w:name="_GoBack"/>
      <w:bookmarkEnd w:id="0"/>
      <w:r w:rsidRPr="00612255">
        <w:rPr>
          <w:rFonts w:ascii="Times New Roman" w:eastAsia="楷体_GB2312" w:hAnsi="Times New Roman" w:cs="Times New Roman" w:hint="eastAsia"/>
          <w:sz w:val="24"/>
        </w:rPr>
        <w:t>险收益特征，充分考虑投资者自身的风险承受能力</w:t>
      </w:r>
      <w:r w:rsidRPr="00612255">
        <w:rPr>
          <w:rFonts w:ascii="Times New Roman" w:eastAsia="楷体_GB2312" w:hAnsi="Times New Roman" w:cs="Times New Roman"/>
          <w:sz w:val="24"/>
        </w:rPr>
        <w:t>。</w:t>
      </w:r>
    </w:p>
    <w:p w:rsidR="00955149" w:rsidRDefault="00955149" w:rsidP="00D5300D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</w:p>
    <w:p w:rsidR="00D5300D" w:rsidRPr="00612255" w:rsidRDefault="00D5300D" w:rsidP="00D5300D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612255">
        <w:rPr>
          <w:rFonts w:ascii="Times New Roman" w:eastAsia="楷体_GB2312" w:hAnsi="Times New Roman" w:cs="Times New Roman"/>
          <w:sz w:val="24"/>
        </w:rPr>
        <w:t>特此公告。</w:t>
      </w:r>
    </w:p>
    <w:p w:rsidR="00D5300D" w:rsidRPr="00612255" w:rsidRDefault="00D5300D" w:rsidP="00D5300D">
      <w:pPr>
        <w:spacing w:line="360" w:lineRule="auto"/>
        <w:ind w:firstLineChars="200" w:firstLine="480"/>
        <w:rPr>
          <w:rFonts w:ascii="仿宋" w:eastAsia="仿宋" w:hAnsi="仿宋" w:cs="Times New Roman"/>
          <w:kern w:val="0"/>
          <w:sz w:val="24"/>
          <w:szCs w:val="24"/>
        </w:rPr>
      </w:pPr>
    </w:p>
    <w:p w:rsidR="00D5300D" w:rsidRPr="00612255" w:rsidRDefault="00D5300D" w:rsidP="00D5300D">
      <w:pPr>
        <w:spacing w:line="360" w:lineRule="auto"/>
        <w:ind w:firstLineChars="200" w:firstLine="480"/>
        <w:jc w:val="right"/>
        <w:rPr>
          <w:rFonts w:ascii="Times New Roman" w:eastAsia="楷体_GB2312" w:hAnsi="Times New Roman" w:cs="Times New Roman"/>
          <w:i/>
          <w:sz w:val="24"/>
        </w:rPr>
      </w:pPr>
      <w:r w:rsidRPr="00612255">
        <w:rPr>
          <w:rFonts w:ascii="Times New Roman" w:eastAsia="楷体_GB2312" w:hAnsi="Times New Roman" w:cs="Times New Roman"/>
          <w:i/>
          <w:sz w:val="24"/>
        </w:rPr>
        <w:t>兴证全球基金管理有限公司</w:t>
      </w:r>
    </w:p>
    <w:p w:rsidR="00D5300D" w:rsidRPr="00BF275D" w:rsidRDefault="00D5300D" w:rsidP="00BF275D">
      <w:pPr>
        <w:spacing w:line="360" w:lineRule="auto"/>
        <w:ind w:firstLineChars="200" w:firstLine="480"/>
        <w:jc w:val="right"/>
        <w:rPr>
          <w:rFonts w:ascii="Times New Roman" w:eastAsia="楷体_GB2312" w:hAnsi="Times New Roman" w:cs="Times New Roman"/>
          <w:i/>
          <w:sz w:val="24"/>
        </w:rPr>
      </w:pPr>
      <w:r w:rsidRPr="0017073D">
        <w:rPr>
          <w:rFonts w:ascii="Times New Roman" w:eastAsia="楷体_GB2312" w:hAnsi="Times New Roman" w:cs="Times New Roman"/>
          <w:i/>
          <w:sz w:val="24"/>
        </w:rPr>
        <w:t>2026</w:t>
      </w:r>
      <w:r w:rsidRPr="0017073D">
        <w:rPr>
          <w:rFonts w:ascii="Times New Roman" w:eastAsia="楷体_GB2312" w:hAnsi="Times New Roman" w:cs="Times New Roman"/>
          <w:i/>
          <w:sz w:val="24"/>
        </w:rPr>
        <w:t>年</w:t>
      </w:r>
      <w:r w:rsidR="00066905" w:rsidRPr="0017073D">
        <w:rPr>
          <w:rFonts w:ascii="Times New Roman" w:eastAsia="楷体_GB2312" w:hAnsi="Times New Roman" w:cs="Times New Roman"/>
          <w:i/>
          <w:sz w:val="24"/>
        </w:rPr>
        <w:t>3</w:t>
      </w:r>
      <w:r w:rsidRPr="0017073D">
        <w:rPr>
          <w:rFonts w:ascii="Times New Roman" w:eastAsia="楷体_GB2312" w:hAnsi="Times New Roman" w:cs="Times New Roman"/>
          <w:i/>
          <w:sz w:val="24"/>
        </w:rPr>
        <w:t>月</w:t>
      </w:r>
      <w:r w:rsidR="0017073D" w:rsidRPr="0017073D">
        <w:rPr>
          <w:rFonts w:ascii="Times New Roman" w:eastAsia="楷体_GB2312" w:hAnsi="Times New Roman" w:cs="Times New Roman"/>
          <w:i/>
          <w:sz w:val="24"/>
        </w:rPr>
        <w:t>5</w:t>
      </w:r>
      <w:r w:rsidRPr="0017073D">
        <w:rPr>
          <w:rFonts w:ascii="Times New Roman" w:eastAsia="楷体_GB2312" w:hAnsi="Times New Roman" w:cs="Times New Roman"/>
          <w:i/>
          <w:sz w:val="24"/>
        </w:rPr>
        <w:t>日</w:t>
      </w:r>
    </w:p>
    <w:sectPr w:rsidR="00D5300D" w:rsidRPr="00BF275D" w:rsidSect="00BF5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81A" w:rsidRDefault="00D0781A" w:rsidP="00D5300D">
      <w:r>
        <w:separator/>
      </w:r>
    </w:p>
  </w:endnote>
  <w:endnote w:type="continuationSeparator" w:id="0">
    <w:p w:rsidR="00D0781A" w:rsidRDefault="00D0781A" w:rsidP="00D53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81A" w:rsidRDefault="00D0781A" w:rsidP="00D5300D">
      <w:r>
        <w:separator/>
      </w:r>
    </w:p>
  </w:footnote>
  <w:footnote w:type="continuationSeparator" w:id="0">
    <w:p w:rsidR="00D0781A" w:rsidRDefault="00D0781A" w:rsidP="00D53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BDF"/>
    <w:rsid w:val="00066905"/>
    <w:rsid w:val="0015420B"/>
    <w:rsid w:val="0017073D"/>
    <w:rsid w:val="00481C34"/>
    <w:rsid w:val="00596BDF"/>
    <w:rsid w:val="00604645"/>
    <w:rsid w:val="00785482"/>
    <w:rsid w:val="007D2692"/>
    <w:rsid w:val="00955149"/>
    <w:rsid w:val="00A305E9"/>
    <w:rsid w:val="00A46939"/>
    <w:rsid w:val="00A774D2"/>
    <w:rsid w:val="00B45F70"/>
    <w:rsid w:val="00BF275D"/>
    <w:rsid w:val="00BF5654"/>
    <w:rsid w:val="00C22E52"/>
    <w:rsid w:val="00D02B23"/>
    <w:rsid w:val="00D0781A"/>
    <w:rsid w:val="00D5300D"/>
    <w:rsid w:val="00E1539B"/>
    <w:rsid w:val="00E3511A"/>
    <w:rsid w:val="00E55AF3"/>
    <w:rsid w:val="00E72488"/>
    <w:rsid w:val="00EB0E4C"/>
    <w:rsid w:val="00F83A09"/>
    <w:rsid w:val="00FC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00D"/>
    <w:rPr>
      <w:sz w:val="18"/>
      <w:szCs w:val="18"/>
    </w:rPr>
  </w:style>
  <w:style w:type="table" w:styleId="a5">
    <w:name w:val="Table Grid"/>
    <w:basedOn w:val="a1"/>
    <w:uiPriority w:val="39"/>
    <w:rsid w:val="00D5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4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肖培嘉</dc:creator>
  <cp:keywords/>
  <dc:description/>
  <cp:lastModifiedBy>ZHONGM</cp:lastModifiedBy>
  <cp:revision>2</cp:revision>
  <dcterms:created xsi:type="dcterms:W3CDTF">2026-03-04T16:01:00Z</dcterms:created>
  <dcterms:modified xsi:type="dcterms:W3CDTF">2026-03-04T16:01:00Z</dcterms:modified>
</cp:coreProperties>
</file>