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国泰鑫策略价值灵活配置混合型证券投资基金基金经理变更公告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2026年3月5日</w:t>
      </w: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国泰鑫策略价值灵活配置混合型证券投资基金</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国泰鑫策略价值灵活配置混合</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002197</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国泰基金管理有限公司</w:t>
            </w:r>
          </w:p>
        </w:tc>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《公开募集证券投资基金信息披露管理办法》等</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w:t>
            </w:r>
          </w:p>
        </w:tc>
      </w:tr>
      <w:tr w:rsidR="002D4E1D">
        <w:trPr>
          <w:trHeight w:val="624"/>
          <w:jc w:val="center"/>
        </w:trPr>
        <w:tc>
          <w:tcPr>
            <w:tcW w:w="4353" w:type="dxa"/>
            <w:vMerge w:val="restart"/>
            <w:vAlign w:val="center"/>
          </w:tcPr>
          <w:p w:rsidR="002D4E1D" w:rsidRDefault="00E8365A">
            <w:pPr>
              <w:jc w:val="left"/>
            </w:pPr>
            <w:r>
              <w:rPr>
                <w:rFonts w:asciiTheme="minorEastAsia" w:eastAsiaTheme="minorEastAsia" w:hAnsiTheme="minorEastAsia"/>
                <w:sz w:val="24"/>
                <w:szCs w:val="24"/>
              </w:rPr>
              <w:t>新任基金经理姓名</w:t>
            </w:r>
          </w:p>
        </w:tc>
        <w:tc>
          <w:tcPr>
            <w:tcW w:w="5286" w:type="dxa"/>
            <w:vMerge w:val="restart"/>
            <w:vAlign w:val="center"/>
          </w:tcPr>
          <w:p w:rsidR="002D4E1D" w:rsidRDefault="00E8365A">
            <w:pPr>
              <w:jc w:val="left"/>
            </w:pPr>
            <w:r>
              <w:rPr>
                <w:rFonts w:asciiTheme="minorEastAsia" w:eastAsiaTheme="minorEastAsia" w:hAnsiTheme="minorEastAsia"/>
                <w:sz w:val="24"/>
                <w:szCs w:val="24"/>
              </w:rPr>
              <w:t>刘嵩扬</w:t>
            </w:r>
          </w:p>
        </w:tc>
      </w:tr>
      <w:tr w:rsidR="002D4E1D">
        <w:trPr>
          <w:jc w:val="center"/>
        </w:trPr>
        <w:tc>
          <w:tcPr>
            <w:tcW w:w="4353" w:type="dxa"/>
            <w:vAlign w:val="center"/>
          </w:tcPr>
          <w:p w:rsidR="002D4E1D" w:rsidRDefault="00E8365A">
            <w:pPr>
              <w:jc w:val="left"/>
            </w:pPr>
            <w:r>
              <w:rPr>
                <w:rFonts w:asciiTheme="minorEastAsia" w:eastAsiaTheme="minorEastAsia" w:hAnsiTheme="minorEastAsia"/>
                <w:sz w:val="24"/>
                <w:szCs w:val="24"/>
              </w:rPr>
              <w:t>共同管理本基金的其他基金经理姓名</w:t>
            </w:r>
          </w:p>
        </w:tc>
        <w:tc>
          <w:tcPr>
            <w:tcW w:w="5286" w:type="dxa"/>
            <w:vAlign w:val="center"/>
          </w:tcPr>
          <w:p w:rsidR="002D4E1D" w:rsidRDefault="00E8365A">
            <w:pPr>
              <w:jc w:val="left"/>
            </w:pPr>
            <w:r>
              <w:rPr>
                <w:rFonts w:asciiTheme="minorEastAsia" w:eastAsiaTheme="minorEastAsia" w:hAnsiTheme="minorEastAsia"/>
                <w:sz w:val="24"/>
                <w:szCs w:val="24"/>
              </w:rPr>
              <w:t>魏伟</w:t>
            </w:r>
          </w:p>
        </w:tc>
      </w:tr>
    </w:tbl>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1"/>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1133"/>
        <w:gridCol w:w="3830"/>
        <w:gridCol w:w="1416"/>
        <w:gridCol w:w="1416"/>
      </w:tblGrid>
      <w:tr w:rsidR="00042A21" w:rsidRPr="0000418A" w:rsidTr="00C41608">
        <w:trPr>
          <w:jc w:val="center"/>
        </w:trPr>
        <w:tc>
          <w:tcPr>
            <w:tcW w:w="2506"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7142"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刘嵩扬</w:t>
            </w:r>
          </w:p>
        </w:tc>
      </w:tr>
      <w:tr w:rsidR="00070317" w:rsidRPr="0000418A" w:rsidTr="00C41608">
        <w:trPr>
          <w:jc w:val="center"/>
        </w:trPr>
        <w:tc>
          <w:tcPr>
            <w:tcW w:w="2506"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7142"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2026年3月4日</w:t>
            </w:r>
          </w:p>
        </w:tc>
      </w:tr>
      <w:tr w:rsidR="00070317" w:rsidRPr="0000418A" w:rsidTr="00C41608">
        <w:trPr>
          <w:jc w:val="center"/>
        </w:trPr>
        <w:tc>
          <w:tcPr>
            <w:tcW w:w="2506"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7142"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14年</w:t>
            </w:r>
          </w:p>
        </w:tc>
      </w:tr>
      <w:tr w:rsidR="00070317" w:rsidRPr="0000418A" w:rsidTr="00C41608">
        <w:trPr>
          <w:jc w:val="center"/>
        </w:trPr>
        <w:tc>
          <w:tcPr>
            <w:tcW w:w="2506"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7142"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14年</w:t>
            </w:r>
          </w:p>
        </w:tc>
      </w:tr>
      <w:tr w:rsidR="00070317" w:rsidRPr="0000418A" w:rsidTr="00C41608">
        <w:trPr>
          <w:jc w:val="center"/>
        </w:trPr>
        <w:tc>
          <w:tcPr>
            <w:tcW w:w="2506"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7142"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硕士研究生。曾任职于北京鹏扬投资管理有限公司、鹏扬基金管理有限公司、长江养老保险股份有限公司，2020年4月加入国泰基金。2020年7月起任国泰农惠定期开放债券型证券投资基金、国泰丰鑫纯债债券型证券投资基金、国泰惠信三年定期开放债券型证券投资基金、国泰聚盈三年定</w:t>
            </w:r>
            <w:r w:rsidRPr="0000418A">
              <w:rPr>
                <w:rFonts w:asciiTheme="minorEastAsia" w:eastAsiaTheme="minorEastAsia" w:hAnsiTheme="minorEastAsia"/>
                <w:sz w:val="24"/>
                <w:szCs w:val="24"/>
              </w:rPr>
              <w:lastRenderedPageBreak/>
              <w:t>期开放债券型证券投资基金、国泰合融纯债债券型证券投资基金和国泰信利三个月定期开放债券型发起式证券投资基金的基金经理，2020年7月至2023年5月任国泰添瑞一年定期开放债券型发起式证券投资基金的基金经理，2021年8月起兼任国泰瑞泰纯债债券型证券投资基金的基金经理，2021年12月至2023年6月任国泰睿元一年定期开放债券型发起式证券投资基金的基金经理，2022年9月至2024年1月任国泰睿鸿一年定期开放债券型发起式证券投资基金的基金经理，2023年5月起兼任国泰信瑞纯债债券型证券投资基金的基金经理，2023年7月起兼任国泰兴富三个月定期开放债券型发起式证券投资基金的基金经理，2023年11月起兼任国泰同益18个月持有期混合型证券投资基金的基金经理，2024年5月起兼任国泰睿元一年定期开放债券型发起式证券投资基金的基金经理，2024年8月起兼任国泰金龙债券证券投资基金的基金经理，2025年3月起兼任国泰丰盈纯债债券型证券投资基金的基金经理，2025年5月起兼任国泰中债优选投资级信用债指数发起式证券投资基金的基金经理。</w:t>
            </w:r>
          </w:p>
        </w:tc>
      </w:tr>
      <w:tr w:rsidR="00042A21" w:rsidRPr="0000418A" w:rsidTr="00C41608">
        <w:trPr>
          <w:jc w:val="center"/>
        </w:trPr>
        <w:tc>
          <w:tcPr>
            <w:tcW w:w="2506"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其中：管理过公募基金的名称及期间</w:t>
            </w:r>
          </w:p>
        </w:tc>
        <w:tc>
          <w:tcPr>
            <w:tcW w:w="1244"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3066"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416"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416"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005816</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国泰农惠定期开放债券型证券投资基金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2020-07-03</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007105</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国泰丰鑫纯债债券型证券投资基金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2020-07-03</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008017</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国泰惠信三年定期开放债券型证券投资基金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2020-07-03</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008268</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国泰添瑞一年定期开放债券型发起式证券投资基金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2020-07-03</w:t>
            </w:r>
          </w:p>
        </w:tc>
        <w:tc>
          <w:tcPr>
            <w:tcW w:w="0" w:type="auto"/>
            <w:vAlign w:val="center"/>
          </w:tcPr>
          <w:p w:rsidR="002D4E1D" w:rsidRDefault="00E8365A">
            <w:pPr>
              <w:jc w:val="center"/>
            </w:pPr>
            <w:r>
              <w:rPr>
                <w:rFonts w:asciiTheme="minorEastAsia" w:eastAsiaTheme="minorEastAsia" w:hAnsiTheme="minorEastAsia"/>
                <w:color w:val="000000"/>
                <w:sz w:val="24"/>
                <w:szCs w:val="24"/>
              </w:rPr>
              <w:t>2023-05-25</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008217</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国泰聚盈三年定期开放债券型证券投资基金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2020-07-03</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008207</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国泰合融纯债债券型证券投资基金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2020-07-10</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006782</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国泰信利三个月定期开放债券型发起式证券投资基金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2020-07-10</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010836</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国泰瑞泰纯债债券型证券投资基金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2021-08-27</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013773</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国泰睿元一年定期开放债券型发起式证券投资基金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2021-12-16</w:t>
            </w:r>
          </w:p>
        </w:tc>
        <w:tc>
          <w:tcPr>
            <w:tcW w:w="0" w:type="auto"/>
            <w:vAlign w:val="center"/>
          </w:tcPr>
          <w:p w:rsidR="002D4E1D" w:rsidRDefault="00E8365A">
            <w:pPr>
              <w:jc w:val="center"/>
            </w:pPr>
            <w:r>
              <w:rPr>
                <w:rFonts w:asciiTheme="minorEastAsia" w:eastAsiaTheme="minorEastAsia" w:hAnsiTheme="minorEastAsia"/>
                <w:color w:val="000000"/>
                <w:sz w:val="24"/>
                <w:szCs w:val="24"/>
              </w:rPr>
              <w:t>2023-06-02</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014952</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国泰睿鸿一年定期开放债券型发起式证券投资基金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2022-09-27</w:t>
            </w:r>
          </w:p>
        </w:tc>
        <w:tc>
          <w:tcPr>
            <w:tcW w:w="0" w:type="auto"/>
            <w:vAlign w:val="center"/>
          </w:tcPr>
          <w:p w:rsidR="002D4E1D" w:rsidRDefault="00E8365A">
            <w:pPr>
              <w:jc w:val="center"/>
            </w:pPr>
            <w:r>
              <w:rPr>
                <w:rFonts w:asciiTheme="minorEastAsia" w:eastAsiaTheme="minorEastAsia" w:hAnsiTheme="minorEastAsia"/>
                <w:color w:val="000000"/>
                <w:sz w:val="24"/>
                <w:szCs w:val="24"/>
              </w:rPr>
              <w:t>2024-01-16</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016426</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国泰信瑞纯债债券型证券投资基金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2023-05-18</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007278</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国泰兴富三个月定期开放债券型发起式证券投资基金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2023-07-05</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010834</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国泰同益18个月持有期混合型证券投资基金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2023-11-23</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013773</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国泰睿元一年定期开放债券型发起式证券投资基金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2024-05-23</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020002</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国泰金龙债券证券投资基金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2024-08-02</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006725</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国泰丰盈纯债债券型证券投资基金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2025-03-26</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2D4E1D">
        <w:trPr>
          <w:jc w:val="center"/>
        </w:trPr>
        <w:tc>
          <w:tcPr>
            <w:tcW w:w="0" w:type="auto"/>
            <w:vMerge/>
          </w:tcPr>
          <w:p w:rsidR="002D4E1D" w:rsidRDefault="002D4E1D"/>
        </w:tc>
        <w:tc>
          <w:tcPr>
            <w:tcW w:w="0" w:type="auto"/>
            <w:vAlign w:val="center"/>
          </w:tcPr>
          <w:p w:rsidR="002D4E1D" w:rsidRDefault="00E8365A">
            <w:pPr>
              <w:jc w:val="center"/>
            </w:pPr>
            <w:r>
              <w:rPr>
                <w:rFonts w:asciiTheme="minorEastAsia" w:eastAsiaTheme="minorEastAsia" w:hAnsiTheme="minorEastAsia"/>
                <w:color w:val="000000"/>
                <w:sz w:val="24"/>
                <w:szCs w:val="24"/>
              </w:rPr>
              <w:t>023634</w:t>
            </w:r>
          </w:p>
        </w:tc>
        <w:tc>
          <w:tcPr>
            <w:tcW w:w="0" w:type="auto"/>
            <w:vAlign w:val="center"/>
          </w:tcPr>
          <w:p w:rsidR="002D4E1D" w:rsidRDefault="00E8365A">
            <w:pPr>
              <w:jc w:val="center"/>
            </w:pPr>
            <w:r>
              <w:rPr>
                <w:rFonts w:asciiTheme="minorEastAsia" w:eastAsiaTheme="minorEastAsia" w:hAnsiTheme="minorEastAsia"/>
                <w:color w:val="000000"/>
                <w:sz w:val="24"/>
                <w:szCs w:val="24"/>
              </w:rPr>
              <w:t>国泰中债优选投资级信用债指数发起式证券投资基金</w:t>
            </w:r>
          </w:p>
        </w:tc>
        <w:tc>
          <w:tcPr>
            <w:tcW w:w="0" w:type="auto"/>
            <w:vAlign w:val="center"/>
          </w:tcPr>
          <w:p w:rsidR="002D4E1D" w:rsidRDefault="00E8365A">
            <w:pPr>
              <w:jc w:val="center"/>
            </w:pPr>
            <w:r>
              <w:rPr>
                <w:rFonts w:asciiTheme="minorEastAsia" w:eastAsiaTheme="minorEastAsia" w:hAnsiTheme="minorEastAsia"/>
                <w:color w:val="000000"/>
                <w:sz w:val="24"/>
                <w:szCs w:val="24"/>
              </w:rPr>
              <w:t>2025-05-21</w:t>
            </w:r>
          </w:p>
        </w:tc>
        <w:tc>
          <w:tcPr>
            <w:tcW w:w="0" w:type="auto"/>
            <w:vAlign w:val="center"/>
          </w:tcPr>
          <w:p w:rsidR="002D4E1D" w:rsidRDefault="00E8365A">
            <w:pPr>
              <w:jc w:val="center"/>
            </w:pPr>
            <w:r>
              <w:rPr>
                <w:rFonts w:asciiTheme="minorEastAsia" w:eastAsiaTheme="minorEastAsia" w:hAnsiTheme="minorEastAsia"/>
                <w:color w:val="000000"/>
                <w:sz w:val="24"/>
                <w:szCs w:val="24"/>
              </w:rPr>
              <w:t>-</w:t>
            </w:r>
          </w:p>
        </w:tc>
      </w:tr>
      <w:tr w:rsidR="00042A21" w:rsidRPr="0000418A" w:rsidTr="00C41608">
        <w:trPr>
          <w:jc w:val="center"/>
        </w:trPr>
        <w:tc>
          <w:tcPr>
            <w:tcW w:w="2506"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7142"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C41608">
        <w:trPr>
          <w:jc w:val="center"/>
        </w:trPr>
        <w:tc>
          <w:tcPr>
            <w:tcW w:w="2506"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7142"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C41608">
        <w:trPr>
          <w:jc w:val="center"/>
        </w:trPr>
        <w:tc>
          <w:tcPr>
            <w:tcW w:w="2506"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7142"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C41608">
        <w:trPr>
          <w:jc w:val="center"/>
        </w:trPr>
        <w:tc>
          <w:tcPr>
            <w:tcW w:w="2506"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7142"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硕士研究生</w:t>
            </w:r>
          </w:p>
        </w:tc>
      </w:tr>
      <w:tr w:rsidR="00042A21" w:rsidRPr="0000418A" w:rsidTr="00C41608">
        <w:trPr>
          <w:jc w:val="center"/>
        </w:trPr>
        <w:tc>
          <w:tcPr>
            <w:tcW w:w="2506"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7142"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2"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2"/>
    </w:p>
    <w:p w:rsidR="002D4E1D" w:rsidRDefault="00E8365A">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公司已按规定向中国证券投资基金业协会办理相应手续，并将报中国证券监督管理委员会上海监管局备案。</w:t>
      </w:r>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p w:rsidR="00392F5D" w:rsidRDefault="00392F5D" w:rsidP="00392F5D">
      <w:pPr>
        <w:spacing w:line="360" w:lineRule="auto"/>
        <w:ind w:firstLineChars="200" w:firstLine="480"/>
        <w:rPr>
          <w:rFonts w:asciiTheme="minorEastAsia" w:eastAsiaTheme="minorEastAsia" w:hAnsiTheme="minorEastAsia"/>
          <w:sz w:val="24"/>
          <w:szCs w:val="24"/>
        </w:rPr>
      </w:pPr>
      <w:bookmarkStart w:id="3" w:name="_GoBack"/>
      <w:bookmarkEnd w:id="3"/>
    </w:p>
    <w:p w:rsidR="00392F5D" w:rsidRDefault="00392F5D" w:rsidP="00392F5D">
      <w:pPr>
        <w:spacing w:line="360" w:lineRule="auto"/>
        <w:ind w:firstLineChars="200" w:firstLine="480"/>
        <w:rPr>
          <w:rFonts w:asciiTheme="minorEastAsia" w:eastAsiaTheme="minorEastAsia" w:hAnsiTheme="minorEastAsia"/>
          <w:sz w:val="24"/>
          <w:szCs w:val="24"/>
        </w:rPr>
      </w:pPr>
    </w:p>
    <w:p w:rsidR="00392F5D" w:rsidRDefault="00392F5D" w:rsidP="00392F5D">
      <w:pPr>
        <w:widowControl/>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国泰基金管理有限公司</w:t>
      </w:r>
      <w:r>
        <w:rPr>
          <w:rFonts w:asciiTheme="minorEastAsia" w:eastAsiaTheme="minorEastAsia" w:hAnsiTheme="minorEastAsia" w:hint="eastAsia"/>
          <w:sz w:val="24"/>
          <w:szCs w:val="24"/>
        </w:rPr>
        <w:br/>
        <w:t>二〇二六年三月五日</w:t>
      </w:r>
    </w:p>
    <w:sectPr w:rsidR="00392F5D"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65A" w:rsidRDefault="00E8365A" w:rsidP="00070317">
      <w:r>
        <w:separator/>
      </w:r>
    </w:p>
  </w:endnote>
  <w:endnote w:type="continuationSeparator" w:id="0">
    <w:p w:rsidR="00E8365A" w:rsidRDefault="00E8365A"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auto"/>
    <w:pitch w:val="variable"/>
    <w:sig w:usb0="00000000"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65A" w:rsidRDefault="00E8365A" w:rsidP="00070317">
      <w:r>
        <w:separator/>
      </w:r>
    </w:p>
  </w:footnote>
  <w:footnote w:type="continuationSeparator" w:id="0">
    <w:p w:rsidR="00E8365A" w:rsidRDefault="00E8365A"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111BD0"/>
    <w:rsid w:val="00150F19"/>
    <w:rsid w:val="00191AD9"/>
    <w:rsid w:val="001F622D"/>
    <w:rsid w:val="00207AA8"/>
    <w:rsid w:val="002A51E8"/>
    <w:rsid w:val="002D4E1D"/>
    <w:rsid w:val="00306525"/>
    <w:rsid w:val="00392F5D"/>
    <w:rsid w:val="00412A37"/>
    <w:rsid w:val="004966BA"/>
    <w:rsid w:val="004B3F81"/>
    <w:rsid w:val="004D01DF"/>
    <w:rsid w:val="004E674E"/>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70712F"/>
    <w:rsid w:val="007179FB"/>
    <w:rsid w:val="007F6D1D"/>
    <w:rsid w:val="00803A3A"/>
    <w:rsid w:val="00807FC2"/>
    <w:rsid w:val="00872E95"/>
    <w:rsid w:val="0087717F"/>
    <w:rsid w:val="008F0ACC"/>
    <w:rsid w:val="009D65C6"/>
    <w:rsid w:val="009E3ABA"/>
    <w:rsid w:val="00A522D0"/>
    <w:rsid w:val="00A61621"/>
    <w:rsid w:val="00A63D9B"/>
    <w:rsid w:val="00A66507"/>
    <w:rsid w:val="00B03319"/>
    <w:rsid w:val="00B27750"/>
    <w:rsid w:val="00BE716F"/>
    <w:rsid w:val="00BE7AA2"/>
    <w:rsid w:val="00C41608"/>
    <w:rsid w:val="00CB22B9"/>
    <w:rsid w:val="00D047E3"/>
    <w:rsid w:val="00D21C32"/>
    <w:rsid w:val="00D64B1C"/>
    <w:rsid w:val="00DD624E"/>
    <w:rsid w:val="00DE5519"/>
    <w:rsid w:val="00E435FE"/>
    <w:rsid w:val="00E8365A"/>
    <w:rsid w:val="00E857A8"/>
    <w:rsid w:val="00EC7F0B"/>
    <w:rsid w:val="00ED112A"/>
    <w:rsid w:val="00F70EFB"/>
    <w:rsid w:val="00FC35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9649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1568</Characters>
  <Application>Microsoft Office Word</Application>
  <DocSecurity>4</DocSecurity>
  <Lines>13</Lines>
  <Paragraphs>3</Paragraphs>
  <ScaleCrop>false</ScaleCrop>
  <Company>微软中国</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2026-03-04T16:00:00Z</dcterms:created>
  <dcterms:modified xsi:type="dcterms:W3CDTF">2026-03-04T16:00:00Z</dcterms:modified>
</cp:coreProperties>
</file>