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DB" w:rsidRDefault="008F29DB"/>
    <w:p w:rsidR="008F29DB" w:rsidRDefault="00515D98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博时中证红利低波动</w:t>
      </w:r>
      <w:r>
        <w:rPr>
          <w:rFonts w:ascii="宋体" w:eastAsia="宋体" w:hAnsi="宋体" w:hint="eastAsia"/>
          <w:b/>
          <w:sz w:val="30"/>
        </w:rPr>
        <w:t>100</w:t>
      </w:r>
      <w:r>
        <w:rPr>
          <w:rFonts w:ascii="宋体" w:eastAsia="宋体" w:hAnsi="宋体" w:hint="eastAsia"/>
          <w:b/>
          <w:sz w:val="30"/>
        </w:rPr>
        <w:t>交易型开放式指数证券投资基金联接基金暂停大额申购、转换转入、定期定额投资业务的公告</w:t>
      </w:r>
    </w:p>
    <w:p w:rsidR="008F29DB" w:rsidRDefault="00515D98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3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4</w:t>
      </w:r>
      <w:r>
        <w:rPr>
          <w:rFonts w:ascii="宋体" w:eastAsia="宋体" w:hAnsi="宋体"/>
          <w:b/>
          <w:sz w:val="24"/>
        </w:rPr>
        <w:t>日</w:t>
      </w:r>
    </w:p>
    <w:p w:rsidR="008F29DB" w:rsidRDefault="008F29DB">
      <w:pPr>
        <w:jc w:val="center"/>
        <w:rPr>
          <w:rFonts w:ascii="宋体" w:eastAsia="宋体" w:hAnsi="宋体"/>
          <w:b/>
          <w:sz w:val="24"/>
        </w:rPr>
      </w:pPr>
    </w:p>
    <w:p w:rsidR="008F29DB" w:rsidRDefault="00515D98">
      <w:pPr>
        <w:pStyle w:val="3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博时中证红利低波动</w:t>
            </w:r>
            <w:r>
              <w:rPr>
                <w:rFonts w:ascii="宋体" w:eastAsia="宋体" w:hAnsi="宋体"/>
                <w:szCs w:val="21"/>
              </w:rPr>
              <w:t>100</w:t>
            </w:r>
            <w:r>
              <w:rPr>
                <w:rFonts w:ascii="宋体" w:eastAsia="宋体" w:hAnsi="宋体"/>
                <w:szCs w:val="21"/>
              </w:rPr>
              <w:t>交易型开放式指数证券投资基金联接基金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博时中证红利低波动</w:t>
            </w:r>
            <w:r>
              <w:rPr>
                <w:rFonts w:ascii="宋体" w:eastAsia="宋体" w:hAnsi="宋体"/>
                <w:szCs w:val="21"/>
              </w:rPr>
              <w:t>100ETF</w:t>
            </w:r>
            <w:r>
              <w:rPr>
                <w:rFonts w:ascii="宋体" w:eastAsia="宋体" w:hAnsi="宋体"/>
                <w:szCs w:val="21"/>
              </w:rPr>
              <w:t>联接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021550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博时基金管理有限公司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根据有关法律法规及《博时中证红利低波动</w:t>
            </w:r>
            <w:r>
              <w:rPr>
                <w:rFonts w:ascii="宋体" w:eastAsia="宋体" w:hAnsi="宋体"/>
                <w:szCs w:val="21"/>
              </w:rPr>
              <w:t>100</w:t>
            </w:r>
            <w:r>
              <w:rPr>
                <w:rFonts w:ascii="宋体" w:eastAsia="宋体" w:hAnsi="宋体"/>
                <w:szCs w:val="21"/>
              </w:rPr>
              <w:t>交易型开放式指数证券投资基金联接基金基金合同》、《博时中证红利低波动</w:t>
            </w:r>
            <w:r>
              <w:rPr>
                <w:rFonts w:ascii="宋体" w:eastAsia="宋体" w:hAnsi="宋体"/>
                <w:szCs w:val="21"/>
              </w:rPr>
              <w:t>100</w:t>
            </w:r>
            <w:r>
              <w:rPr>
                <w:rFonts w:ascii="宋体" w:eastAsia="宋体" w:hAnsi="宋体"/>
                <w:szCs w:val="21"/>
              </w:rPr>
              <w:t>交易型开放式指数证券投资基金联接基金招募说明书》等的规定</w:t>
            </w:r>
          </w:p>
        </w:tc>
      </w:tr>
      <w:tr w:rsidR="008F29DB">
        <w:tc>
          <w:tcPr>
            <w:tcW w:w="2130" w:type="dxa"/>
            <w:vMerge w:val="restart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2026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日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2026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日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2026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日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5,000,000.00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5,000,000.00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5,000,000.00</w:t>
            </w:r>
          </w:p>
        </w:tc>
      </w:tr>
      <w:tr w:rsidR="008F29DB">
        <w:tc>
          <w:tcPr>
            <w:tcW w:w="2130" w:type="dxa"/>
            <w:vMerge/>
            <w:vAlign w:val="center"/>
          </w:tcPr>
          <w:p w:rsidR="008F29DB" w:rsidRDefault="008F29DB">
            <w:pPr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为保护基金份额持有人利益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博时中证红利低波动</w:t>
            </w:r>
            <w:r>
              <w:rPr>
                <w:rFonts w:ascii="宋体" w:eastAsia="宋体" w:hAnsi="宋体"/>
                <w:szCs w:val="21"/>
              </w:rPr>
              <w:t>100ETF</w:t>
            </w:r>
            <w:r>
              <w:rPr>
                <w:rFonts w:ascii="宋体" w:eastAsia="宋体" w:hAnsi="宋体"/>
                <w:szCs w:val="21"/>
              </w:rPr>
              <w:t>联接</w:t>
            </w:r>
            <w:r>
              <w:rPr>
                <w:rFonts w:ascii="宋体" w:eastAsia="宋体" w:hAnsi="宋体"/>
                <w:szCs w:val="21"/>
              </w:rPr>
              <w:t>A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博时中证红利低波动</w:t>
            </w:r>
            <w:r>
              <w:rPr>
                <w:rFonts w:ascii="宋体" w:eastAsia="宋体" w:hAnsi="宋体"/>
                <w:szCs w:val="21"/>
              </w:rPr>
              <w:t>100ETF</w:t>
            </w:r>
            <w:r>
              <w:rPr>
                <w:rFonts w:ascii="宋体" w:eastAsia="宋体" w:hAnsi="宋体"/>
                <w:szCs w:val="21"/>
              </w:rPr>
              <w:t>联接</w:t>
            </w:r>
            <w:r>
              <w:rPr>
                <w:rFonts w:ascii="宋体" w:eastAsia="宋体" w:hAnsi="宋体"/>
                <w:szCs w:val="21"/>
              </w:rPr>
              <w:t>C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021550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021551</w:t>
            </w:r>
          </w:p>
        </w:tc>
      </w:tr>
      <w:tr w:rsidR="008F29DB">
        <w:tc>
          <w:tcPr>
            <w:tcW w:w="4260" w:type="dxa"/>
            <w:gridSpan w:val="2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</w:t>
            </w:r>
          </w:p>
        </w:tc>
        <w:tc>
          <w:tcPr>
            <w:tcW w:w="2131" w:type="dxa"/>
            <w:vAlign w:val="center"/>
          </w:tcPr>
          <w:p w:rsidR="008F29DB" w:rsidRDefault="00515D9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</w:t>
            </w:r>
          </w:p>
        </w:tc>
      </w:tr>
    </w:tbl>
    <w:p w:rsidR="008F29DB" w:rsidRDefault="008F29DB">
      <w:pPr>
        <w:rPr>
          <w:szCs w:val="21"/>
        </w:rPr>
      </w:pPr>
    </w:p>
    <w:p w:rsidR="008F29DB" w:rsidRDefault="00515D98">
      <w:pPr>
        <w:pStyle w:val="3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2</w:t>
      </w:r>
      <w:r>
        <w:rPr>
          <w:rFonts w:ascii="宋体" w:eastAsia="宋体" w:hAnsi="宋体" w:hint="eastAsia"/>
          <w:sz w:val="21"/>
          <w:szCs w:val="21"/>
        </w:rPr>
        <w:t>、其他需要提示的事项</w:t>
      </w: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日至</w:t>
      </w:r>
      <w:r>
        <w:rPr>
          <w:rFonts w:hint="eastAsia"/>
          <w:sz w:val="21"/>
          <w:szCs w:val="21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日，本基金单日每个基金账户的申购、转换转入、定期定额投资累计金额应不超过</w:t>
      </w:r>
      <w:r>
        <w:rPr>
          <w:rFonts w:hint="eastAsia"/>
          <w:sz w:val="21"/>
          <w:szCs w:val="21"/>
        </w:rPr>
        <w:t>500</w:t>
      </w:r>
      <w:r>
        <w:rPr>
          <w:rFonts w:hint="eastAsia"/>
          <w:sz w:val="21"/>
          <w:szCs w:val="21"/>
        </w:rPr>
        <w:t>万元（本基金</w:t>
      </w:r>
      <w:r>
        <w:rPr>
          <w:rFonts w:hint="eastAsia"/>
          <w:sz w:val="21"/>
          <w:szCs w:val="21"/>
        </w:rPr>
        <w:t>A,C</w:t>
      </w:r>
      <w:r>
        <w:rPr>
          <w:rFonts w:hint="eastAsia"/>
          <w:sz w:val="21"/>
          <w:szCs w:val="21"/>
        </w:rPr>
        <w:t>两类基金份额申请金额予以合计）。如单日每个基金账户的申购、转换转入、定期定额投资累计金额超过</w:t>
      </w:r>
      <w:r>
        <w:rPr>
          <w:rFonts w:hint="eastAsia"/>
          <w:sz w:val="21"/>
          <w:szCs w:val="21"/>
        </w:rPr>
        <w:t>500</w:t>
      </w:r>
      <w:r>
        <w:rPr>
          <w:rFonts w:hint="eastAsia"/>
          <w:sz w:val="21"/>
          <w:szCs w:val="21"/>
        </w:rPr>
        <w:t>万元，本基金管理人有权拒绝。</w:t>
      </w:r>
      <w:r>
        <w:rPr>
          <w:rStyle w:val="a5"/>
          <w:rFonts w:hint="eastAsia"/>
          <w:sz w:val="21"/>
          <w:szCs w:val="21"/>
        </w:rPr>
        <w:t>如投资者于</w:t>
      </w:r>
      <w:r>
        <w:rPr>
          <w:rStyle w:val="a5"/>
          <w:rFonts w:hint="eastAsia"/>
          <w:sz w:val="21"/>
          <w:szCs w:val="21"/>
        </w:rPr>
        <w:t>2026</w:t>
      </w:r>
      <w:r>
        <w:rPr>
          <w:rStyle w:val="a5"/>
          <w:rFonts w:hint="eastAsia"/>
          <w:sz w:val="21"/>
          <w:szCs w:val="21"/>
        </w:rPr>
        <w:t>年</w:t>
      </w:r>
      <w:r>
        <w:rPr>
          <w:rStyle w:val="a5"/>
          <w:rFonts w:hint="eastAsia"/>
          <w:sz w:val="21"/>
          <w:szCs w:val="21"/>
        </w:rPr>
        <w:t>3</w:t>
      </w:r>
      <w:r>
        <w:rPr>
          <w:rStyle w:val="a5"/>
          <w:rFonts w:hint="eastAsia"/>
          <w:sz w:val="21"/>
          <w:szCs w:val="21"/>
        </w:rPr>
        <w:t>月</w:t>
      </w:r>
      <w:r>
        <w:rPr>
          <w:rStyle w:val="a5"/>
          <w:rFonts w:hint="eastAsia"/>
          <w:sz w:val="21"/>
          <w:szCs w:val="21"/>
        </w:rPr>
        <w:t>3</w:t>
      </w:r>
      <w:r>
        <w:rPr>
          <w:rStyle w:val="a5"/>
          <w:rFonts w:hint="eastAsia"/>
          <w:sz w:val="21"/>
          <w:szCs w:val="21"/>
        </w:rPr>
        <w:t>日</w:t>
      </w:r>
      <w:r>
        <w:rPr>
          <w:rStyle w:val="a5"/>
          <w:rFonts w:hint="eastAsia"/>
          <w:sz w:val="21"/>
          <w:szCs w:val="21"/>
        </w:rPr>
        <w:t>15</w:t>
      </w:r>
      <w:r>
        <w:rPr>
          <w:rStyle w:val="a5"/>
          <w:rFonts w:hint="eastAsia"/>
          <w:sz w:val="21"/>
          <w:szCs w:val="21"/>
        </w:rPr>
        <w:t>点之后申购、转换转入或定期定额投资上述基金，将适用上述限制安排，敬请投资者注意。</w:t>
      </w: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）在本基金暂停大额申购、转换转入、定期定额投资业务期间，其它业务正常办理。本基金将于</w:t>
      </w:r>
      <w:r>
        <w:rPr>
          <w:rFonts w:hint="eastAsia"/>
          <w:sz w:val="21"/>
          <w:szCs w:val="21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日恢复办理大额申购、转换转</w:t>
      </w:r>
      <w:r>
        <w:rPr>
          <w:rFonts w:hint="eastAsia"/>
          <w:sz w:val="21"/>
          <w:szCs w:val="21"/>
        </w:rPr>
        <w:t>入、定期定额投资业务。</w:t>
      </w:r>
      <w:r>
        <w:rPr>
          <w:rFonts w:hint="eastAsia"/>
          <w:sz w:val="21"/>
          <w:szCs w:val="21"/>
        </w:rPr>
        <w:t xml:space="preserve"> </w:t>
      </w: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）如有疑问，请拨打博时一线通：</w:t>
      </w:r>
      <w:r>
        <w:rPr>
          <w:rFonts w:hint="eastAsia"/>
          <w:sz w:val="21"/>
          <w:szCs w:val="21"/>
        </w:rPr>
        <w:t>95105568</w:t>
      </w:r>
      <w:r>
        <w:rPr>
          <w:rFonts w:hint="eastAsia"/>
          <w:sz w:val="21"/>
          <w:szCs w:val="21"/>
        </w:rPr>
        <w:t>（免长途话费）或登录本公司网站</w:t>
      </w:r>
      <w:r>
        <w:rPr>
          <w:rFonts w:hint="eastAsia"/>
          <w:sz w:val="21"/>
          <w:szCs w:val="21"/>
        </w:rPr>
        <w:t>https://www.bosera.com</w:t>
      </w:r>
      <w:r>
        <w:rPr>
          <w:rFonts w:hint="eastAsia"/>
          <w:sz w:val="21"/>
          <w:szCs w:val="21"/>
        </w:rPr>
        <w:t>获取相</w:t>
      </w:r>
      <w:bookmarkStart w:id="0" w:name="_GoBack"/>
      <w:bookmarkEnd w:id="0"/>
      <w:r>
        <w:rPr>
          <w:rFonts w:hint="eastAsia"/>
          <w:sz w:val="21"/>
          <w:szCs w:val="21"/>
        </w:rPr>
        <w:t>关信息。</w:t>
      </w:r>
      <w:r>
        <w:rPr>
          <w:rFonts w:hint="eastAsia"/>
          <w:sz w:val="21"/>
          <w:szCs w:val="21"/>
        </w:rPr>
        <w:t xml:space="preserve"> </w:t>
      </w: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特此公告。</w:t>
      </w:r>
      <w:r>
        <w:rPr>
          <w:rFonts w:hint="eastAsia"/>
          <w:sz w:val="21"/>
          <w:szCs w:val="21"/>
        </w:rPr>
        <w:t xml:space="preserve"> </w:t>
      </w:r>
    </w:p>
    <w:p w:rsidR="008F29DB" w:rsidRDefault="008F29DB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8F29DB" w:rsidRDefault="008F29DB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8F29DB" w:rsidRDefault="008F29DB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博时基金管理有限公司</w:t>
      </w:r>
    </w:p>
    <w:p w:rsidR="008F29DB" w:rsidRDefault="00515D98">
      <w:pPr>
        <w:pStyle w:val="a3"/>
        <w:spacing w:before="0" w:beforeAutospacing="0" w:after="0" w:afterAutospacing="0" w:line="360" w:lineRule="auto"/>
        <w:ind w:firstLine="420"/>
        <w:jc w:val="right"/>
        <w:rPr>
          <w:sz w:val="21"/>
          <w:szCs w:val="21"/>
        </w:rPr>
      </w:pPr>
      <w:r>
        <w:rPr>
          <w:sz w:val="21"/>
          <w:szCs w:val="21"/>
        </w:rPr>
        <w:t>2026</w:t>
      </w:r>
      <w:r>
        <w:rPr>
          <w:sz w:val="21"/>
          <w:szCs w:val="21"/>
        </w:rPr>
        <w:t>年</w:t>
      </w:r>
      <w:r>
        <w:rPr>
          <w:sz w:val="21"/>
          <w:szCs w:val="21"/>
        </w:rPr>
        <w:t>3</w:t>
      </w:r>
      <w:r>
        <w:rPr>
          <w:sz w:val="21"/>
          <w:szCs w:val="21"/>
        </w:rPr>
        <w:t>月</w:t>
      </w:r>
      <w:r>
        <w:rPr>
          <w:sz w:val="21"/>
          <w:szCs w:val="21"/>
        </w:rPr>
        <w:t>4</w:t>
      </w:r>
      <w:r>
        <w:rPr>
          <w:sz w:val="21"/>
          <w:szCs w:val="21"/>
        </w:rPr>
        <w:t>日</w:t>
      </w:r>
    </w:p>
    <w:sectPr w:rsidR="008F29DB" w:rsidSect="008F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E30"/>
    <w:rsid w:val="00515D98"/>
    <w:rsid w:val="008F29DB"/>
    <w:rsid w:val="00A42E30"/>
    <w:rsid w:val="00C6189E"/>
    <w:rsid w:val="1B44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D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F29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F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29DB"/>
    <w:rPr>
      <w:b/>
      <w:bCs/>
    </w:rPr>
  </w:style>
  <w:style w:type="character" w:customStyle="1" w:styleId="3Char">
    <w:name w:val="标题 3 Char"/>
    <w:basedOn w:val="a0"/>
    <w:link w:val="3"/>
    <w:uiPriority w:val="9"/>
    <w:rsid w:val="008F29D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4</DocSecurity>
  <Lines>7</Lines>
  <Paragraphs>1</Paragraphs>
  <ScaleCrop>false</ScaleCrop>
  <Company>mycompany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2026-03-03T16:03:00Z</dcterms:created>
  <dcterms:modified xsi:type="dcterms:W3CDTF">2026-03-03T16:03:00Z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A2B8426205814DE7B3F61DDD2B39C75B_12</vt:lpwstr>
  </property>
</Properties>
</file>