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65A" w:rsidRDefault="00B50FE2">
      <w:pPr>
        <w:tabs>
          <w:tab w:val="right" w:leader="dot" w:pos="9080"/>
        </w:tabs>
        <w:jc w:val="center"/>
        <w:rPr>
          <w:rFonts w:ascii="宋体" w:hAnsi="宋体" w:cs="宋体"/>
          <w:b/>
          <w:bCs/>
          <w:sz w:val="28"/>
          <w:szCs w:val="28"/>
        </w:rPr>
      </w:pPr>
      <w:bookmarkStart w:id="0" w:name="_GoBack"/>
      <w:r>
        <w:rPr>
          <w:rFonts w:ascii="宋体" w:hAnsi="宋体" w:cs="宋体" w:hint="eastAsia"/>
          <w:b/>
          <w:bCs/>
          <w:sz w:val="28"/>
          <w:szCs w:val="28"/>
        </w:rPr>
        <w:t>财信均衡致远混合型发起式证券投资基金开放日常申购、赎回、转换和定期定额投资业务的公告</w:t>
      </w:r>
    </w:p>
    <w:bookmarkEnd w:id="0"/>
    <w:p w:rsidR="00EB665A" w:rsidRDefault="00B50FE2">
      <w:pPr>
        <w:jc w:val="center"/>
        <w:rPr>
          <w:rFonts w:ascii="宋体" w:hAnsi="宋体"/>
          <w:sz w:val="24"/>
          <w:szCs w:val="24"/>
        </w:rPr>
      </w:pPr>
      <w:r>
        <w:rPr>
          <w:rFonts w:ascii="宋体" w:hAnsi="宋体" w:cs="宋体" w:hint="eastAsia"/>
          <w:sz w:val="24"/>
          <w:szCs w:val="24"/>
        </w:rPr>
        <w:t>公告送出日期</w:t>
      </w:r>
      <w:r>
        <w:rPr>
          <w:rFonts w:ascii="宋体" w:hAnsi="宋体" w:cs="宋体" w:hint="eastAsia"/>
          <w:sz w:val="24"/>
          <w:szCs w:val="24"/>
        </w:rPr>
        <w:t>:</w:t>
      </w:r>
      <w:r>
        <w:rPr>
          <w:rFonts w:ascii="宋体" w:hAnsi="宋体" w:cs="宋体"/>
          <w:sz w:val="24"/>
        </w:rPr>
        <w:t>2026</w:t>
      </w:r>
      <w:r>
        <w:rPr>
          <w:rFonts w:ascii="宋体" w:hAnsi="宋体" w:cs="宋体"/>
          <w:sz w:val="24"/>
        </w:rPr>
        <w:t>年</w:t>
      </w:r>
      <w:r>
        <w:rPr>
          <w:rFonts w:ascii="宋体" w:hAnsi="宋体" w:cs="宋体"/>
          <w:sz w:val="24"/>
        </w:rPr>
        <w:t>03</w:t>
      </w:r>
      <w:r>
        <w:rPr>
          <w:rFonts w:ascii="宋体" w:hAnsi="宋体" w:cs="宋体"/>
          <w:sz w:val="24"/>
        </w:rPr>
        <w:t>月</w:t>
      </w:r>
      <w:r>
        <w:rPr>
          <w:rFonts w:ascii="宋体" w:hAnsi="宋体" w:cs="宋体"/>
          <w:sz w:val="24"/>
        </w:rPr>
        <w:t>04</w:t>
      </w:r>
      <w:r>
        <w:rPr>
          <w:rFonts w:ascii="宋体" w:hAnsi="宋体" w:cs="宋体"/>
          <w:sz w:val="24"/>
        </w:rPr>
        <w:t>日</w:t>
      </w:r>
    </w:p>
    <w:p w:rsidR="00EB665A" w:rsidRDefault="00EB665A"/>
    <w:p w:rsidR="00EB665A" w:rsidRDefault="00B50FE2">
      <w:pPr>
        <w:pStyle w:val="1"/>
      </w:pPr>
      <w:r>
        <w:rPr>
          <w:rFonts w:ascii="宋体" w:hAnsi="宋体" w:cs="宋体"/>
        </w:rPr>
        <w:t xml:space="preserve">1 </w:t>
      </w:r>
      <w:r>
        <w:rPr>
          <w:rFonts w:ascii="宋体" w:hAnsi="宋体" w:cs="宋体"/>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3157"/>
        <w:gridCol w:w="3272"/>
      </w:tblGrid>
      <w:tr w:rsidR="00EB665A">
        <w:tc>
          <w:tcPr>
            <w:tcW w:w="1538" w:type="pct"/>
          </w:tcPr>
          <w:p w:rsidR="00EB665A" w:rsidRDefault="00B50FE2">
            <w:pPr>
              <w:spacing w:line="240" w:lineRule="auto"/>
              <w:jc w:val="left"/>
            </w:pPr>
            <w:r>
              <w:rPr>
                <w:rFonts w:ascii="宋体" w:hAnsi="宋体" w:cs="宋体"/>
              </w:rPr>
              <w:t>基金名称</w:t>
            </w:r>
          </w:p>
        </w:tc>
        <w:tc>
          <w:tcPr>
            <w:tcW w:w="3462" w:type="pct"/>
            <w:gridSpan w:val="2"/>
          </w:tcPr>
          <w:p w:rsidR="00EB665A" w:rsidRDefault="00B50FE2">
            <w:pPr>
              <w:spacing w:line="240" w:lineRule="auto"/>
              <w:jc w:val="left"/>
            </w:pPr>
            <w:r>
              <w:rPr>
                <w:rFonts w:ascii="宋体" w:hAnsi="宋体" w:cs="宋体"/>
              </w:rPr>
              <w:t>财信均衡致远混合型发起式证券投资基金</w:t>
            </w:r>
          </w:p>
        </w:tc>
      </w:tr>
      <w:tr w:rsidR="00EB665A">
        <w:tc>
          <w:tcPr>
            <w:tcW w:w="0" w:type="dxa"/>
          </w:tcPr>
          <w:p w:rsidR="00EB665A" w:rsidRDefault="00B50FE2">
            <w:pPr>
              <w:spacing w:line="240" w:lineRule="auto"/>
              <w:jc w:val="left"/>
            </w:pPr>
            <w:r>
              <w:rPr>
                <w:rFonts w:ascii="宋体" w:hAnsi="宋体" w:cs="宋体"/>
              </w:rPr>
              <w:t>基金简称</w:t>
            </w:r>
          </w:p>
        </w:tc>
        <w:tc>
          <w:tcPr>
            <w:tcW w:w="0" w:type="dxa"/>
            <w:gridSpan w:val="2"/>
          </w:tcPr>
          <w:p w:rsidR="00EB665A" w:rsidRDefault="00B50FE2">
            <w:pPr>
              <w:spacing w:line="240" w:lineRule="auto"/>
              <w:jc w:val="left"/>
            </w:pPr>
            <w:r>
              <w:rPr>
                <w:rFonts w:ascii="宋体" w:hAnsi="宋体" w:cs="宋体"/>
              </w:rPr>
              <w:t>财信均衡致远混合发起式</w:t>
            </w:r>
          </w:p>
        </w:tc>
      </w:tr>
      <w:tr w:rsidR="00EB665A">
        <w:tc>
          <w:tcPr>
            <w:tcW w:w="0" w:type="dxa"/>
          </w:tcPr>
          <w:p w:rsidR="00EB665A" w:rsidRDefault="00B50FE2">
            <w:pPr>
              <w:spacing w:line="240" w:lineRule="auto"/>
              <w:jc w:val="left"/>
            </w:pPr>
            <w:r>
              <w:rPr>
                <w:rFonts w:ascii="宋体" w:hAnsi="宋体" w:cs="宋体"/>
              </w:rPr>
              <w:t>基金主代码</w:t>
            </w:r>
          </w:p>
        </w:tc>
        <w:tc>
          <w:tcPr>
            <w:tcW w:w="0" w:type="dxa"/>
            <w:gridSpan w:val="2"/>
          </w:tcPr>
          <w:p w:rsidR="00EB665A" w:rsidRDefault="00B50FE2">
            <w:pPr>
              <w:spacing w:line="240" w:lineRule="auto"/>
              <w:jc w:val="left"/>
            </w:pPr>
            <w:r>
              <w:rPr>
                <w:rFonts w:ascii="宋体" w:hAnsi="宋体" w:cs="宋体"/>
              </w:rPr>
              <w:t>026760</w:t>
            </w:r>
          </w:p>
        </w:tc>
      </w:tr>
      <w:tr w:rsidR="00EB665A">
        <w:tc>
          <w:tcPr>
            <w:tcW w:w="0" w:type="dxa"/>
          </w:tcPr>
          <w:p w:rsidR="00EB665A" w:rsidRDefault="00B50FE2">
            <w:pPr>
              <w:spacing w:line="240" w:lineRule="auto"/>
              <w:jc w:val="left"/>
            </w:pPr>
            <w:r>
              <w:rPr>
                <w:rFonts w:ascii="宋体" w:hAnsi="宋体" w:cs="宋体"/>
              </w:rPr>
              <w:t>基金运作方式</w:t>
            </w:r>
          </w:p>
        </w:tc>
        <w:tc>
          <w:tcPr>
            <w:tcW w:w="0" w:type="dxa"/>
            <w:gridSpan w:val="2"/>
          </w:tcPr>
          <w:p w:rsidR="00EB665A" w:rsidRDefault="00B50FE2">
            <w:pPr>
              <w:spacing w:line="240" w:lineRule="auto"/>
              <w:jc w:val="left"/>
            </w:pPr>
            <w:r>
              <w:rPr>
                <w:rFonts w:ascii="宋体" w:hAnsi="宋体" w:cs="宋体"/>
              </w:rPr>
              <w:t>契约型开放式</w:t>
            </w:r>
          </w:p>
        </w:tc>
      </w:tr>
      <w:tr w:rsidR="00EB665A">
        <w:tc>
          <w:tcPr>
            <w:tcW w:w="0" w:type="dxa"/>
          </w:tcPr>
          <w:p w:rsidR="00EB665A" w:rsidRDefault="00B50FE2">
            <w:pPr>
              <w:spacing w:line="240" w:lineRule="auto"/>
              <w:jc w:val="left"/>
            </w:pPr>
            <w:r>
              <w:rPr>
                <w:rFonts w:ascii="宋体" w:hAnsi="宋体" w:cs="宋体"/>
              </w:rPr>
              <w:t>基金合同生效日</w:t>
            </w:r>
          </w:p>
        </w:tc>
        <w:tc>
          <w:tcPr>
            <w:tcW w:w="0" w:type="dxa"/>
            <w:gridSpan w:val="2"/>
          </w:tcPr>
          <w:p w:rsidR="00EB665A" w:rsidRDefault="00B50FE2">
            <w:pPr>
              <w:spacing w:line="240" w:lineRule="auto"/>
              <w:jc w:val="left"/>
            </w:pPr>
            <w:r>
              <w:rPr>
                <w:rFonts w:ascii="宋体" w:hAnsi="宋体" w:cs="宋体"/>
              </w:rPr>
              <w:t>2026</w:t>
            </w:r>
            <w:r>
              <w:rPr>
                <w:rFonts w:ascii="宋体" w:hAnsi="宋体" w:cs="宋体"/>
              </w:rPr>
              <w:t>年</w:t>
            </w:r>
            <w:r>
              <w:rPr>
                <w:rFonts w:ascii="宋体" w:hAnsi="宋体" w:cs="宋体"/>
              </w:rPr>
              <w:t>02</w:t>
            </w:r>
            <w:r>
              <w:rPr>
                <w:rFonts w:ascii="宋体" w:hAnsi="宋体" w:cs="宋体"/>
              </w:rPr>
              <w:t>月</w:t>
            </w:r>
            <w:r>
              <w:rPr>
                <w:rFonts w:ascii="宋体" w:hAnsi="宋体" w:cs="宋体"/>
              </w:rPr>
              <w:t>10</w:t>
            </w:r>
            <w:r>
              <w:rPr>
                <w:rFonts w:ascii="宋体" w:hAnsi="宋体" w:cs="宋体"/>
              </w:rPr>
              <w:t>日</w:t>
            </w:r>
          </w:p>
        </w:tc>
      </w:tr>
      <w:tr w:rsidR="00EB665A">
        <w:tc>
          <w:tcPr>
            <w:tcW w:w="0" w:type="dxa"/>
          </w:tcPr>
          <w:p w:rsidR="00EB665A" w:rsidRDefault="00B50FE2">
            <w:pPr>
              <w:spacing w:line="240" w:lineRule="auto"/>
              <w:jc w:val="left"/>
            </w:pPr>
            <w:r>
              <w:rPr>
                <w:rFonts w:ascii="宋体" w:hAnsi="宋体" w:cs="宋体"/>
              </w:rPr>
              <w:t>基金管理人名称</w:t>
            </w:r>
          </w:p>
        </w:tc>
        <w:tc>
          <w:tcPr>
            <w:tcW w:w="0" w:type="dxa"/>
            <w:gridSpan w:val="2"/>
          </w:tcPr>
          <w:p w:rsidR="00EB665A" w:rsidRDefault="00B50FE2">
            <w:pPr>
              <w:spacing w:line="240" w:lineRule="auto"/>
              <w:jc w:val="left"/>
            </w:pPr>
            <w:r>
              <w:rPr>
                <w:rFonts w:ascii="宋体" w:hAnsi="宋体" w:cs="宋体"/>
              </w:rPr>
              <w:t>财信基金管理有限公司</w:t>
            </w:r>
          </w:p>
        </w:tc>
      </w:tr>
      <w:tr w:rsidR="00EB665A">
        <w:tc>
          <w:tcPr>
            <w:tcW w:w="0" w:type="dxa"/>
          </w:tcPr>
          <w:p w:rsidR="00EB665A" w:rsidRDefault="00B50FE2">
            <w:pPr>
              <w:spacing w:line="240" w:lineRule="auto"/>
              <w:jc w:val="left"/>
            </w:pPr>
            <w:r>
              <w:rPr>
                <w:rFonts w:ascii="宋体" w:hAnsi="宋体" w:cs="宋体"/>
              </w:rPr>
              <w:t>基金托管人名称</w:t>
            </w:r>
          </w:p>
        </w:tc>
        <w:tc>
          <w:tcPr>
            <w:tcW w:w="0" w:type="dxa"/>
            <w:gridSpan w:val="2"/>
          </w:tcPr>
          <w:p w:rsidR="00EB665A" w:rsidRDefault="00B50FE2">
            <w:pPr>
              <w:spacing w:line="240" w:lineRule="auto"/>
              <w:jc w:val="left"/>
            </w:pPr>
            <w:r>
              <w:rPr>
                <w:rFonts w:ascii="宋体" w:hAnsi="宋体" w:cs="宋体"/>
              </w:rPr>
              <w:t>广发证券股份有限公司</w:t>
            </w:r>
          </w:p>
        </w:tc>
      </w:tr>
      <w:tr w:rsidR="00EB665A">
        <w:tc>
          <w:tcPr>
            <w:tcW w:w="0" w:type="dxa"/>
          </w:tcPr>
          <w:p w:rsidR="00EB665A" w:rsidRDefault="00B50FE2">
            <w:pPr>
              <w:spacing w:line="240" w:lineRule="auto"/>
              <w:jc w:val="left"/>
            </w:pPr>
            <w:r>
              <w:rPr>
                <w:rFonts w:ascii="宋体" w:hAnsi="宋体" w:cs="宋体"/>
              </w:rPr>
              <w:t>基金注册登记机构名称</w:t>
            </w:r>
          </w:p>
        </w:tc>
        <w:tc>
          <w:tcPr>
            <w:tcW w:w="0" w:type="dxa"/>
            <w:gridSpan w:val="2"/>
          </w:tcPr>
          <w:p w:rsidR="00EB665A" w:rsidRDefault="00B50FE2">
            <w:pPr>
              <w:spacing w:line="240" w:lineRule="auto"/>
              <w:jc w:val="left"/>
            </w:pPr>
            <w:r>
              <w:rPr>
                <w:rFonts w:ascii="宋体" w:hAnsi="宋体" w:cs="宋体"/>
              </w:rPr>
              <w:t>财信基金管理有限公司</w:t>
            </w:r>
          </w:p>
        </w:tc>
      </w:tr>
      <w:tr w:rsidR="00EB665A">
        <w:tc>
          <w:tcPr>
            <w:tcW w:w="0" w:type="dxa"/>
          </w:tcPr>
          <w:p w:rsidR="00EB665A" w:rsidRDefault="00B50FE2">
            <w:pPr>
              <w:spacing w:line="240" w:lineRule="auto"/>
              <w:jc w:val="left"/>
            </w:pPr>
            <w:r>
              <w:rPr>
                <w:rFonts w:ascii="宋体" w:hAnsi="宋体" w:cs="宋体"/>
              </w:rPr>
              <w:t>公告依据</w:t>
            </w:r>
          </w:p>
        </w:tc>
        <w:tc>
          <w:tcPr>
            <w:tcW w:w="0" w:type="dxa"/>
            <w:gridSpan w:val="2"/>
          </w:tcPr>
          <w:p w:rsidR="00EB665A" w:rsidRDefault="00B50FE2">
            <w:pPr>
              <w:spacing w:line="240" w:lineRule="auto"/>
              <w:jc w:val="left"/>
            </w:pPr>
            <w:r>
              <w:rPr>
                <w:rFonts w:ascii="宋体" w:hAnsi="宋体" w:cs="宋体"/>
              </w:rPr>
              <w:t>《财信均衡致远混合型发起式证券投资基金基金合同》（以下简称</w:t>
            </w:r>
            <w:r>
              <w:rPr>
                <w:rFonts w:ascii="宋体" w:hAnsi="宋体" w:cs="宋体"/>
              </w:rPr>
              <w:t>“</w:t>
            </w:r>
            <w:r>
              <w:rPr>
                <w:rFonts w:ascii="宋体" w:hAnsi="宋体" w:cs="宋体"/>
              </w:rPr>
              <w:t>基金合同</w:t>
            </w:r>
            <w:r>
              <w:rPr>
                <w:rFonts w:ascii="宋体" w:hAnsi="宋体" w:cs="宋体"/>
              </w:rPr>
              <w:t>”</w:t>
            </w:r>
            <w:r>
              <w:rPr>
                <w:rFonts w:ascii="宋体" w:hAnsi="宋体" w:cs="宋体"/>
              </w:rPr>
              <w:t>）、《财信均衡致远混合型发起式证券投资基金招募说明书》（以下简称</w:t>
            </w:r>
            <w:r>
              <w:rPr>
                <w:rFonts w:ascii="宋体" w:hAnsi="宋体" w:cs="宋体"/>
              </w:rPr>
              <w:t>“</w:t>
            </w:r>
            <w:r>
              <w:rPr>
                <w:rFonts w:ascii="宋体" w:hAnsi="宋体" w:cs="宋体"/>
              </w:rPr>
              <w:t>招募说明书</w:t>
            </w:r>
            <w:r>
              <w:rPr>
                <w:rFonts w:ascii="宋体" w:hAnsi="宋体" w:cs="宋体"/>
              </w:rPr>
              <w:t>”</w:t>
            </w:r>
            <w:r>
              <w:rPr>
                <w:rFonts w:ascii="宋体" w:hAnsi="宋体" w:cs="宋体"/>
              </w:rPr>
              <w:t>）</w:t>
            </w:r>
          </w:p>
        </w:tc>
      </w:tr>
      <w:tr w:rsidR="00EB665A">
        <w:tc>
          <w:tcPr>
            <w:tcW w:w="0" w:type="dxa"/>
          </w:tcPr>
          <w:p w:rsidR="00EB665A" w:rsidRDefault="00B50FE2">
            <w:pPr>
              <w:spacing w:line="240" w:lineRule="auto"/>
              <w:jc w:val="left"/>
            </w:pPr>
            <w:r>
              <w:rPr>
                <w:rFonts w:ascii="宋体" w:hAnsi="宋体" w:cs="宋体"/>
              </w:rPr>
              <w:t>申购起始日</w:t>
            </w:r>
          </w:p>
        </w:tc>
        <w:tc>
          <w:tcPr>
            <w:tcW w:w="0" w:type="dxa"/>
            <w:gridSpan w:val="2"/>
          </w:tcPr>
          <w:p w:rsidR="00EB665A" w:rsidRDefault="00B50FE2">
            <w:pPr>
              <w:spacing w:line="240" w:lineRule="auto"/>
              <w:jc w:val="left"/>
            </w:pPr>
            <w:r>
              <w:rPr>
                <w:rFonts w:ascii="宋体" w:hAnsi="宋体" w:cs="宋体"/>
              </w:rPr>
              <w:t>2026</w:t>
            </w:r>
            <w:r>
              <w:rPr>
                <w:rFonts w:ascii="宋体" w:hAnsi="宋体" w:cs="宋体"/>
              </w:rPr>
              <w:t>年</w:t>
            </w:r>
            <w:r>
              <w:rPr>
                <w:rFonts w:ascii="宋体" w:hAnsi="宋体" w:cs="宋体"/>
              </w:rPr>
              <w:t>03</w:t>
            </w:r>
            <w:r>
              <w:rPr>
                <w:rFonts w:ascii="宋体" w:hAnsi="宋体" w:cs="宋体"/>
              </w:rPr>
              <w:t>月</w:t>
            </w:r>
            <w:r>
              <w:rPr>
                <w:rFonts w:ascii="宋体" w:hAnsi="宋体" w:cs="宋体"/>
              </w:rPr>
              <w:t>05</w:t>
            </w:r>
            <w:r>
              <w:rPr>
                <w:rFonts w:ascii="宋体" w:hAnsi="宋体" w:cs="宋体"/>
              </w:rPr>
              <w:t>日</w:t>
            </w:r>
          </w:p>
        </w:tc>
      </w:tr>
      <w:tr w:rsidR="00EB665A">
        <w:tc>
          <w:tcPr>
            <w:tcW w:w="0" w:type="dxa"/>
          </w:tcPr>
          <w:p w:rsidR="00EB665A" w:rsidRDefault="00B50FE2">
            <w:pPr>
              <w:spacing w:line="240" w:lineRule="auto"/>
              <w:jc w:val="left"/>
            </w:pPr>
            <w:r>
              <w:rPr>
                <w:rFonts w:ascii="宋体" w:hAnsi="宋体" w:cs="宋体"/>
              </w:rPr>
              <w:t>赎回起始日</w:t>
            </w:r>
          </w:p>
        </w:tc>
        <w:tc>
          <w:tcPr>
            <w:tcW w:w="0" w:type="dxa"/>
            <w:gridSpan w:val="2"/>
          </w:tcPr>
          <w:p w:rsidR="00EB665A" w:rsidRDefault="00B50FE2">
            <w:pPr>
              <w:spacing w:line="240" w:lineRule="auto"/>
              <w:jc w:val="left"/>
            </w:pPr>
            <w:r>
              <w:rPr>
                <w:rFonts w:ascii="宋体" w:hAnsi="宋体" w:cs="宋体"/>
              </w:rPr>
              <w:t>2026</w:t>
            </w:r>
            <w:r>
              <w:rPr>
                <w:rFonts w:ascii="宋体" w:hAnsi="宋体" w:cs="宋体"/>
              </w:rPr>
              <w:t>年</w:t>
            </w:r>
            <w:r>
              <w:rPr>
                <w:rFonts w:ascii="宋体" w:hAnsi="宋体" w:cs="宋体"/>
              </w:rPr>
              <w:t>03</w:t>
            </w:r>
            <w:r>
              <w:rPr>
                <w:rFonts w:ascii="宋体" w:hAnsi="宋体" w:cs="宋体"/>
              </w:rPr>
              <w:t>月</w:t>
            </w:r>
            <w:r>
              <w:rPr>
                <w:rFonts w:ascii="宋体" w:hAnsi="宋体" w:cs="宋体"/>
              </w:rPr>
              <w:t>05</w:t>
            </w:r>
            <w:r>
              <w:rPr>
                <w:rFonts w:ascii="宋体" w:hAnsi="宋体" w:cs="宋体"/>
              </w:rPr>
              <w:t>日</w:t>
            </w:r>
          </w:p>
        </w:tc>
      </w:tr>
      <w:tr w:rsidR="00EB665A">
        <w:tc>
          <w:tcPr>
            <w:tcW w:w="0" w:type="dxa"/>
          </w:tcPr>
          <w:p w:rsidR="00EB665A" w:rsidRDefault="00B50FE2">
            <w:pPr>
              <w:spacing w:line="240" w:lineRule="auto"/>
              <w:jc w:val="left"/>
            </w:pPr>
            <w:r>
              <w:rPr>
                <w:rFonts w:ascii="宋体" w:hAnsi="宋体" w:cs="宋体"/>
              </w:rPr>
              <w:t>转换转入起始日</w:t>
            </w:r>
          </w:p>
        </w:tc>
        <w:tc>
          <w:tcPr>
            <w:tcW w:w="0" w:type="dxa"/>
            <w:gridSpan w:val="2"/>
          </w:tcPr>
          <w:p w:rsidR="00EB665A" w:rsidRDefault="00B50FE2">
            <w:pPr>
              <w:spacing w:line="240" w:lineRule="auto"/>
              <w:jc w:val="left"/>
            </w:pPr>
            <w:r>
              <w:rPr>
                <w:rFonts w:ascii="宋体" w:hAnsi="宋体" w:cs="宋体"/>
              </w:rPr>
              <w:t>2026</w:t>
            </w:r>
            <w:r>
              <w:rPr>
                <w:rFonts w:ascii="宋体" w:hAnsi="宋体" w:cs="宋体"/>
              </w:rPr>
              <w:t>年</w:t>
            </w:r>
            <w:r>
              <w:rPr>
                <w:rFonts w:ascii="宋体" w:hAnsi="宋体" w:cs="宋体"/>
              </w:rPr>
              <w:t>03</w:t>
            </w:r>
            <w:r>
              <w:rPr>
                <w:rFonts w:ascii="宋体" w:hAnsi="宋体" w:cs="宋体"/>
              </w:rPr>
              <w:t>月</w:t>
            </w:r>
            <w:r>
              <w:rPr>
                <w:rFonts w:ascii="宋体" w:hAnsi="宋体" w:cs="宋体"/>
              </w:rPr>
              <w:t>05</w:t>
            </w:r>
            <w:r>
              <w:rPr>
                <w:rFonts w:ascii="宋体" w:hAnsi="宋体" w:cs="宋体"/>
              </w:rPr>
              <w:t>日</w:t>
            </w:r>
          </w:p>
        </w:tc>
      </w:tr>
      <w:tr w:rsidR="00EB665A">
        <w:tc>
          <w:tcPr>
            <w:tcW w:w="0" w:type="dxa"/>
          </w:tcPr>
          <w:p w:rsidR="00EB665A" w:rsidRDefault="00B50FE2">
            <w:pPr>
              <w:spacing w:line="240" w:lineRule="auto"/>
              <w:jc w:val="left"/>
            </w:pPr>
            <w:r>
              <w:rPr>
                <w:rFonts w:ascii="宋体" w:hAnsi="宋体" w:cs="宋体"/>
              </w:rPr>
              <w:t>转换转出起始日</w:t>
            </w:r>
          </w:p>
        </w:tc>
        <w:tc>
          <w:tcPr>
            <w:tcW w:w="0" w:type="dxa"/>
            <w:gridSpan w:val="2"/>
          </w:tcPr>
          <w:p w:rsidR="00EB665A" w:rsidRDefault="00B50FE2">
            <w:pPr>
              <w:spacing w:line="240" w:lineRule="auto"/>
              <w:jc w:val="left"/>
            </w:pPr>
            <w:r>
              <w:rPr>
                <w:rFonts w:ascii="宋体" w:hAnsi="宋体" w:cs="宋体"/>
              </w:rPr>
              <w:t>2026</w:t>
            </w:r>
            <w:r>
              <w:rPr>
                <w:rFonts w:ascii="宋体" w:hAnsi="宋体" w:cs="宋体"/>
              </w:rPr>
              <w:t>年</w:t>
            </w:r>
            <w:r>
              <w:rPr>
                <w:rFonts w:ascii="宋体" w:hAnsi="宋体" w:cs="宋体"/>
              </w:rPr>
              <w:t>03</w:t>
            </w:r>
            <w:r>
              <w:rPr>
                <w:rFonts w:ascii="宋体" w:hAnsi="宋体" w:cs="宋体"/>
              </w:rPr>
              <w:t>月</w:t>
            </w:r>
            <w:r>
              <w:rPr>
                <w:rFonts w:ascii="宋体" w:hAnsi="宋体" w:cs="宋体"/>
              </w:rPr>
              <w:t>05</w:t>
            </w:r>
            <w:r>
              <w:rPr>
                <w:rFonts w:ascii="宋体" w:hAnsi="宋体" w:cs="宋体"/>
              </w:rPr>
              <w:t>日</w:t>
            </w:r>
          </w:p>
        </w:tc>
      </w:tr>
      <w:tr w:rsidR="00EB665A">
        <w:tc>
          <w:tcPr>
            <w:tcW w:w="0" w:type="dxa"/>
          </w:tcPr>
          <w:p w:rsidR="00EB665A" w:rsidRDefault="00B50FE2">
            <w:pPr>
              <w:spacing w:line="240" w:lineRule="auto"/>
              <w:jc w:val="left"/>
            </w:pPr>
            <w:r>
              <w:rPr>
                <w:rFonts w:ascii="宋体" w:hAnsi="宋体" w:cs="宋体"/>
              </w:rPr>
              <w:t>定期定额投资起始日</w:t>
            </w:r>
          </w:p>
        </w:tc>
        <w:tc>
          <w:tcPr>
            <w:tcW w:w="0" w:type="dxa"/>
            <w:gridSpan w:val="2"/>
          </w:tcPr>
          <w:p w:rsidR="00EB665A" w:rsidRDefault="00B50FE2">
            <w:pPr>
              <w:spacing w:line="240" w:lineRule="auto"/>
              <w:jc w:val="left"/>
            </w:pPr>
            <w:r>
              <w:rPr>
                <w:rFonts w:ascii="宋体" w:hAnsi="宋体" w:cs="宋体"/>
              </w:rPr>
              <w:t>2026</w:t>
            </w:r>
            <w:r>
              <w:rPr>
                <w:rFonts w:ascii="宋体" w:hAnsi="宋体" w:cs="宋体"/>
              </w:rPr>
              <w:t>年</w:t>
            </w:r>
            <w:r>
              <w:rPr>
                <w:rFonts w:ascii="宋体" w:hAnsi="宋体" w:cs="宋体"/>
              </w:rPr>
              <w:t>03</w:t>
            </w:r>
            <w:r>
              <w:rPr>
                <w:rFonts w:ascii="宋体" w:hAnsi="宋体" w:cs="宋体"/>
              </w:rPr>
              <w:t>月</w:t>
            </w:r>
            <w:r>
              <w:rPr>
                <w:rFonts w:ascii="宋体" w:hAnsi="宋体" w:cs="宋体"/>
              </w:rPr>
              <w:t>05</w:t>
            </w:r>
            <w:r>
              <w:rPr>
                <w:rFonts w:ascii="宋体" w:hAnsi="宋体" w:cs="宋体"/>
              </w:rPr>
              <w:t>日</w:t>
            </w:r>
          </w:p>
        </w:tc>
      </w:tr>
      <w:tr w:rsidR="00EB665A">
        <w:tc>
          <w:tcPr>
            <w:tcW w:w="1538" w:type="pct"/>
          </w:tcPr>
          <w:p w:rsidR="00EB665A" w:rsidRDefault="00B50FE2">
            <w:pPr>
              <w:spacing w:line="240" w:lineRule="auto"/>
              <w:jc w:val="left"/>
            </w:pPr>
            <w:r>
              <w:rPr>
                <w:rFonts w:ascii="宋体" w:hAnsi="宋体" w:cs="宋体"/>
              </w:rPr>
              <w:t>下属分级基金的基金简称</w:t>
            </w:r>
          </w:p>
        </w:tc>
        <w:tc>
          <w:tcPr>
            <w:tcW w:w="1700" w:type="pct"/>
          </w:tcPr>
          <w:p w:rsidR="00EB665A" w:rsidRDefault="00B50FE2">
            <w:pPr>
              <w:spacing w:line="240" w:lineRule="auto"/>
              <w:jc w:val="left"/>
            </w:pPr>
            <w:r>
              <w:rPr>
                <w:rFonts w:ascii="宋体" w:hAnsi="宋体" w:cs="宋体"/>
              </w:rPr>
              <w:t>财信均衡致远混合发起式</w:t>
            </w:r>
            <w:r>
              <w:rPr>
                <w:rFonts w:ascii="宋体" w:hAnsi="宋体" w:cs="宋体"/>
              </w:rPr>
              <w:t>A</w:t>
            </w:r>
          </w:p>
        </w:tc>
        <w:tc>
          <w:tcPr>
            <w:tcW w:w="1700" w:type="pct"/>
          </w:tcPr>
          <w:p w:rsidR="00EB665A" w:rsidRDefault="00B50FE2">
            <w:pPr>
              <w:spacing w:line="240" w:lineRule="auto"/>
              <w:jc w:val="left"/>
            </w:pPr>
            <w:r>
              <w:rPr>
                <w:rFonts w:ascii="宋体" w:hAnsi="宋体" w:cs="宋体"/>
              </w:rPr>
              <w:t>财信均衡致远混合发起式</w:t>
            </w:r>
            <w:r>
              <w:rPr>
                <w:rFonts w:ascii="宋体" w:hAnsi="宋体" w:cs="宋体"/>
              </w:rPr>
              <w:t>C</w:t>
            </w:r>
          </w:p>
        </w:tc>
      </w:tr>
      <w:tr w:rsidR="00EB665A">
        <w:tc>
          <w:tcPr>
            <w:tcW w:w="0" w:type="dxa"/>
          </w:tcPr>
          <w:p w:rsidR="00EB665A" w:rsidRDefault="00B50FE2">
            <w:pPr>
              <w:spacing w:line="240" w:lineRule="auto"/>
              <w:jc w:val="left"/>
            </w:pPr>
            <w:r>
              <w:rPr>
                <w:rFonts w:ascii="宋体" w:hAnsi="宋体" w:cs="宋体"/>
              </w:rPr>
              <w:t>下属分级基金的交易代码</w:t>
            </w:r>
          </w:p>
        </w:tc>
        <w:tc>
          <w:tcPr>
            <w:tcW w:w="1700" w:type="pct"/>
          </w:tcPr>
          <w:p w:rsidR="00EB665A" w:rsidRDefault="00B50FE2">
            <w:pPr>
              <w:spacing w:line="240" w:lineRule="auto"/>
              <w:jc w:val="left"/>
            </w:pPr>
            <w:r>
              <w:rPr>
                <w:rFonts w:ascii="宋体" w:hAnsi="宋体" w:cs="宋体"/>
              </w:rPr>
              <w:t>026760</w:t>
            </w:r>
          </w:p>
        </w:tc>
        <w:tc>
          <w:tcPr>
            <w:tcW w:w="1700" w:type="pct"/>
          </w:tcPr>
          <w:p w:rsidR="00EB665A" w:rsidRDefault="00B50FE2">
            <w:pPr>
              <w:spacing w:line="240" w:lineRule="auto"/>
              <w:jc w:val="left"/>
            </w:pPr>
            <w:r>
              <w:rPr>
                <w:rFonts w:ascii="宋体" w:hAnsi="宋体" w:cs="宋体"/>
              </w:rPr>
              <w:t>026761</w:t>
            </w:r>
          </w:p>
        </w:tc>
      </w:tr>
      <w:tr w:rsidR="00EB665A">
        <w:tc>
          <w:tcPr>
            <w:tcW w:w="0" w:type="dxa"/>
          </w:tcPr>
          <w:p w:rsidR="00EB665A" w:rsidRDefault="00B50FE2">
            <w:pPr>
              <w:spacing w:line="240" w:lineRule="auto"/>
              <w:jc w:val="left"/>
            </w:pPr>
            <w:r>
              <w:rPr>
                <w:rFonts w:ascii="宋体" w:hAnsi="宋体" w:cs="宋体"/>
              </w:rPr>
              <w:t>该分级基金是否开放申购、赎回（转换、定期定额投资）</w:t>
            </w:r>
          </w:p>
        </w:tc>
        <w:tc>
          <w:tcPr>
            <w:tcW w:w="1700" w:type="pct"/>
          </w:tcPr>
          <w:p w:rsidR="00EB665A" w:rsidRDefault="00B50FE2">
            <w:pPr>
              <w:spacing w:line="240" w:lineRule="auto"/>
              <w:jc w:val="left"/>
            </w:pPr>
            <w:r>
              <w:rPr>
                <w:rFonts w:ascii="宋体" w:hAnsi="宋体" w:cs="宋体"/>
              </w:rPr>
              <w:t>是</w:t>
            </w:r>
          </w:p>
        </w:tc>
        <w:tc>
          <w:tcPr>
            <w:tcW w:w="1700" w:type="pct"/>
          </w:tcPr>
          <w:p w:rsidR="00EB665A" w:rsidRDefault="00B50FE2">
            <w:pPr>
              <w:spacing w:line="240" w:lineRule="auto"/>
              <w:jc w:val="left"/>
            </w:pPr>
            <w:r>
              <w:rPr>
                <w:rFonts w:ascii="宋体" w:hAnsi="宋体" w:cs="宋体"/>
              </w:rPr>
              <w:t>是</w:t>
            </w:r>
          </w:p>
        </w:tc>
      </w:tr>
    </w:tbl>
    <w:p w:rsidR="00EB665A" w:rsidRDefault="00B50FE2">
      <w:pPr>
        <w:pStyle w:val="1"/>
      </w:pPr>
      <w:r>
        <w:rPr>
          <w:rFonts w:ascii="宋体" w:hAnsi="宋体" w:cs="宋体"/>
        </w:rPr>
        <w:t xml:space="preserve">2 </w:t>
      </w:r>
      <w:r>
        <w:rPr>
          <w:rFonts w:ascii="宋体" w:hAnsi="宋体" w:cs="宋体"/>
        </w:rPr>
        <w:t>日常申购、赎回（转换、定期定额投资）业务的办理时间</w:t>
      </w:r>
    </w:p>
    <w:p w:rsidR="00EB665A" w:rsidRDefault="00B50FE2">
      <w:pPr>
        <w:jc w:val="left"/>
      </w:pPr>
      <w:r>
        <w:rPr>
          <w:rFonts w:ascii="宋体" w:hAnsi="宋体" w:cs="宋体"/>
        </w:rPr>
        <w:t xml:space="preserve">    </w:t>
      </w:r>
      <w:r>
        <w:rPr>
          <w:rFonts w:ascii="宋体" w:hAnsi="宋体" w:cs="宋体"/>
        </w:rPr>
        <w:t>基金管理人在开放日办理财信均衡致远混合型发起式证券投资基金（以下简称</w:t>
      </w:r>
      <w:r>
        <w:rPr>
          <w:rFonts w:ascii="宋体" w:hAnsi="宋体" w:cs="宋体"/>
        </w:rPr>
        <w:t>“</w:t>
      </w:r>
      <w:r>
        <w:rPr>
          <w:rFonts w:ascii="宋体" w:hAnsi="宋体" w:cs="宋体"/>
        </w:rPr>
        <w:t>本基金</w:t>
      </w:r>
      <w:r>
        <w:rPr>
          <w:rFonts w:ascii="宋体" w:hAnsi="宋体" w:cs="宋体"/>
        </w:rPr>
        <w:t>”</w:t>
      </w:r>
      <w:r>
        <w:rPr>
          <w:rFonts w:ascii="宋体" w:hAnsi="宋体" w:cs="宋体"/>
        </w:rPr>
        <w:t>）基金份额的申购和赎回（含定期定额投资、转换），具体办理时间为上海证券交易所、深圳证券交易所的正常交易日的交易时间，若本基金参与港股通交易且该工作日为非港股通交易日时，则基金管理人可根据实际情况决定本基金是否暂停申购、赎回及转换业务，具体以届时提前发布的公告为准。但基金管理人根据法律法规、中国证监会的要求或基金合同的规定公告暂停申购、赎回时除外。</w:t>
      </w:r>
      <w:r>
        <w:rPr>
          <w:rFonts w:ascii="宋体" w:hAnsi="宋体" w:cs="宋体"/>
        </w:rPr>
        <w:cr/>
        <w:t xml:space="preserve">    </w:t>
      </w:r>
      <w:r>
        <w:rPr>
          <w:rFonts w:ascii="宋体" w:hAnsi="宋体" w:cs="宋体"/>
        </w:rPr>
        <w:t>若出现新的证券</w:t>
      </w:r>
      <w:r>
        <w:rPr>
          <w:rFonts w:ascii="宋体" w:hAnsi="宋体" w:cs="宋体"/>
        </w:rPr>
        <w:t>/</w:t>
      </w:r>
      <w:r>
        <w:rPr>
          <w:rFonts w:ascii="宋体" w:hAnsi="宋体" w:cs="宋体"/>
        </w:rPr>
        <w:t>期货交易市场、证券</w:t>
      </w:r>
      <w:r>
        <w:rPr>
          <w:rFonts w:ascii="宋体" w:hAnsi="宋体" w:cs="宋体"/>
        </w:rPr>
        <w:t>/</w:t>
      </w:r>
      <w:r>
        <w:rPr>
          <w:rFonts w:ascii="宋体" w:hAnsi="宋体" w:cs="宋体"/>
        </w:rPr>
        <w:t>期货交易所交易时间变更、港股通交</w:t>
      </w:r>
      <w:r>
        <w:rPr>
          <w:rFonts w:ascii="宋体" w:hAnsi="宋体" w:cs="宋体"/>
        </w:rPr>
        <w:t>易规则变更、新的业务发展或其他特殊情况，基金管理人将视情况对前述开放日及开放时间进行相应的调整，但应在实施日前依照《公开募集证券投资基金信息披露管理办法》（以下简称</w:t>
      </w:r>
      <w:r>
        <w:rPr>
          <w:rFonts w:ascii="宋体" w:hAnsi="宋体" w:cs="宋体"/>
        </w:rPr>
        <w:t>“</w:t>
      </w:r>
      <w:r>
        <w:rPr>
          <w:rFonts w:ascii="宋体" w:hAnsi="宋体" w:cs="宋体"/>
        </w:rPr>
        <w:t>《信息披露办法》</w:t>
      </w:r>
      <w:r>
        <w:rPr>
          <w:rFonts w:ascii="宋体" w:hAnsi="宋体" w:cs="宋体"/>
        </w:rPr>
        <w:t>”</w:t>
      </w:r>
      <w:r>
        <w:rPr>
          <w:rFonts w:ascii="宋体" w:hAnsi="宋体" w:cs="宋体"/>
        </w:rPr>
        <w:t>）的有关规定在规定媒介上公告。</w:t>
      </w:r>
    </w:p>
    <w:p w:rsidR="00EB665A" w:rsidRDefault="00B50FE2">
      <w:pPr>
        <w:pStyle w:val="1"/>
      </w:pPr>
      <w:r>
        <w:rPr>
          <w:rFonts w:ascii="宋体" w:hAnsi="宋体" w:cs="宋体"/>
        </w:rPr>
        <w:t xml:space="preserve">3 </w:t>
      </w:r>
      <w:r>
        <w:rPr>
          <w:rFonts w:ascii="宋体" w:hAnsi="宋体" w:cs="宋体"/>
        </w:rPr>
        <w:t>日常申购业务</w:t>
      </w:r>
    </w:p>
    <w:p w:rsidR="00EB665A" w:rsidRDefault="00EB665A"/>
    <w:p w:rsidR="00EB665A" w:rsidRDefault="00B50FE2">
      <w:pPr>
        <w:pStyle w:val="2"/>
      </w:pPr>
      <w:r>
        <w:rPr>
          <w:rFonts w:ascii="宋体" w:hAnsi="宋体" w:cs="宋体"/>
        </w:rPr>
        <w:lastRenderedPageBreak/>
        <w:t xml:space="preserve">3.1 </w:t>
      </w:r>
      <w:r>
        <w:rPr>
          <w:rFonts w:ascii="宋体" w:hAnsi="宋体" w:cs="宋体"/>
        </w:rPr>
        <w:t>申购金额限制</w:t>
      </w:r>
    </w:p>
    <w:p w:rsidR="00EB665A" w:rsidRDefault="00B50FE2">
      <w:pPr>
        <w:jc w:val="left"/>
      </w:pPr>
      <w:r>
        <w:rPr>
          <w:rFonts w:ascii="宋体" w:hAnsi="宋体" w:cs="宋体"/>
        </w:rPr>
        <w:t xml:space="preserve">    </w:t>
      </w:r>
      <w:r>
        <w:rPr>
          <w:rFonts w:ascii="宋体" w:hAnsi="宋体" w:cs="宋体"/>
        </w:rPr>
        <w:t>原则上，投资者通过各销售机构网点首次申购和追加申购的单笔最低金额均为</w:t>
      </w:r>
      <w:r>
        <w:rPr>
          <w:rFonts w:ascii="宋体" w:hAnsi="宋体" w:cs="宋体"/>
        </w:rPr>
        <w:t>1</w:t>
      </w:r>
      <w:r>
        <w:rPr>
          <w:rFonts w:ascii="宋体" w:hAnsi="宋体" w:cs="宋体"/>
        </w:rPr>
        <w:t>元（含申购费）；通过本基金管理人直销柜台申购，首次申购的单笔最低金额为</w:t>
      </w:r>
      <w:r>
        <w:rPr>
          <w:rFonts w:ascii="宋体" w:hAnsi="宋体" w:cs="宋体"/>
        </w:rPr>
        <w:t>10</w:t>
      </w:r>
      <w:r>
        <w:rPr>
          <w:rFonts w:ascii="宋体" w:hAnsi="宋体" w:cs="宋体"/>
        </w:rPr>
        <w:t>万元，追加申购的单笔最低金额为</w:t>
      </w:r>
      <w:r>
        <w:rPr>
          <w:rFonts w:ascii="宋体" w:hAnsi="宋体" w:cs="宋体"/>
        </w:rPr>
        <w:t>1</w:t>
      </w:r>
      <w:r>
        <w:rPr>
          <w:rFonts w:ascii="宋体" w:hAnsi="宋体" w:cs="宋体"/>
        </w:rPr>
        <w:t>元。实际操作中，各销售机构在符合上述规定的前提下，可根据情况调高首次申</w:t>
      </w:r>
      <w:r>
        <w:rPr>
          <w:rFonts w:ascii="宋体" w:hAnsi="宋体" w:cs="宋体"/>
        </w:rPr>
        <w:t>购和追加申购的最低金额，具体以销售机构公布的为准，投资者需遵循销售机构的相关规定。</w:t>
      </w:r>
      <w:r>
        <w:rPr>
          <w:rFonts w:ascii="宋体" w:hAnsi="宋体" w:cs="宋体"/>
        </w:rPr>
        <w:cr/>
        <w:t xml:space="preserve">    </w:t>
      </w:r>
      <w:r>
        <w:rPr>
          <w:rFonts w:ascii="宋体" w:hAnsi="宋体" w:cs="宋体"/>
        </w:rPr>
        <w:t>投资者将当期分配的基金收益再投资时，不受最低申购金额的限制。</w:t>
      </w:r>
    </w:p>
    <w:p w:rsidR="00EB665A" w:rsidRDefault="00EB665A"/>
    <w:p w:rsidR="00EB665A" w:rsidRDefault="00B50FE2">
      <w:pPr>
        <w:pStyle w:val="2"/>
      </w:pPr>
      <w:r>
        <w:rPr>
          <w:rFonts w:ascii="宋体" w:hAnsi="宋体" w:cs="宋体"/>
        </w:rPr>
        <w:t xml:space="preserve">3.2 </w:t>
      </w:r>
      <w:r>
        <w:rPr>
          <w:rFonts w:ascii="宋体" w:hAnsi="宋体" w:cs="宋体"/>
        </w:rPr>
        <w:t>申购费率</w:t>
      </w:r>
    </w:p>
    <w:p w:rsidR="00EB665A" w:rsidRDefault="00B50FE2">
      <w:r>
        <w:rPr>
          <w:rFonts w:ascii="宋体" w:hAnsi="宋体" w:cs="宋体"/>
        </w:rPr>
        <w:t xml:space="preserve">    </w:t>
      </w:r>
      <w:r>
        <w:rPr>
          <w:rFonts w:ascii="宋体" w:hAnsi="宋体" w:cs="宋体"/>
        </w:rPr>
        <w:t>通过直销机构申购本基金</w:t>
      </w:r>
      <w:r>
        <w:rPr>
          <w:rFonts w:ascii="宋体" w:hAnsi="宋体" w:cs="宋体"/>
        </w:rPr>
        <w:t>A</w:t>
      </w:r>
      <w:r>
        <w:rPr>
          <w:rFonts w:ascii="宋体" w:hAnsi="宋体" w:cs="宋体"/>
        </w:rPr>
        <w:t>类基金份额不收取申购费，通过其他销售机构申购本基金</w:t>
      </w:r>
      <w:r>
        <w:rPr>
          <w:rFonts w:ascii="宋体" w:hAnsi="宋体" w:cs="宋体"/>
        </w:rPr>
        <w:t>A</w:t>
      </w:r>
      <w:r>
        <w:rPr>
          <w:rFonts w:ascii="宋体" w:hAnsi="宋体" w:cs="宋体"/>
        </w:rPr>
        <w:t>类基金份额的，在投资者申购时收取申购费，</w:t>
      </w:r>
      <w:r>
        <w:rPr>
          <w:rFonts w:ascii="宋体" w:hAnsi="宋体" w:cs="宋体"/>
        </w:rPr>
        <w:t>C</w:t>
      </w:r>
      <w:r>
        <w:rPr>
          <w:rFonts w:ascii="宋体" w:hAnsi="宋体" w:cs="宋体"/>
        </w:rPr>
        <w:t>类基金份额不收取申购费。</w:t>
      </w:r>
      <w:r>
        <w:rPr>
          <w:rFonts w:ascii="宋体" w:hAnsi="宋体" w:cs="宋体"/>
        </w:rPr>
        <w:cr/>
        <w:t xml:space="preserve">    </w:t>
      </w:r>
      <w:r>
        <w:rPr>
          <w:rFonts w:ascii="宋体" w:hAnsi="宋体" w:cs="宋体"/>
        </w:rPr>
        <w:t>投资者通过其他销售机构申购本基金</w:t>
      </w:r>
      <w:r>
        <w:rPr>
          <w:rFonts w:ascii="宋体" w:hAnsi="宋体" w:cs="宋体"/>
        </w:rPr>
        <w:t>A</w:t>
      </w:r>
      <w:r>
        <w:rPr>
          <w:rFonts w:ascii="宋体" w:hAnsi="宋体" w:cs="宋体"/>
        </w:rPr>
        <w:t>类基金份额的申购费率随申购金额的增加而递减。投资者如果有多笔申购，适用费率按单笔分别计算。</w:t>
      </w:r>
    </w:p>
    <w:p w:rsidR="00EB665A" w:rsidRDefault="00EB665A"/>
    <w:p w:rsidR="00EB665A" w:rsidRDefault="00B50FE2">
      <w:r>
        <w:rPr>
          <w:rFonts w:ascii="宋体" w:hAnsi="宋体" w:cs="宋体"/>
          <w:b/>
        </w:rPr>
        <w:t xml:space="preserve">3.2.1 </w:t>
      </w:r>
      <w:r>
        <w:rPr>
          <w:rFonts w:ascii="宋体" w:hAnsi="宋体" w:cs="宋体"/>
          <w:b/>
        </w:rPr>
        <w:t>前端收费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5"/>
        <w:gridCol w:w="3095"/>
        <w:gridCol w:w="3096"/>
      </w:tblGrid>
      <w:tr w:rsidR="00EB665A">
        <w:tc>
          <w:tcPr>
            <w:tcW w:w="1538" w:type="pct"/>
          </w:tcPr>
          <w:p w:rsidR="00EB665A" w:rsidRDefault="00B50FE2">
            <w:pPr>
              <w:spacing w:line="240" w:lineRule="auto"/>
              <w:jc w:val="center"/>
            </w:pPr>
            <w:r>
              <w:rPr>
                <w:rFonts w:ascii="宋体" w:hAnsi="宋体" w:cs="宋体"/>
              </w:rPr>
              <w:t>财信均衡致远混合发起式</w:t>
            </w:r>
            <w:r>
              <w:rPr>
                <w:rFonts w:ascii="宋体" w:hAnsi="宋体" w:cs="宋体"/>
              </w:rPr>
              <w:t>A</w:t>
            </w:r>
            <w:r>
              <w:rPr>
                <w:rFonts w:ascii="宋体" w:hAnsi="宋体" w:cs="宋体"/>
              </w:rPr>
              <w:t>申购</w:t>
            </w:r>
            <w:r>
              <w:rPr>
                <w:rFonts w:ascii="宋体" w:hAnsi="宋体" w:cs="宋体"/>
              </w:rPr>
              <w:t>金额（</w:t>
            </w:r>
            <w:r>
              <w:rPr>
                <w:rFonts w:ascii="宋体" w:hAnsi="宋体" w:cs="宋体"/>
              </w:rPr>
              <w:t>M</w:t>
            </w:r>
            <w:r>
              <w:rPr>
                <w:rFonts w:ascii="宋体" w:hAnsi="宋体" w:cs="宋体"/>
              </w:rPr>
              <w:t>）</w:t>
            </w:r>
          </w:p>
        </w:tc>
        <w:tc>
          <w:tcPr>
            <w:tcW w:w="1538" w:type="pct"/>
          </w:tcPr>
          <w:p w:rsidR="00EB665A" w:rsidRDefault="00B50FE2">
            <w:pPr>
              <w:spacing w:line="240" w:lineRule="auto"/>
              <w:jc w:val="center"/>
            </w:pPr>
            <w:r>
              <w:rPr>
                <w:rFonts w:ascii="宋体" w:hAnsi="宋体" w:cs="宋体"/>
              </w:rPr>
              <w:t>申购费率</w:t>
            </w:r>
          </w:p>
        </w:tc>
        <w:tc>
          <w:tcPr>
            <w:tcW w:w="1538" w:type="pct"/>
          </w:tcPr>
          <w:p w:rsidR="00EB665A" w:rsidRDefault="00B50FE2">
            <w:pPr>
              <w:spacing w:line="240" w:lineRule="auto"/>
              <w:jc w:val="center"/>
            </w:pPr>
            <w:r>
              <w:rPr>
                <w:rFonts w:ascii="宋体" w:hAnsi="宋体" w:cs="宋体"/>
              </w:rPr>
              <w:t>备注</w:t>
            </w:r>
          </w:p>
        </w:tc>
      </w:tr>
      <w:tr w:rsidR="00EB665A">
        <w:tc>
          <w:tcPr>
            <w:tcW w:w="1538" w:type="pct"/>
          </w:tcPr>
          <w:p w:rsidR="00EB665A" w:rsidRDefault="00B50FE2">
            <w:pPr>
              <w:spacing w:line="240" w:lineRule="auto"/>
              <w:jc w:val="left"/>
            </w:pPr>
            <w:r>
              <w:rPr>
                <w:rFonts w:ascii="宋体" w:hAnsi="宋体" w:cs="宋体"/>
              </w:rPr>
              <w:t>M&lt;100</w:t>
            </w:r>
            <w:r>
              <w:rPr>
                <w:rFonts w:ascii="宋体" w:hAnsi="宋体" w:cs="宋体"/>
              </w:rPr>
              <w:t>万</w:t>
            </w:r>
          </w:p>
        </w:tc>
        <w:tc>
          <w:tcPr>
            <w:tcW w:w="1538" w:type="pct"/>
          </w:tcPr>
          <w:p w:rsidR="00EB665A" w:rsidRDefault="00B50FE2">
            <w:pPr>
              <w:spacing w:line="240" w:lineRule="auto"/>
              <w:jc w:val="right"/>
            </w:pPr>
            <w:r>
              <w:rPr>
                <w:rFonts w:ascii="宋体" w:hAnsi="宋体" w:cs="宋体"/>
              </w:rPr>
              <w:t>0.80%</w:t>
            </w:r>
          </w:p>
        </w:tc>
        <w:tc>
          <w:tcPr>
            <w:tcW w:w="1538" w:type="pct"/>
          </w:tcPr>
          <w:p w:rsidR="00EB665A" w:rsidRDefault="00B50FE2">
            <w:pPr>
              <w:spacing w:line="240" w:lineRule="auto"/>
              <w:jc w:val="left"/>
            </w:pPr>
            <w:r>
              <w:rPr>
                <w:rFonts w:ascii="宋体" w:hAnsi="宋体" w:cs="宋体"/>
              </w:rPr>
              <w:t>-</w:t>
            </w:r>
          </w:p>
        </w:tc>
      </w:tr>
      <w:tr w:rsidR="00EB665A">
        <w:tc>
          <w:tcPr>
            <w:tcW w:w="1538" w:type="pct"/>
          </w:tcPr>
          <w:p w:rsidR="00EB665A" w:rsidRDefault="00B50FE2">
            <w:pPr>
              <w:spacing w:line="240" w:lineRule="auto"/>
              <w:jc w:val="left"/>
            </w:pPr>
            <w:r>
              <w:rPr>
                <w:rFonts w:ascii="宋体" w:hAnsi="宋体" w:cs="宋体"/>
              </w:rPr>
              <w:t>100</w:t>
            </w:r>
            <w:r>
              <w:rPr>
                <w:rFonts w:ascii="宋体" w:hAnsi="宋体" w:cs="宋体"/>
              </w:rPr>
              <w:t>万</w:t>
            </w:r>
            <w:r>
              <w:rPr>
                <w:rFonts w:ascii="宋体" w:hAnsi="宋体" w:cs="宋体"/>
              </w:rPr>
              <w:t>≤M&lt;500</w:t>
            </w:r>
            <w:r>
              <w:rPr>
                <w:rFonts w:ascii="宋体" w:hAnsi="宋体" w:cs="宋体"/>
              </w:rPr>
              <w:t>万</w:t>
            </w:r>
          </w:p>
        </w:tc>
        <w:tc>
          <w:tcPr>
            <w:tcW w:w="1538" w:type="pct"/>
          </w:tcPr>
          <w:p w:rsidR="00EB665A" w:rsidRDefault="00B50FE2">
            <w:pPr>
              <w:spacing w:line="240" w:lineRule="auto"/>
              <w:jc w:val="right"/>
            </w:pPr>
            <w:r>
              <w:rPr>
                <w:rFonts w:ascii="宋体" w:hAnsi="宋体" w:cs="宋体"/>
              </w:rPr>
              <w:t>0.40%</w:t>
            </w:r>
          </w:p>
        </w:tc>
        <w:tc>
          <w:tcPr>
            <w:tcW w:w="1538" w:type="pct"/>
          </w:tcPr>
          <w:p w:rsidR="00EB665A" w:rsidRDefault="00B50FE2">
            <w:pPr>
              <w:spacing w:line="240" w:lineRule="auto"/>
              <w:jc w:val="left"/>
            </w:pPr>
            <w:r>
              <w:rPr>
                <w:rFonts w:ascii="宋体" w:hAnsi="宋体" w:cs="宋体"/>
              </w:rPr>
              <w:t>-</w:t>
            </w:r>
          </w:p>
        </w:tc>
      </w:tr>
      <w:tr w:rsidR="00EB665A">
        <w:tc>
          <w:tcPr>
            <w:tcW w:w="1538" w:type="pct"/>
          </w:tcPr>
          <w:p w:rsidR="00EB665A" w:rsidRDefault="00B50FE2">
            <w:pPr>
              <w:spacing w:line="240" w:lineRule="auto"/>
              <w:jc w:val="left"/>
            </w:pPr>
            <w:r>
              <w:rPr>
                <w:rFonts w:ascii="宋体" w:hAnsi="宋体" w:cs="宋体"/>
              </w:rPr>
              <w:t>500</w:t>
            </w:r>
            <w:r>
              <w:rPr>
                <w:rFonts w:ascii="宋体" w:hAnsi="宋体" w:cs="宋体"/>
              </w:rPr>
              <w:t>万</w:t>
            </w:r>
            <w:r>
              <w:rPr>
                <w:rFonts w:ascii="宋体" w:hAnsi="宋体" w:cs="宋体"/>
              </w:rPr>
              <w:t>≤M</w:t>
            </w:r>
          </w:p>
        </w:tc>
        <w:tc>
          <w:tcPr>
            <w:tcW w:w="1538" w:type="pct"/>
          </w:tcPr>
          <w:p w:rsidR="00EB665A" w:rsidRDefault="00B50FE2">
            <w:pPr>
              <w:spacing w:line="240" w:lineRule="auto"/>
              <w:jc w:val="right"/>
            </w:pPr>
            <w:r>
              <w:rPr>
                <w:rFonts w:ascii="宋体" w:hAnsi="宋体" w:cs="宋体"/>
              </w:rPr>
              <w:t>1000.00</w:t>
            </w:r>
            <w:r>
              <w:rPr>
                <w:rFonts w:ascii="宋体" w:hAnsi="宋体" w:cs="宋体"/>
              </w:rPr>
              <w:t>元</w:t>
            </w:r>
            <w:r>
              <w:rPr>
                <w:rFonts w:ascii="宋体" w:hAnsi="宋体" w:cs="宋体"/>
              </w:rPr>
              <w:t>/</w:t>
            </w:r>
            <w:r>
              <w:rPr>
                <w:rFonts w:ascii="宋体" w:hAnsi="宋体" w:cs="宋体"/>
              </w:rPr>
              <w:t>笔</w:t>
            </w:r>
          </w:p>
        </w:tc>
        <w:tc>
          <w:tcPr>
            <w:tcW w:w="1538" w:type="pct"/>
          </w:tcPr>
          <w:p w:rsidR="00EB665A" w:rsidRDefault="00B50FE2">
            <w:pPr>
              <w:spacing w:line="240" w:lineRule="auto"/>
              <w:jc w:val="left"/>
            </w:pPr>
            <w:r>
              <w:rPr>
                <w:rFonts w:ascii="宋体" w:hAnsi="宋体" w:cs="宋体"/>
              </w:rPr>
              <w:t>-</w:t>
            </w:r>
          </w:p>
        </w:tc>
      </w:tr>
    </w:tbl>
    <w:p w:rsidR="00EB665A" w:rsidRDefault="00B50FE2">
      <w:pPr>
        <w:jc w:val="left"/>
      </w:pPr>
      <w:r>
        <w:rPr>
          <w:rFonts w:ascii="宋体" w:hAnsi="宋体" w:cs="宋体"/>
        </w:rPr>
        <w:t>注：通过其他销售机构申购</w:t>
      </w:r>
      <w:r>
        <w:rPr>
          <w:rFonts w:ascii="宋体" w:hAnsi="宋体" w:cs="宋体"/>
        </w:rPr>
        <w:t>A</w:t>
      </w:r>
      <w:r>
        <w:rPr>
          <w:rFonts w:ascii="宋体" w:hAnsi="宋体" w:cs="宋体"/>
        </w:rPr>
        <w:t>类基金份额的申购费用由申购</w:t>
      </w:r>
      <w:r>
        <w:rPr>
          <w:rFonts w:ascii="宋体" w:hAnsi="宋体" w:cs="宋体"/>
        </w:rPr>
        <w:t>A</w:t>
      </w:r>
      <w:r>
        <w:rPr>
          <w:rFonts w:ascii="宋体" w:hAnsi="宋体" w:cs="宋体"/>
        </w:rPr>
        <w:t>类基金份额的投资人承担，不列入基金财产，主要用于本基金的市场推广、销售、登记等各项费用。</w:t>
      </w:r>
      <w:r>
        <w:rPr>
          <w:rFonts w:ascii="宋体" w:hAnsi="宋体" w:cs="宋体"/>
        </w:rPr>
        <w:cr/>
      </w:r>
      <w:r>
        <w:rPr>
          <w:rFonts w:ascii="宋体" w:hAnsi="宋体" w:cs="宋体"/>
        </w:rPr>
        <w:t>基金管理人可以在不违反法律法规且对基金份额持有人无实质性不利影响的前提下，根据《基金合同》的约定调整费率或收费方式，并最迟应于新的费率或收费方式实施日前依照《信息披露办法》的有关规定在规定媒介上公告。</w:t>
      </w:r>
      <w:r>
        <w:rPr>
          <w:rFonts w:ascii="宋体" w:hAnsi="宋体" w:cs="宋体"/>
        </w:rPr>
        <w:cr/>
      </w:r>
      <w:r>
        <w:rPr>
          <w:rFonts w:ascii="宋体" w:hAnsi="宋体" w:cs="宋体"/>
        </w:rPr>
        <w:t>基金管理人或各销售机构可以在不违反法律法规规定及基金合同约定，且对基金份额持有人利益无实质性不利影响的情形下，根据市场情况制定基金促销活动，设置本基金费率优惠活动。投资者享有的费率优惠以基金管理人或各销售机构的规定和执行为准。</w:t>
      </w:r>
    </w:p>
    <w:p w:rsidR="00EB665A" w:rsidRDefault="00EB665A"/>
    <w:p w:rsidR="00EB665A" w:rsidRDefault="00B50FE2">
      <w:pPr>
        <w:pStyle w:val="2"/>
      </w:pPr>
      <w:r>
        <w:rPr>
          <w:rFonts w:ascii="宋体" w:hAnsi="宋体" w:cs="宋体"/>
        </w:rPr>
        <w:t xml:space="preserve">3.3 </w:t>
      </w:r>
      <w:r>
        <w:rPr>
          <w:rFonts w:ascii="宋体" w:hAnsi="宋体" w:cs="宋体"/>
        </w:rPr>
        <w:t>其他与申购相关的事项</w:t>
      </w:r>
    </w:p>
    <w:p w:rsidR="00EB665A" w:rsidRDefault="00B50FE2">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w:t>
      </w:r>
      <w:r>
        <w:rPr>
          <w:rFonts w:ascii="宋体" w:hAnsi="宋体" w:cs="宋体"/>
        </w:rPr>
        <w:t>“</w:t>
      </w:r>
      <w:r>
        <w:rPr>
          <w:rFonts w:ascii="宋体" w:hAnsi="宋体" w:cs="宋体"/>
        </w:rPr>
        <w:t>未知价</w:t>
      </w:r>
      <w:r>
        <w:rPr>
          <w:rFonts w:ascii="宋体" w:hAnsi="宋体" w:cs="宋体"/>
        </w:rPr>
        <w:t>”</w:t>
      </w:r>
      <w:r>
        <w:rPr>
          <w:rFonts w:ascii="宋体" w:hAnsi="宋体" w:cs="宋体"/>
        </w:rPr>
        <w:t>原则，即申购价格以申请当日收市后计算的该类基金份额净值为基准进行计算；</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w:t>
      </w:r>
      <w:r>
        <w:rPr>
          <w:rFonts w:ascii="宋体" w:hAnsi="宋体" w:cs="宋体"/>
        </w:rPr>
        <w:t>“</w:t>
      </w:r>
      <w:r>
        <w:rPr>
          <w:rFonts w:ascii="宋体" w:hAnsi="宋体" w:cs="宋体"/>
        </w:rPr>
        <w:t>金额申购</w:t>
      </w:r>
      <w:r>
        <w:rPr>
          <w:rFonts w:ascii="宋体" w:hAnsi="宋体" w:cs="宋体"/>
        </w:rPr>
        <w:t>”</w:t>
      </w:r>
      <w:r>
        <w:rPr>
          <w:rFonts w:ascii="宋体" w:hAnsi="宋体" w:cs="宋体"/>
        </w:rPr>
        <w:t>原则，即申购以金额申请；</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）当日的申购申请可以在基金管理人规定的时间以内撤销，基金销售机构另有规定的，以基金销售机构的</w:t>
      </w:r>
      <w:r>
        <w:rPr>
          <w:rFonts w:ascii="宋体" w:hAnsi="宋体" w:cs="宋体"/>
        </w:rPr>
        <w:t>规定为准；</w:t>
      </w:r>
      <w:r>
        <w:rPr>
          <w:rFonts w:ascii="宋体" w:hAnsi="宋体" w:cs="宋体"/>
        </w:rPr>
        <w:cr/>
        <w:t xml:space="preserve">    </w:t>
      </w:r>
      <w:r>
        <w:rPr>
          <w:rFonts w:ascii="宋体" w:hAnsi="宋体" w:cs="宋体"/>
        </w:rPr>
        <w:t>（</w:t>
      </w:r>
      <w:r>
        <w:rPr>
          <w:rFonts w:ascii="宋体" w:hAnsi="宋体" w:cs="宋体"/>
        </w:rPr>
        <w:t>4</w:t>
      </w:r>
      <w:r>
        <w:rPr>
          <w:rFonts w:ascii="宋体" w:hAnsi="宋体" w:cs="宋体"/>
        </w:rPr>
        <w:t>）本基金份额分为多个类别，投资者在申购时可自行选择基金份额类别；</w:t>
      </w:r>
      <w:r>
        <w:rPr>
          <w:rFonts w:ascii="宋体" w:hAnsi="宋体" w:cs="宋体"/>
        </w:rPr>
        <w:cr/>
        <w:t xml:space="preserve">    </w:t>
      </w:r>
      <w:r>
        <w:rPr>
          <w:rFonts w:ascii="宋体" w:hAnsi="宋体" w:cs="宋体"/>
        </w:rPr>
        <w:t>基金管理人可在法律法规允许的情况下，对上述原则进行调整。基金管理人必须在新规则开始实施前依照《信息披露办法》的有关规定在规定媒介上公告。</w:t>
      </w:r>
    </w:p>
    <w:p w:rsidR="00EB665A" w:rsidRDefault="00B50FE2">
      <w:pPr>
        <w:pStyle w:val="1"/>
      </w:pPr>
      <w:r>
        <w:rPr>
          <w:rFonts w:ascii="宋体" w:hAnsi="宋体" w:cs="宋体"/>
        </w:rPr>
        <w:t xml:space="preserve">4 </w:t>
      </w:r>
      <w:r>
        <w:rPr>
          <w:rFonts w:ascii="宋体" w:hAnsi="宋体" w:cs="宋体"/>
        </w:rPr>
        <w:t>日常赎回业务</w:t>
      </w:r>
    </w:p>
    <w:p w:rsidR="00EB665A" w:rsidRDefault="00EB665A"/>
    <w:p w:rsidR="00EB665A" w:rsidRDefault="00B50FE2">
      <w:pPr>
        <w:pStyle w:val="2"/>
      </w:pPr>
      <w:r>
        <w:rPr>
          <w:rFonts w:ascii="宋体" w:hAnsi="宋体" w:cs="宋体"/>
        </w:rPr>
        <w:t xml:space="preserve">4.1 </w:t>
      </w:r>
      <w:r>
        <w:rPr>
          <w:rFonts w:ascii="宋体" w:hAnsi="宋体" w:cs="宋体"/>
        </w:rPr>
        <w:t>赎回份额限制</w:t>
      </w:r>
    </w:p>
    <w:p w:rsidR="00EB665A" w:rsidRDefault="00B50FE2">
      <w:pPr>
        <w:jc w:val="left"/>
      </w:pPr>
      <w:r>
        <w:rPr>
          <w:rFonts w:ascii="宋体" w:hAnsi="宋体" w:cs="宋体"/>
        </w:rPr>
        <w:t xml:space="preserve">    </w:t>
      </w:r>
      <w:r>
        <w:rPr>
          <w:rFonts w:ascii="宋体" w:hAnsi="宋体" w:cs="宋体"/>
        </w:rPr>
        <w:t>基金份额持有人通过各销售机构网点赎回的，每次赎回基金份额均不得低于</w:t>
      </w:r>
      <w:r>
        <w:rPr>
          <w:rFonts w:ascii="宋体" w:hAnsi="宋体" w:cs="宋体"/>
        </w:rPr>
        <w:t>1</w:t>
      </w:r>
      <w:r>
        <w:rPr>
          <w:rFonts w:ascii="宋体" w:hAnsi="宋体" w:cs="宋体"/>
        </w:rPr>
        <w:t>份，基金份额持有人赎回时或赎回后在销售机构网点、本基金管理人直销柜台保留的基金份额余额不足</w:t>
      </w:r>
      <w:r>
        <w:rPr>
          <w:rFonts w:ascii="宋体" w:hAnsi="宋体" w:cs="宋体"/>
        </w:rPr>
        <w:t>1</w:t>
      </w:r>
      <w:r>
        <w:rPr>
          <w:rFonts w:ascii="宋体" w:hAnsi="宋体" w:cs="宋体"/>
        </w:rPr>
        <w:t>份的，在赎回时需一次全部赎回。在符合法律法规规定的前提下，各销售机</w:t>
      </w:r>
      <w:r>
        <w:rPr>
          <w:rFonts w:ascii="宋体" w:hAnsi="宋体" w:cs="宋体"/>
        </w:rPr>
        <w:t>构对赎回份额限制有其他规定的，需同时遵循该销售机构的相关规定。</w:t>
      </w:r>
      <w:r>
        <w:rPr>
          <w:rFonts w:ascii="宋体" w:hAnsi="宋体" w:cs="宋体"/>
        </w:rPr>
        <w:cr/>
        <w:t xml:space="preserve">    </w:t>
      </w:r>
      <w:r>
        <w:rPr>
          <w:rFonts w:ascii="宋体" w:hAnsi="宋体" w:cs="宋体"/>
        </w:rPr>
        <w:t>基金管理人可以根据市场情况，在不违反法律法规的情况下，调整上述规定赎回份额的数量限制，或者新增基金规模控制措施。基金管理人必须在调整前依照《信息披露办法》的有关规定在指定媒介上公告。</w:t>
      </w:r>
      <w:r>
        <w:rPr>
          <w:rFonts w:ascii="宋体" w:hAnsi="宋体" w:cs="宋体"/>
        </w:rPr>
        <w:cr/>
        <w:t xml:space="preserve">    </w:t>
      </w:r>
      <w:r>
        <w:rPr>
          <w:rFonts w:ascii="宋体" w:hAnsi="宋体" w:cs="宋体"/>
        </w:rPr>
        <w:t>如遇巨额赎回等情况而导致延期赎回时，赎回办理和款项支付的办法将按照基金合同有关巨额赎回或连续巨额赎回的条款处理。</w:t>
      </w:r>
    </w:p>
    <w:p w:rsidR="00EB665A" w:rsidRDefault="00EB665A"/>
    <w:p w:rsidR="00EB665A" w:rsidRDefault="00B50FE2">
      <w:pPr>
        <w:pStyle w:val="2"/>
      </w:pPr>
      <w:r>
        <w:rPr>
          <w:rFonts w:ascii="宋体" w:hAnsi="宋体" w:cs="宋体"/>
        </w:rPr>
        <w:t xml:space="preserve">4.2 </w:t>
      </w:r>
      <w:r>
        <w:rPr>
          <w:rFonts w:ascii="宋体" w:hAnsi="宋体" w:cs="宋体"/>
        </w:rPr>
        <w:t>赎回费率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3"/>
        <w:gridCol w:w="4643"/>
      </w:tblGrid>
      <w:tr w:rsidR="00EB665A">
        <w:tc>
          <w:tcPr>
            <w:tcW w:w="2308" w:type="pct"/>
          </w:tcPr>
          <w:p w:rsidR="00EB665A" w:rsidRDefault="00B50FE2">
            <w:pPr>
              <w:spacing w:line="240" w:lineRule="auto"/>
              <w:jc w:val="center"/>
            </w:pPr>
            <w:r>
              <w:rPr>
                <w:rFonts w:ascii="宋体" w:hAnsi="宋体" w:cs="宋体"/>
              </w:rPr>
              <w:t>财信均衡致远混合发起式</w:t>
            </w:r>
            <w:r>
              <w:rPr>
                <w:rFonts w:ascii="宋体" w:hAnsi="宋体" w:cs="宋体"/>
              </w:rPr>
              <w:t>A</w:t>
            </w:r>
            <w:r>
              <w:rPr>
                <w:rFonts w:ascii="宋体" w:hAnsi="宋体" w:cs="宋体"/>
              </w:rPr>
              <w:t>持有期限（</w:t>
            </w:r>
            <w:r>
              <w:rPr>
                <w:rFonts w:ascii="宋体" w:hAnsi="宋体" w:cs="宋体"/>
              </w:rPr>
              <w:t>N</w:t>
            </w:r>
            <w:r>
              <w:rPr>
                <w:rFonts w:ascii="宋体" w:hAnsi="宋体" w:cs="宋体"/>
              </w:rPr>
              <w:t>）</w:t>
            </w:r>
          </w:p>
        </w:tc>
        <w:tc>
          <w:tcPr>
            <w:tcW w:w="2308" w:type="pct"/>
          </w:tcPr>
          <w:p w:rsidR="00EB665A" w:rsidRDefault="00B50FE2">
            <w:pPr>
              <w:spacing w:line="240" w:lineRule="auto"/>
              <w:jc w:val="center"/>
            </w:pPr>
            <w:r>
              <w:rPr>
                <w:rFonts w:ascii="宋体" w:hAnsi="宋体" w:cs="宋体"/>
              </w:rPr>
              <w:t>赎回费率</w:t>
            </w:r>
          </w:p>
        </w:tc>
      </w:tr>
      <w:tr w:rsidR="00EB665A">
        <w:tc>
          <w:tcPr>
            <w:tcW w:w="2308" w:type="pct"/>
          </w:tcPr>
          <w:p w:rsidR="00EB665A" w:rsidRDefault="00B50FE2">
            <w:pPr>
              <w:spacing w:line="240" w:lineRule="auto"/>
              <w:jc w:val="left"/>
            </w:pPr>
            <w:r>
              <w:rPr>
                <w:rFonts w:ascii="宋体" w:hAnsi="宋体" w:cs="宋体"/>
              </w:rPr>
              <w:t>N&lt;7</w:t>
            </w:r>
            <w:r>
              <w:rPr>
                <w:rFonts w:ascii="宋体" w:hAnsi="宋体" w:cs="宋体"/>
              </w:rPr>
              <w:t>天</w:t>
            </w:r>
          </w:p>
        </w:tc>
        <w:tc>
          <w:tcPr>
            <w:tcW w:w="2308" w:type="pct"/>
          </w:tcPr>
          <w:p w:rsidR="00EB665A" w:rsidRDefault="00B50FE2">
            <w:pPr>
              <w:spacing w:line="240" w:lineRule="auto"/>
              <w:jc w:val="right"/>
            </w:pPr>
            <w:r>
              <w:rPr>
                <w:rFonts w:ascii="宋体" w:hAnsi="宋体" w:cs="宋体"/>
              </w:rPr>
              <w:t>1.50%</w:t>
            </w:r>
          </w:p>
        </w:tc>
      </w:tr>
      <w:tr w:rsidR="00EB665A">
        <w:tc>
          <w:tcPr>
            <w:tcW w:w="2308" w:type="pct"/>
          </w:tcPr>
          <w:p w:rsidR="00EB665A" w:rsidRDefault="00B50FE2">
            <w:pPr>
              <w:spacing w:line="240" w:lineRule="auto"/>
              <w:jc w:val="left"/>
            </w:pPr>
            <w:r>
              <w:rPr>
                <w:rFonts w:ascii="宋体" w:hAnsi="宋体" w:cs="宋体"/>
              </w:rPr>
              <w:t>7</w:t>
            </w:r>
            <w:r>
              <w:rPr>
                <w:rFonts w:ascii="宋体" w:hAnsi="宋体" w:cs="宋体"/>
              </w:rPr>
              <w:t>天</w:t>
            </w:r>
            <w:r>
              <w:rPr>
                <w:rFonts w:ascii="宋体" w:hAnsi="宋体" w:cs="宋体"/>
              </w:rPr>
              <w:t>≤N&lt;30</w:t>
            </w:r>
            <w:r>
              <w:rPr>
                <w:rFonts w:ascii="宋体" w:hAnsi="宋体" w:cs="宋体"/>
              </w:rPr>
              <w:t>天</w:t>
            </w:r>
          </w:p>
        </w:tc>
        <w:tc>
          <w:tcPr>
            <w:tcW w:w="2308" w:type="pct"/>
          </w:tcPr>
          <w:p w:rsidR="00EB665A" w:rsidRDefault="00B50FE2">
            <w:pPr>
              <w:spacing w:line="240" w:lineRule="auto"/>
              <w:jc w:val="right"/>
            </w:pPr>
            <w:r>
              <w:rPr>
                <w:rFonts w:ascii="宋体" w:hAnsi="宋体" w:cs="宋体"/>
              </w:rPr>
              <w:t>1.00%</w:t>
            </w:r>
          </w:p>
        </w:tc>
      </w:tr>
      <w:tr w:rsidR="00EB665A">
        <w:tc>
          <w:tcPr>
            <w:tcW w:w="2308" w:type="pct"/>
          </w:tcPr>
          <w:p w:rsidR="00EB665A" w:rsidRDefault="00B50FE2">
            <w:pPr>
              <w:spacing w:line="240" w:lineRule="auto"/>
              <w:jc w:val="left"/>
            </w:pPr>
            <w:r>
              <w:rPr>
                <w:rFonts w:ascii="宋体" w:hAnsi="宋体" w:cs="宋体"/>
              </w:rPr>
              <w:t>30</w:t>
            </w:r>
            <w:r>
              <w:rPr>
                <w:rFonts w:ascii="宋体" w:hAnsi="宋体" w:cs="宋体"/>
              </w:rPr>
              <w:t>天</w:t>
            </w:r>
            <w:r>
              <w:rPr>
                <w:rFonts w:ascii="宋体" w:hAnsi="宋体" w:cs="宋体"/>
              </w:rPr>
              <w:t>≤N&lt;180</w:t>
            </w:r>
            <w:r>
              <w:rPr>
                <w:rFonts w:ascii="宋体" w:hAnsi="宋体" w:cs="宋体"/>
              </w:rPr>
              <w:t>天</w:t>
            </w:r>
          </w:p>
        </w:tc>
        <w:tc>
          <w:tcPr>
            <w:tcW w:w="2308" w:type="pct"/>
          </w:tcPr>
          <w:p w:rsidR="00EB665A" w:rsidRDefault="00B50FE2">
            <w:pPr>
              <w:spacing w:line="240" w:lineRule="auto"/>
              <w:jc w:val="right"/>
            </w:pPr>
            <w:r>
              <w:rPr>
                <w:rFonts w:ascii="宋体" w:hAnsi="宋体" w:cs="宋体"/>
              </w:rPr>
              <w:t>0.50%</w:t>
            </w:r>
          </w:p>
        </w:tc>
      </w:tr>
      <w:tr w:rsidR="00EB665A">
        <w:tc>
          <w:tcPr>
            <w:tcW w:w="2308" w:type="pct"/>
          </w:tcPr>
          <w:p w:rsidR="00EB665A" w:rsidRDefault="00B50FE2">
            <w:pPr>
              <w:spacing w:line="240" w:lineRule="auto"/>
              <w:jc w:val="left"/>
            </w:pPr>
            <w:r>
              <w:rPr>
                <w:rFonts w:ascii="宋体" w:hAnsi="宋体" w:cs="宋体"/>
              </w:rPr>
              <w:t>180</w:t>
            </w:r>
            <w:r>
              <w:rPr>
                <w:rFonts w:ascii="宋体" w:hAnsi="宋体" w:cs="宋体"/>
              </w:rPr>
              <w:t>天</w:t>
            </w:r>
            <w:r>
              <w:rPr>
                <w:rFonts w:ascii="宋体" w:hAnsi="宋体" w:cs="宋体"/>
              </w:rPr>
              <w:t>≤N</w:t>
            </w:r>
          </w:p>
        </w:tc>
        <w:tc>
          <w:tcPr>
            <w:tcW w:w="2308" w:type="pct"/>
          </w:tcPr>
          <w:p w:rsidR="00EB665A" w:rsidRDefault="00B50FE2">
            <w:pPr>
              <w:spacing w:line="240" w:lineRule="auto"/>
              <w:jc w:val="right"/>
            </w:pPr>
            <w:r>
              <w:rPr>
                <w:rFonts w:ascii="宋体" w:hAnsi="宋体" w:cs="宋体"/>
              </w:rPr>
              <w:t>0.00%</w:t>
            </w:r>
          </w:p>
        </w:tc>
      </w:tr>
      <w:tr w:rsidR="00EB665A">
        <w:tc>
          <w:tcPr>
            <w:tcW w:w="2308" w:type="pct"/>
          </w:tcPr>
          <w:p w:rsidR="00EB665A" w:rsidRDefault="00B50FE2">
            <w:pPr>
              <w:spacing w:line="240" w:lineRule="auto"/>
              <w:jc w:val="center"/>
            </w:pPr>
            <w:r>
              <w:rPr>
                <w:rFonts w:ascii="宋体" w:hAnsi="宋体" w:cs="宋体"/>
              </w:rPr>
              <w:t>财信均衡致远混合发起式</w:t>
            </w:r>
            <w:r>
              <w:rPr>
                <w:rFonts w:ascii="宋体" w:hAnsi="宋体" w:cs="宋体"/>
              </w:rPr>
              <w:t>C</w:t>
            </w:r>
            <w:r>
              <w:rPr>
                <w:rFonts w:ascii="宋体" w:hAnsi="宋体" w:cs="宋体"/>
              </w:rPr>
              <w:t>持有期限（</w:t>
            </w:r>
            <w:r>
              <w:rPr>
                <w:rFonts w:ascii="宋体" w:hAnsi="宋体" w:cs="宋体"/>
              </w:rPr>
              <w:t>N</w:t>
            </w:r>
            <w:r>
              <w:rPr>
                <w:rFonts w:ascii="宋体" w:hAnsi="宋体" w:cs="宋体"/>
              </w:rPr>
              <w:t>）</w:t>
            </w:r>
          </w:p>
        </w:tc>
        <w:tc>
          <w:tcPr>
            <w:tcW w:w="2308" w:type="pct"/>
          </w:tcPr>
          <w:p w:rsidR="00EB665A" w:rsidRDefault="00B50FE2">
            <w:pPr>
              <w:spacing w:line="240" w:lineRule="auto"/>
              <w:jc w:val="center"/>
            </w:pPr>
            <w:r>
              <w:rPr>
                <w:rFonts w:ascii="宋体" w:hAnsi="宋体" w:cs="宋体"/>
              </w:rPr>
              <w:t>赎回费率</w:t>
            </w:r>
          </w:p>
        </w:tc>
      </w:tr>
      <w:tr w:rsidR="00EB665A">
        <w:tc>
          <w:tcPr>
            <w:tcW w:w="2308" w:type="pct"/>
          </w:tcPr>
          <w:p w:rsidR="00EB665A" w:rsidRDefault="00B50FE2">
            <w:pPr>
              <w:spacing w:line="240" w:lineRule="auto"/>
              <w:jc w:val="left"/>
            </w:pPr>
            <w:r>
              <w:rPr>
                <w:rFonts w:ascii="宋体" w:hAnsi="宋体" w:cs="宋体"/>
              </w:rPr>
              <w:t>N&lt;7</w:t>
            </w:r>
            <w:r>
              <w:rPr>
                <w:rFonts w:ascii="宋体" w:hAnsi="宋体" w:cs="宋体"/>
              </w:rPr>
              <w:t>天</w:t>
            </w:r>
          </w:p>
        </w:tc>
        <w:tc>
          <w:tcPr>
            <w:tcW w:w="2308" w:type="pct"/>
          </w:tcPr>
          <w:p w:rsidR="00EB665A" w:rsidRDefault="00B50FE2">
            <w:pPr>
              <w:spacing w:line="240" w:lineRule="auto"/>
              <w:jc w:val="right"/>
            </w:pPr>
            <w:r>
              <w:rPr>
                <w:rFonts w:ascii="宋体" w:hAnsi="宋体" w:cs="宋体"/>
              </w:rPr>
              <w:t>1.50%</w:t>
            </w:r>
          </w:p>
        </w:tc>
      </w:tr>
      <w:tr w:rsidR="00EB665A">
        <w:tc>
          <w:tcPr>
            <w:tcW w:w="2308" w:type="pct"/>
          </w:tcPr>
          <w:p w:rsidR="00EB665A" w:rsidRDefault="00B50FE2">
            <w:pPr>
              <w:spacing w:line="240" w:lineRule="auto"/>
              <w:jc w:val="left"/>
            </w:pPr>
            <w:r>
              <w:rPr>
                <w:rFonts w:ascii="宋体" w:hAnsi="宋体" w:cs="宋体"/>
              </w:rPr>
              <w:t>7</w:t>
            </w:r>
            <w:r>
              <w:rPr>
                <w:rFonts w:ascii="宋体" w:hAnsi="宋体" w:cs="宋体"/>
              </w:rPr>
              <w:t>天</w:t>
            </w:r>
            <w:r>
              <w:rPr>
                <w:rFonts w:ascii="宋体" w:hAnsi="宋体" w:cs="宋体"/>
              </w:rPr>
              <w:t>≤N&lt;30</w:t>
            </w:r>
            <w:r>
              <w:rPr>
                <w:rFonts w:ascii="宋体" w:hAnsi="宋体" w:cs="宋体"/>
              </w:rPr>
              <w:t>天</w:t>
            </w:r>
          </w:p>
        </w:tc>
        <w:tc>
          <w:tcPr>
            <w:tcW w:w="2308" w:type="pct"/>
          </w:tcPr>
          <w:p w:rsidR="00EB665A" w:rsidRDefault="00B50FE2">
            <w:pPr>
              <w:spacing w:line="240" w:lineRule="auto"/>
              <w:jc w:val="right"/>
            </w:pPr>
            <w:r>
              <w:rPr>
                <w:rFonts w:ascii="宋体" w:hAnsi="宋体" w:cs="宋体"/>
              </w:rPr>
              <w:t>1.00%</w:t>
            </w:r>
          </w:p>
        </w:tc>
      </w:tr>
      <w:tr w:rsidR="00EB665A">
        <w:tc>
          <w:tcPr>
            <w:tcW w:w="2308" w:type="pct"/>
          </w:tcPr>
          <w:p w:rsidR="00EB665A" w:rsidRDefault="00B50FE2">
            <w:pPr>
              <w:spacing w:line="240" w:lineRule="auto"/>
              <w:jc w:val="left"/>
            </w:pPr>
            <w:r>
              <w:rPr>
                <w:rFonts w:ascii="宋体" w:hAnsi="宋体" w:cs="宋体"/>
              </w:rPr>
              <w:t>30</w:t>
            </w:r>
            <w:r>
              <w:rPr>
                <w:rFonts w:ascii="宋体" w:hAnsi="宋体" w:cs="宋体"/>
              </w:rPr>
              <w:t>天</w:t>
            </w:r>
            <w:r>
              <w:rPr>
                <w:rFonts w:ascii="宋体" w:hAnsi="宋体" w:cs="宋体"/>
              </w:rPr>
              <w:t>≤N&lt;180</w:t>
            </w:r>
            <w:r>
              <w:rPr>
                <w:rFonts w:ascii="宋体" w:hAnsi="宋体" w:cs="宋体"/>
              </w:rPr>
              <w:t>天</w:t>
            </w:r>
          </w:p>
        </w:tc>
        <w:tc>
          <w:tcPr>
            <w:tcW w:w="2308" w:type="pct"/>
          </w:tcPr>
          <w:p w:rsidR="00EB665A" w:rsidRDefault="00B50FE2">
            <w:pPr>
              <w:spacing w:line="240" w:lineRule="auto"/>
              <w:jc w:val="right"/>
            </w:pPr>
            <w:r>
              <w:rPr>
                <w:rFonts w:ascii="宋体" w:hAnsi="宋体" w:cs="宋体"/>
              </w:rPr>
              <w:t>0.50%</w:t>
            </w:r>
          </w:p>
        </w:tc>
      </w:tr>
      <w:tr w:rsidR="00EB665A">
        <w:tc>
          <w:tcPr>
            <w:tcW w:w="2308" w:type="pct"/>
          </w:tcPr>
          <w:p w:rsidR="00EB665A" w:rsidRDefault="00B50FE2">
            <w:pPr>
              <w:spacing w:line="240" w:lineRule="auto"/>
              <w:jc w:val="left"/>
            </w:pPr>
            <w:r>
              <w:rPr>
                <w:rFonts w:ascii="宋体" w:hAnsi="宋体" w:cs="宋体"/>
              </w:rPr>
              <w:t>180</w:t>
            </w:r>
            <w:r>
              <w:rPr>
                <w:rFonts w:ascii="宋体" w:hAnsi="宋体" w:cs="宋体"/>
              </w:rPr>
              <w:t>天</w:t>
            </w:r>
            <w:r>
              <w:rPr>
                <w:rFonts w:ascii="宋体" w:hAnsi="宋体" w:cs="宋体"/>
              </w:rPr>
              <w:t>≤N</w:t>
            </w:r>
          </w:p>
        </w:tc>
        <w:tc>
          <w:tcPr>
            <w:tcW w:w="2308" w:type="pct"/>
          </w:tcPr>
          <w:p w:rsidR="00EB665A" w:rsidRDefault="00B50FE2">
            <w:pPr>
              <w:spacing w:line="240" w:lineRule="auto"/>
              <w:jc w:val="right"/>
            </w:pPr>
            <w:r>
              <w:rPr>
                <w:rFonts w:ascii="宋体" w:hAnsi="宋体" w:cs="宋体"/>
              </w:rPr>
              <w:t>0.00%</w:t>
            </w:r>
          </w:p>
        </w:tc>
      </w:tr>
    </w:tbl>
    <w:p w:rsidR="00EB665A" w:rsidRDefault="00B50FE2">
      <w:pPr>
        <w:jc w:val="left"/>
      </w:pPr>
      <w:r>
        <w:rPr>
          <w:rFonts w:ascii="宋体" w:hAnsi="宋体" w:cs="宋体"/>
        </w:rPr>
        <w:t>注：赎回费用由赎回基金份额的基金份额持有人承担，在基金份额持有人赎回基金份额时收取，赎回费用全额计入基金财产。</w:t>
      </w:r>
      <w:r>
        <w:rPr>
          <w:rFonts w:ascii="宋体" w:hAnsi="宋体" w:cs="宋体"/>
        </w:rPr>
        <w:cr/>
      </w:r>
      <w:r>
        <w:rPr>
          <w:rFonts w:ascii="宋体" w:hAnsi="宋体" w:cs="宋体"/>
        </w:rPr>
        <w:t>基金管理人可以在不违反法律法规且对基金份额持有人无实质性不利影响的前提下，根据《基金合同》的约定调整费率或收费方式，并最迟应于新的费率或收费方式实施日前依照《信息披露办法》的有关规定在规定媒介上公告。</w:t>
      </w:r>
    </w:p>
    <w:p w:rsidR="00EB665A" w:rsidRDefault="00EB665A"/>
    <w:p w:rsidR="00EB665A" w:rsidRDefault="00B50FE2">
      <w:pPr>
        <w:pStyle w:val="2"/>
      </w:pPr>
      <w:r>
        <w:rPr>
          <w:rFonts w:ascii="宋体" w:hAnsi="宋体" w:cs="宋体"/>
        </w:rPr>
        <w:t xml:space="preserve">4.3 </w:t>
      </w:r>
      <w:r>
        <w:rPr>
          <w:rFonts w:ascii="宋体" w:hAnsi="宋体" w:cs="宋体"/>
        </w:rPr>
        <w:t>其他与赎回相关的事项</w:t>
      </w:r>
    </w:p>
    <w:p w:rsidR="00EB665A" w:rsidRDefault="00B50FE2">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）赎回以份额申请，遵循</w:t>
      </w:r>
      <w:r>
        <w:rPr>
          <w:rFonts w:ascii="宋体" w:hAnsi="宋体" w:cs="宋体"/>
        </w:rPr>
        <w:t>“</w:t>
      </w:r>
      <w:r>
        <w:rPr>
          <w:rFonts w:ascii="宋体" w:hAnsi="宋体" w:cs="宋体"/>
        </w:rPr>
        <w:t>未知价</w:t>
      </w:r>
      <w:r>
        <w:rPr>
          <w:rFonts w:ascii="宋体" w:hAnsi="宋体" w:cs="宋体"/>
        </w:rPr>
        <w:t>”</w:t>
      </w:r>
      <w:r>
        <w:rPr>
          <w:rFonts w:ascii="宋体" w:hAnsi="宋体" w:cs="宋体"/>
        </w:rPr>
        <w:t>原则，即赎回价格以申请当日收市后计算的基金份额净值为基准进行计算；</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）赎回遵循</w:t>
      </w:r>
      <w:r>
        <w:rPr>
          <w:rFonts w:ascii="宋体" w:hAnsi="宋体" w:cs="宋体"/>
        </w:rPr>
        <w:t>“</w:t>
      </w:r>
      <w:r>
        <w:rPr>
          <w:rFonts w:ascii="宋体" w:hAnsi="宋体" w:cs="宋体"/>
        </w:rPr>
        <w:t>先进先出</w:t>
      </w:r>
      <w:r>
        <w:rPr>
          <w:rFonts w:ascii="宋体" w:hAnsi="宋体" w:cs="宋体"/>
        </w:rPr>
        <w:t>”</w:t>
      </w:r>
      <w:r>
        <w:rPr>
          <w:rFonts w:ascii="宋体" w:hAnsi="宋体" w:cs="宋体"/>
        </w:rPr>
        <w:t>原则，即按照投资者认购、申购的先后次序进行顺序赎回</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）当日的赎回申请可以在基金管理人规定的时间以内撤销；</w:t>
      </w:r>
      <w:r>
        <w:rPr>
          <w:rFonts w:ascii="宋体" w:hAnsi="宋体" w:cs="宋体"/>
        </w:rPr>
        <w:cr/>
        <w:t xml:space="preserve">    </w:t>
      </w:r>
      <w:r>
        <w:rPr>
          <w:rFonts w:ascii="宋体" w:hAnsi="宋体" w:cs="宋体"/>
        </w:rPr>
        <w:t>（</w:t>
      </w:r>
      <w:r>
        <w:rPr>
          <w:rFonts w:ascii="宋体" w:hAnsi="宋体" w:cs="宋体"/>
        </w:rPr>
        <w:t>4</w:t>
      </w:r>
      <w:r>
        <w:rPr>
          <w:rFonts w:ascii="宋体" w:hAnsi="宋体" w:cs="宋体"/>
        </w:rPr>
        <w:t>）</w:t>
      </w:r>
      <w:r>
        <w:rPr>
          <w:rFonts w:ascii="宋体" w:hAnsi="宋体" w:cs="宋体"/>
        </w:rPr>
        <w:t>当本基金发生大额申购或赎回情形时，基金管理人可以采用摆动定价机制，以确保基金估值的公平性。具体处理原则与操作规范遵循相关法律法规以及监管部门、自律规则的规定。</w:t>
      </w:r>
      <w:r>
        <w:rPr>
          <w:rFonts w:ascii="宋体" w:hAnsi="宋体" w:cs="宋体"/>
        </w:rPr>
        <w:cr/>
        <w:t xml:space="preserve">    </w:t>
      </w:r>
      <w:r>
        <w:rPr>
          <w:rFonts w:ascii="宋体" w:hAnsi="宋体" w:cs="宋体"/>
        </w:rPr>
        <w:t>（</w:t>
      </w:r>
      <w:r>
        <w:rPr>
          <w:rFonts w:ascii="宋体" w:hAnsi="宋体" w:cs="宋体"/>
        </w:rPr>
        <w:t>5</w:t>
      </w:r>
      <w:r>
        <w:rPr>
          <w:rFonts w:ascii="宋体" w:hAnsi="宋体" w:cs="宋体"/>
        </w:rPr>
        <w:t>）基金管理人可以在不违反法律法规规定及基金合同约定的情形下根据市场情况制定基金促销计划，定期或不定期地开展促销活动。在基金促销活动期间，按相关监管部门要求履行必要手续后，基金管理人可以适当调低基金销售费用。</w:t>
      </w:r>
    </w:p>
    <w:p w:rsidR="00EB665A" w:rsidRDefault="00B50FE2">
      <w:pPr>
        <w:pStyle w:val="1"/>
      </w:pPr>
      <w:r>
        <w:rPr>
          <w:rFonts w:ascii="宋体" w:hAnsi="宋体" w:cs="宋体"/>
        </w:rPr>
        <w:t xml:space="preserve">5 </w:t>
      </w:r>
      <w:r>
        <w:rPr>
          <w:rFonts w:ascii="宋体" w:hAnsi="宋体" w:cs="宋体"/>
        </w:rPr>
        <w:t>日常转换业务</w:t>
      </w:r>
    </w:p>
    <w:p w:rsidR="00EB665A" w:rsidRDefault="00EB665A"/>
    <w:p w:rsidR="00EB665A" w:rsidRDefault="00B50FE2">
      <w:pPr>
        <w:pStyle w:val="2"/>
      </w:pPr>
      <w:r>
        <w:rPr>
          <w:rFonts w:ascii="宋体" w:hAnsi="宋体" w:cs="宋体"/>
        </w:rPr>
        <w:t xml:space="preserve">5.1 </w:t>
      </w:r>
      <w:r>
        <w:rPr>
          <w:rFonts w:ascii="宋体" w:hAnsi="宋体" w:cs="宋体"/>
        </w:rPr>
        <w:t>转换费率</w:t>
      </w:r>
    </w:p>
    <w:p w:rsidR="00EB665A" w:rsidRDefault="00B50FE2">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）各基金间转换的总费用包括转出基金的赎回费和申购补差费两部分。</w:t>
      </w:r>
      <w:r>
        <w:rPr>
          <w:rFonts w:ascii="宋体" w:hAnsi="宋体" w:cs="宋体"/>
        </w:rPr>
        <w:cr/>
      </w:r>
      <w:r>
        <w:rPr>
          <w:rFonts w:ascii="宋体" w:hAnsi="宋体" w:cs="宋体"/>
        </w:rPr>
        <w:t xml:space="preserve">    </w:t>
      </w:r>
      <w:r>
        <w:rPr>
          <w:rFonts w:ascii="宋体" w:hAnsi="宋体" w:cs="宋体"/>
        </w:rPr>
        <w:t>（</w:t>
      </w:r>
      <w:r>
        <w:rPr>
          <w:rFonts w:ascii="宋体" w:hAnsi="宋体" w:cs="宋体"/>
        </w:rPr>
        <w:t>2</w:t>
      </w:r>
      <w:r>
        <w:rPr>
          <w:rFonts w:ascii="宋体" w:hAnsi="宋体" w:cs="宋体"/>
        </w:rPr>
        <w:t>）每笔转换申请的转出基金端，收取转出基金的赎回费，赎回费根据相关法律法规及基金合同、招募说明书的规定收取。</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每笔转换申请的转入基金端，从申购费率（费用）低向高的基金转换时，收取转入基金与转出基金的申购费用差额；申购补差费用按照转入基金金额所对应的申购费率（费用）档次进行补差计算。从申购费率（费用）高向低的基金转换时，不收取申购补差费用。</w:t>
      </w:r>
      <w:r>
        <w:rPr>
          <w:rFonts w:ascii="宋体" w:hAnsi="宋体" w:cs="宋体"/>
        </w:rPr>
        <w:cr/>
        <w:t xml:space="preserve">    </w:t>
      </w:r>
      <w:r>
        <w:rPr>
          <w:rFonts w:ascii="宋体" w:hAnsi="宋体" w:cs="宋体"/>
        </w:rPr>
        <w:t>（</w:t>
      </w:r>
      <w:r>
        <w:rPr>
          <w:rFonts w:ascii="宋体" w:hAnsi="宋体" w:cs="宋体"/>
        </w:rPr>
        <w:t>4</w:t>
      </w:r>
      <w:r>
        <w:rPr>
          <w:rFonts w:ascii="宋体" w:hAnsi="宋体" w:cs="宋体"/>
        </w:rPr>
        <w:t>）基金转换采取单笔计算法，投资者当日多次转换的，转换费用按单笔分别计算。</w:t>
      </w:r>
      <w:r>
        <w:rPr>
          <w:rFonts w:ascii="宋体" w:hAnsi="宋体" w:cs="宋体"/>
        </w:rPr>
        <w:cr/>
        <w:t xml:space="preserve">    </w:t>
      </w:r>
      <w:r>
        <w:rPr>
          <w:rFonts w:ascii="宋体" w:hAnsi="宋体" w:cs="宋体"/>
        </w:rPr>
        <w:t>（</w:t>
      </w:r>
      <w:r>
        <w:rPr>
          <w:rFonts w:ascii="宋体" w:hAnsi="宋体" w:cs="宋体"/>
        </w:rPr>
        <w:t>5</w:t>
      </w:r>
      <w:r>
        <w:rPr>
          <w:rFonts w:ascii="宋体" w:hAnsi="宋体" w:cs="宋体"/>
        </w:rPr>
        <w:t>）基金份额持有人对转入份额的连续持有时间自转入确</w:t>
      </w:r>
      <w:r>
        <w:rPr>
          <w:rFonts w:ascii="宋体" w:hAnsi="宋体" w:cs="宋体"/>
        </w:rPr>
        <w:t>认之日算起。</w:t>
      </w:r>
    </w:p>
    <w:p w:rsidR="00EB665A" w:rsidRDefault="00EB665A"/>
    <w:p w:rsidR="00EB665A" w:rsidRDefault="00B50FE2">
      <w:pPr>
        <w:pStyle w:val="2"/>
      </w:pPr>
      <w:r>
        <w:rPr>
          <w:rFonts w:ascii="宋体" w:hAnsi="宋体" w:cs="宋体"/>
        </w:rPr>
        <w:t xml:space="preserve">5.2 </w:t>
      </w:r>
      <w:r>
        <w:rPr>
          <w:rFonts w:ascii="宋体" w:hAnsi="宋体" w:cs="宋体"/>
        </w:rPr>
        <w:t>其他与转换相关的事项</w:t>
      </w:r>
    </w:p>
    <w:p w:rsidR="00EB665A" w:rsidRDefault="00B50FE2">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）基金转换只能在同一销售机构进行。转换的两只基金必须都是该销售机构代理的同一基金管理人管理的、在同一登记机构处登记的基金。同一基金不同类别基金份额之间暂不开通相互转换业务。</w:t>
      </w:r>
      <w:r>
        <w:rPr>
          <w:rFonts w:ascii="宋体" w:hAnsi="宋体" w:cs="宋体"/>
        </w:rPr>
        <w:t xml:space="preserve"> </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）投资者需在转出基金和转入基金均可交易的当日，方可成功办理基金转换业务。由于各销售机构系统及业务安排等原因，开放日的具体交易时间可能有所不同，投资者应参照相关销售机构的具体规定。</w:t>
      </w:r>
      <w:r>
        <w:rPr>
          <w:rFonts w:ascii="宋体" w:hAnsi="宋体" w:cs="宋体"/>
        </w:rPr>
        <w:t xml:space="preserve"> </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）投资者可以将在销售机构托管的部分或全部基金份额转换成其他基金份额，转换</w:t>
      </w:r>
      <w:r>
        <w:rPr>
          <w:rFonts w:ascii="宋体" w:hAnsi="宋体" w:cs="宋体"/>
        </w:rPr>
        <w:t>转出的份额不得超过所在托管网点登记的可用基金份额。</w:t>
      </w:r>
      <w:r>
        <w:rPr>
          <w:rFonts w:ascii="宋体" w:hAnsi="宋体" w:cs="宋体"/>
        </w:rPr>
        <w:cr/>
        <w:t xml:space="preserve">    </w:t>
      </w:r>
      <w:r>
        <w:rPr>
          <w:rFonts w:ascii="宋体" w:hAnsi="宋体" w:cs="宋体"/>
        </w:rPr>
        <w:t>（</w:t>
      </w:r>
      <w:r>
        <w:rPr>
          <w:rFonts w:ascii="宋体" w:hAnsi="宋体" w:cs="宋体"/>
        </w:rPr>
        <w:t>4</w:t>
      </w:r>
      <w:r>
        <w:rPr>
          <w:rFonts w:ascii="宋体" w:hAnsi="宋体" w:cs="宋体"/>
        </w:rPr>
        <w:t>）转出基金份额遵循</w:t>
      </w:r>
      <w:r>
        <w:rPr>
          <w:rFonts w:ascii="宋体" w:hAnsi="宋体" w:cs="宋体"/>
        </w:rPr>
        <w:t>“</w:t>
      </w:r>
      <w:r>
        <w:rPr>
          <w:rFonts w:ascii="宋体" w:hAnsi="宋体" w:cs="宋体"/>
        </w:rPr>
        <w:t>先进先出</w:t>
      </w:r>
      <w:r>
        <w:rPr>
          <w:rFonts w:ascii="宋体" w:hAnsi="宋体" w:cs="宋体"/>
        </w:rPr>
        <w:t>”</w:t>
      </w:r>
      <w:r>
        <w:rPr>
          <w:rFonts w:ascii="宋体" w:hAnsi="宋体" w:cs="宋体"/>
        </w:rPr>
        <w:t>的原则，即按照投资者认购、申购的先后次序进行顺序转出，基金份额持有人对转入基金的持有期限自转入之日算起。</w:t>
      </w:r>
      <w:r>
        <w:rPr>
          <w:rFonts w:ascii="宋体" w:hAnsi="宋体" w:cs="宋体"/>
        </w:rPr>
        <w:cr/>
        <w:t xml:space="preserve">    </w:t>
      </w:r>
      <w:r>
        <w:rPr>
          <w:rFonts w:ascii="宋体" w:hAnsi="宋体" w:cs="宋体"/>
        </w:rPr>
        <w:t>（</w:t>
      </w:r>
      <w:r>
        <w:rPr>
          <w:rFonts w:ascii="宋体" w:hAnsi="宋体" w:cs="宋体"/>
        </w:rPr>
        <w:t>5</w:t>
      </w:r>
      <w:r>
        <w:rPr>
          <w:rFonts w:ascii="宋体" w:hAnsi="宋体" w:cs="宋体"/>
        </w:rPr>
        <w:t>）投资者申请基金转换须满足招募说明书及基金管理人与销售机构有关最低转换转出份额及最低持有份额的规定。如投资者办理基金转出后该基金份额类别的份额余额低于规定的最低余额，基金管理人有权将该基金份额类别的余额部分强制赎回。</w:t>
      </w:r>
      <w:r>
        <w:rPr>
          <w:rFonts w:ascii="宋体" w:hAnsi="宋体" w:cs="宋体"/>
        </w:rPr>
        <w:cr/>
        <w:t xml:space="preserve">    </w:t>
      </w:r>
      <w:r>
        <w:rPr>
          <w:rFonts w:ascii="宋体" w:hAnsi="宋体" w:cs="宋体"/>
        </w:rPr>
        <w:t>（</w:t>
      </w:r>
      <w:r>
        <w:rPr>
          <w:rFonts w:ascii="宋体" w:hAnsi="宋体" w:cs="宋体"/>
        </w:rPr>
        <w:t>6</w:t>
      </w:r>
      <w:r>
        <w:rPr>
          <w:rFonts w:ascii="宋体" w:hAnsi="宋体" w:cs="宋体"/>
        </w:rPr>
        <w:t>）基金转换采取未知价法，即以申请受理当日各转出、转入基金的基金份额净值</w:t>
      </w:r>
      <w:r>
        <w:rPr>
          <w:rFonts w:ascii="宋体" w:hAnsi="宋体" w:cs="宋体"/>
        </w:rPr>
        <w:t>为基准进行计算。</w:t>
      </w:r>
      <w:r>
        <w:rPr>
          <w:rFonts w:ascii="宋体" w:hAnsi="宋体" w:cs="宋体"/>
        </w:rPr>
        <w:cr/>
        <w:t xml:space="preserve">    </w:t>
      </w:r>
      <w:r>
        <w:rPr>
          <w:rFonts w:ascii="宋体" w:hAnsi="宋体" w:cs="宋体"/>
        </w:rPr>
        <w:t>（</w:t>
      </w:r>
      <w:r>
        <w:rPr>
          <w:rFonts w:ascii="宋体" w:hAnsi="宋体" w:cs="宋体"/>
        </w:rPr>
        <w:t>7</w:t>
      </w:r>
      <w:r>
        <w:rPr>
          <w:rFonts w:ascii="宋体" w:hAnsi="宋体" w:cs="宋体"/>
        </w:rPr>
        <w:t>）正常情况下，基金登记机构以申请有效日为基金转换申请日</w:t>
      </w:r>
      <w:r>
        <w:rPr>
          <w:rFonts w:ascii="宋体" w:hAnsi="宋体" w:cs="宋体"/>
        </w:rPr>
        <w:t>(T</w:t>
      </w:r>
      <w:r>
        <w:rPr>
          <w:rFonts w:ascii="宋体" w:hAnsi="宋体" w:cs="宋体"/>
        </w:rPr>
        <w:t>日</w:t>
      </w:r>
      <w:r>
        <w:rPr>
          <w:rFonts w:ascii="宋体" w:hAnsi="宋体" w:cs="宋体"/>
        </w:rPr>
        <w:t>)</w:t>
      </w:r>
      <w:r>
        <w:rPr>
          <w:rFonts w:ascii="宋体" w:hAnsi="宋体" w:cs="宋体"/>
        </w:rPr>
        <w:t>，并在</w:t>
      </w:r>
      <w:r>
        <w:rPr>
          <w:rFonts w:ascii="宋体" w:hAnsi="宋体" w:cs="宋体"/>
        </w:rPr>
        <w:t>T+1</w:t>
      </w:r>
      <w:r>
        <w:rPr>
          <w:rFonts w:ascii="宋体" w:hAnsi="宋体" w:cs="宋体"/>
        </w:rPr>
        <w:t>工作日对该交易的有效性进行确认，投资者可在</w:t>
      </w:r>
      <w:r>
        <w:rPr>
          <w:rFonts w:ascii="宋体" w:hAnsi="宋体" w:cs="宋体"/>
        </w:rPr>
        <w:t>T+2</w:t>
      </w:r>
      <w:r>
        <w:rPr>
          <w:rFonts w:ascii="宋体" w:hAnsi="宋体" w:cs="宋体"/>
        </w:rPr>
        <w:t>工作日及之后到其提出基金转换申请的网点进行成交查询。</w:t>
      </w:r>
      <w:r>
        <w:rPr>
          <w:rFonts w:ascii="宋体" w:hAnsi="宋体" w:cs="宋体"/>
        </w:rPr>
        <w:cr/>
        <w:t xml:space="preserve">    </w:t>
      </w:r>
      <w:r>
        <w:rPr>
          <w:rFonts w:ascii="宋体" w:hAnsi="宋体" w:cs="宋体"/>
        </w:rPr>
        <w:t>（</w:t>
      </w:r>
      <w:r>
        <w:rPr>
          <w:rFonts w:ascii="宋体" w:hAnsi="宋体" w:cs="宋体"/>
        </w:rPr>
        <w:t>8</w:t>
      </w:r>
      <w:r>
        <w:rPr>
          <w:rFonts w:ascii="宋体" w:hAnsi="宋体" w:cs="宋体"/>
        </w:rPr>
        <w:t>）当基金发生巨额赎回时，基金份额转出与基金份额赎回具有相同的优先级，基金份额转出参照巨额赎回的处理方式，由基金管理人按照基金合同的约定进行处理。</w:t>
      </w:r>
      <w:r>
        <w:rPr>
          <w:rFonts w:ascii="宋体" w:hAnsi="宋体" w:cs="宋体"/>
        </w:rPr>
        <w:cr/>
        <w:t xml:space="preserve">    </w:t>
      </w:r>
      <w:r>
        <w:rPr>
          <w:rFonts w:ascii="宋体" w:hAnsi="宋体" w:cs="宋体"/>
        </w:rPr>
        <w:t>（</w:t>
      </w:r>
      <w:r>
        <w:rPr>
          <w:rFonts w:ascii="宋体" w:hAnsi="宋体" w:cs="宋体"/>
        </w:rPr>
        <w:t>9</w:t>
      </w:r>
      <w:r>
        <w:rPr>
          <w:rFonts w:ascii="宋体" w:hAnsi="宋体" w:cs="宋体"/>
        </w:rPr>
        <w:t>）投资者可通过财信基金直销柜台办理本基金的转换转入业务。其他销售机构对本基金转换转入业务有其他规定的，以各销售机构的业务规定为准，敬请投</w:t>
      </w:r>
      <w:r>
        <w:rPr>
          <w:rFonts w:ascii="宋体" w:hAnsi="宋体" w:cs="宋体"/>
        </w:rPr>
        <w:t>资者关注各销售机构开通转换转入业务的公告或垂询相关销售机构。</w:t>
      </w:r>
    </w:p>
    <w:p w:rsidR="00EB665A" w:rsidRDefault="00B50FE2">
      <w:pPr>
        <w:pStyle w:val="1"/>
      </w:pPr>
      <w:r>
        <w:rPr>
          <w:rFonts w:ascii="宋体" w:hAnsi="宋体" w:cs="宋体"/>
        </w:rPr>
        <w:t xml:space="preserve">6 </w:t>
      </w:r>
      <w:r>
        <w:rPr>
          <w:rFonts w:ascii="宋体" w:hAnsi="宋体" w:cs="宋体"/>
        </w:rPr>
        <w:t>定期定额投资业务</w:t>
      </w:r>
    </w:p>
    <w:p w:rsidR="00EB665A" w:rsidRDefault="00B50FE2">
      <w:pPr>
        <w:jc w:val="left"/>
      </w:pPr>
      <w:r>
        <w:rPr>
          <w:rFonts w:ascii="宋体" w:hAnsi="宋体" w:cs="宋体"/>
        </w:rPr>
        <w:t xml:space="preserve">    </w:t>
      </w:r>
      <w:r>
        <w:rPr>
          <w:rFonts w:ascii="宋体" w:hAnsi="宋体" w:cs="宋体"/>
        </w:rPr>
        <w:t>定期定额投资业务是指投资者可通过基金管理人指定的销售机构提交申请，约定每期扣款时间、扣款金额，由指定的销售机构于每期约定扣款日在投资者指定资金账户内自动完成扣款，并提交基金申购申请的一种长期投资方式。</w:t>
      </w:r>
      <w:r>
        <w:rPr>
          <w:rFonts w:ascii="宋体" w:hAnsi="宋体" w:cs="宋体"/>
        </w:rPr>
        <w:cr/>
        <w:t xml:space="preserve">    </w:t>
      </w:r>
      <w:r>
        <w:rPr>
          <w:rFonts w:ascii="宋体" w:hAnsi="宋体" w:cs="宋体"/>
        </w:rPr>
        <w:t>（</w:t>
      </w:r>
      <w:r>
        <w:rPr>
          <w:rFonts w:ascii="宋体" w:hAnsi="宋体" w:cs="宋体"/>
        </w:rPr>
        <w:t>1</w:t>
      </w:r>
      <w:r>
        <w:rPr>
          <w:rFonts w:ascii="宋体" w:hAnsi="宋体" w:cs="宋体"/>
        </w:rPr>
        <w:t>）开通定期定额业务的销售机构</w:t>
      </w:r>
      <w:r>
        <w:rPr>
          <w:rFonts w:ascii="宋体" w:hAnsi="宋体" w:cs="宋体"/>
        </w:rPr>
        <w:cr/>
        <w:t xml:space="preserve">    </w:t>
      </w:r>
      <w:r>
        <w:rPr>
          <w:rFonts w:ascii="宋体" w:hAnsi="宋体" w:cs="宋体"/>
        </w:rPr>
        <w:t>本基金暂不开通直销机构的定期定额投资业务。</w:t>
      </w:r>
      <w:r>
        <w:rPr>
          <w:rFonts w:ascii="宋体" w:hAnsi="宋体" w:cs="宋体"/>
        </w:rPr>
        <w:cr/>
        <w:t xml:space="preserve">    </w:t>
      </w:r>
      <w:r>
        <w:rPr>
          <w:rFonts w:ascii="宋体" w:hAnsi="宋体" w:cs="宋体"/>
        </w:rPr>
        <w:t>其他销售机构开通本基金的定期定额投资业务情况敬请投资者关注各销售机构开通定期定额投资业务的公告或垂询相关销售机构。</w:t>
      </w:r>
      <w:r>
        <w:rPr>
          <w:rFonts w:ascii="宋体" w:hAnsi="宋体" w:cs="宋体"/>
        </w:rPr>
        <w:cr/>
      </w:r>
      <w:r>
        <w:rPr>
          <w:rFonts w:ascii="宋体" w:hAnsi="宋体" w:cs="宋体"/>
        </w:rPr>
        <w:t xml:space="preserve">    </w:t>
      </w:r>
      <w:r>
        <w:rPr>
          <w:rFonts w:ascii="宋体" w:hAnsi="宋体" w:cs="宋体"/>
        </w:rPr>
        <w:t>本基金的非直销销售机构：详见基金管理人网站公示。</w:t>
      </w:r>
      <w:r>
        <w:rPr>
          <w:rFonts w:ascii="宋体" w:hAnsi="宋体" w:cs="宋体"/>
        </w:rPr>
        <w:t xml:space="preserve">    </w:t>
      </w:r>
      <w:r>
        <w:rPr>
          <w:rFonts w:ascii="宋体" w:hAnsi="宋体" w:cs="宋体"/>
        </w:rPr>
        <w:cr/>
        <w:t xml:space="preserve">    </w:t>
      </w:r>
      <w:r>
        <w:rPr>
          <w:rFonts w:ascii="宋体" w:hAnsi="宋体" w:cs="宋体"/>
        </w:rPr>
        <w:t>非直销销售机构办理本基金定期定额业务的具体网点、数额限制、流程、规则以及投资者需要提交的文件等信息，请参照销售机构的规定。</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）办理方式</w:t>
      </w:r>
      <w:r>
        <w:rPr>
          <w:rFonts w:ascii="宋体" w:hAnsi="宋体" w:cs="宋体"/>
        </w:rPr>
        <w:t xml:space="preserve"> </w:t>
      </w:r>
      <w:r>
        <w:rPr>
          <w:rFonts w:ascii="宋体" w:hAnsi="宋体" w:cs="宋体"/>
        </w:rPr>
        <w:cr/>
        <w:t xml:space="preserve">    </w:t>
      </w:r>
      <w:r>
        <w:rPr>
          <w:rFonts w:ascii="宋体" w:hAnsi="宋体" w:cs="宋体"/>
        </w:rPr>
        <w:t>投资者开立基金账户后即可到上述机构的网点申请办理本基金的基金定期定额业务，具体安排由销售机构自行负责。</w:t>
      </w:r>
      <w:r>
        <w:rPr>
          <w:rFonts w:ascii="宋体" w:hAnsi="宋体" w:cs="宋体"/>
        </w:rPr>
        <w:t xml:space="preserve"> </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）办理时间</w:t>
      </w:r>
      <w:r>
        <w:rPr>
          <w:rFonts w:ascii="宋体" w:hAnsi="宋体" w:cs="宋体"/>
        </w:rPr>
        <w:t xml:space="preserve"> </w:t>
      </w:r>
      <w:r>
        <w:rPr>
          <w:rFonts w:ascii="宋体" w:hAnsi="宋体" w:cs="宋体"/>
        </w:rPr>
        <w:cr/>
        <w:t xml:space="preserve">    </w:t>
      </w:r>
      <w:r>
        <w:rPr>
          <w:rFonts w:ascii="宋体" w:hAnsi="宋体" w:cs="宋体"/>
        </w:rPr>
        <w:t>基金定期定额的申请受理时间与基金日常申购业务受理时间相同。</w:t>
      </w:r>
      <w:r>
        <w:rPr>
          <w:rFonts w:ascii="宋体" w:hAnsi="宋体" w:cs="宋体"/>
        </w:rPr>
        <w:t xml:space="preserve"> </w:t>
      </w:r>
      <w:r>
        <w:rPr>
          <w:rFonts w:ascii="宋体" w:hAnsi="宋体" w:cs="宋体"/>
        </w:rPr>
        <w:cr/>
        <w:t xml:space="preserve">    </w:t>
      </w:r>
      <w:r>
        <w:rPr>
          <w:rFonts w:ascii="宋体" w:hAnsi="宋体" w:cs="宋体"/>
        </w:rPr>
        <w:t>（</w:t>
      </w:r>
      <w:r>
        <w:rPr>
          <w:rFonts w:ascii="宋体" w:hAnsi="宋体" w:cs="宋体"/>
        </w:rPr>
        <w:t>4</w:t>
      </w:r>
      <w:r>
        <w:rPr>
          <w:rFonts w:ascii="宋体" w:hAnsi="宋体" w:cs="宋体"/>
        </w:rPr>
        <w:t>）申购金额</w:t>
      </w:r>
      <w:r>
        <w:rPr>
          <w:rFonts w:ascii="宋体" w:hAnsi="宋体" w:cs="宋体"/>
        </w:rPr>
        <w:cr/>
        <w:t xml:space="preserve">    </w:t>
      </w:r>
      <w:r>
        <w:rPr>
          <w:rFonts w:ascii="宋体" w:hAnsi="宋体" w:cs="宋体"/>
        </w:rPr>
        <w:t>投资者可与各销售机构约定每期申购金额，每期最低</w:t>
      </w:r>
      <w:r>
        <w:rPr>
          <w:rFonts w:ascii="宋体" w:hAnsi="宋体" w:cs="宋体"/>
        </w:rPr>
        <w:t>扣款金额为人民币</w:t>
      </w:r>
      <w:r>
        <w:rPr>
          <w:rFonts w:ascii="宋体" w:hAnsi="宋体" w:cs="宋体"/>
        </w:rPr>
        <w:t>100</w:t>
      </w:r>
      <w:r>
        <w:rPr>
          <w:rFonts w:ascii="宋体" w:hAnsi="宋体" w:cs="宋体"/>
        </w:rPr>
        <w:t>元（含费），不设金额级差。</w:t>
      </w:r>
      <w:r>
        <w:rPr>
          <w:rFonts w:ascii="宋体" w:hAnsi="宋体" w:cs="宋体"/>
        </w:rPr>
        <w:cr/>
        <w:t xml:space="preserve">    </w:t>
      </w:r>
      <w:r>
        <w:rPr>
          <w:rFonts w:ascii="宋体" w:hAnsi="宋体" w:cs="宋体"/>
        </w:rPr>
        <w:t>投资者在各销售机构办理基金定期定额业务时，除需满足上述最低扣款金额外，还需遵循相关销售机构的设定。</w:t>
      </w:r>
      <w:r>
        <w:rPr>
          <w:rFonts w:ascii="宋体" w:hAnsi="宋体" w:cs="宋体"/>
        </w:rPr>
        <w:cr/>
        <w:t xml:space="preserve">    </w:t>
      </w:r>
      <w:r>
        <w:rPr>
          <w:rFonts w:ascii="宋体" w:hAnsi="宋体" w:cs="宋体"/>
        </w:rPr>
        <w:t>投资者应与相关销售机构约定扣款日期。销售机构将按照投资者申请时约定的每期扣款日、申购金额扣款，若遇非基金开放日则以销售机构的相关规定为准，并将投资者申购的实际扣款日期视为基金申购申请日（</w:t>
      </w:r>
      <w:r>
        <w:rPr>
          <w:rFonts w:ascii="宋体" w:hAnsi="宋体" w:cs="宋体"/>
        </w:rPr>
        <w:t>T</w:t>
      </w:r>
      <w:r>
        <w:rPr>
          <w:rFonts w:ascii="宋体" w:hAnsi="宋体" w:cs="宋体"/>
        </w:rPr>
        <w:t>日）。</w:t>
      </w:r>
      <w:r>
        <w:rPr>
          <w:rFonts w:ascii="宋体" w:hAnsi="宋体" w:cs="宋体"/>
        </w:rPr>
        <w:t xml:space="preserve"> </w:t>
      </w:r>
      <w:r>
        <w:rPr>
          <w:rFonts w:ascii="宋体" w:hAnsi="宋体" w:cs="宋体"/>
        </w:rPr>
        <w:cr/>
        <w:t xml:space="preserve">    </w:t>
      </w:r>
      <w:r>
        <w:rPr>
          <w:rFonts w:ascii="宋体" w:hAnsi="宋体" w:cs="宋体"/>
        </w:rPr>
        <w:t>投资者需指定相关销售机构认可的资金账户作为每期固定扣款账户。</w:t>
      </w:r>
      <w:r>
        <w:rPr>
          <w:rFonts w:ascii="宋体" w:hAnsi="宋体" w:cs="宋体"/>
        </w:rPr>
        <w:cr/>
        <w:t xml:space="preserve">    </w:t>
      </w:r>
      <w:r>
        <w:rPr>
          <w:rFonts w:ascii="宋体" w:hAnsi="宋体" w:cs="宋体"/>
        </w:rPr>
        <w:t>（</w:t>
      </w:r>
      <w:r>
        <w:rPr>
          <w:rFonts w:ascii="宋体" w:hAnsi="宋体" w:cs="宋体"/>
        </w:rPr>
        <w:t>5</w:t>
      </w:r>
      <w:r>
        <w:rPr>
          <w:rFonts w:ascii="宋体" w:hAnsi="宋体" w:cs="宋体"/>
        </w:rPr>
        <w:t>）定期定额投资费率</w:t>
      </w:r>
      <w:r>
        <w:rPr>
          <w:rFonts w:ascii="宋体" w:hAnsi="宋体" w:cs="宋体"/>
        </w:rPr>
        <w:t xml:space="preserve"> </w:t>
      </w:r>
      <w:r>
        <w:rPr>
          <w:rFonts w:ascii="宋体" w:hAnsi="宋体" w:cs="宋体"/>
        </w:rPr>
        <w:cr/>
        <w:t xml:space="preserve">    </w:t>
      </w:r>
      <w:r>
        <w:rPr>
          <w:rFonts w:ascii="宋体" w:hAnsi="宋体" w:cs="宋体"/>
        </w:rPr>
        <w:t>若无另行公告，定期定额投资费率及计费</w:t>
      </w:r>
      <w:r>
        <w:rPr>
          <w:rFonts w:ascii="宋体" w:hAnsi="宋体" w:cs="宋体"/>
        </w:rPr>
        <w:t>方式与一般的申购业务相同。</w:t>
      </w:r>
      <w:r>
        <w:rPr>
          <w:rFonts w:ascii="宋体" w:hAnsi="宋体" w:cs="宋体"/>
        </w:rPr>
        <w:cr/>
        <w:t xml:space="preserve">    </w:t>
      </w:r>
      <w:r>
        <w:rPr>
          <w:rFonts w:ascii="宋体" w:hAnsi="宋体" w:cs="宋体"/>
        </w:rPr>
        <w:t>本基金在非直销销售机构开展的定期定额投资费率优惠活动情况请查阅本公司或非直销销售机构的相关公告或通知。定期定额投资业务的其他具体办理程序请遵循各销售机构的有关规定。</w:t>
      </w:r>
      <w:r>
        <w:rPr>
          <w:rFonts w:ascii="宋体" w:hAnsi="宋体" w:cs="宋体"/>
        </w:rPr>
        <w:cr/>
        <w:t xml:space="preserve">    </w:t>
      </w:r>
      <w:r>
        <w:rPr>
          <w:rFonts w:ascii="宋体" w:hAnsi="宋体" w:cs="宋体"/>
        </w:rPr>
        <w:t>（</w:t>
      </w:r>
      <w:r>
        <w:rPr>
          <w:rFonts w:ascii="宋体" w:hAnsi="宋体" w:cs="宋体"/>
        </w:rPr>
        <w:t>6</w:t>
      </w:r>
      <w:r>
        <w:rPr>
          <w:rFonts w:ascii="宋体" w:hAnsi="宋体" w:cs="宋体"/>
        </w:rPr>
        <w:t>）扣款和交易确认</w:t>
      </w:r>
      <w:r>
        <w:rPr>
          <w:rFonts w:ascii="宋体" w:hAnsi="宋体" w:cs="宋体"/>
        </w:rPr>
        <w:t xml:space="preserve"> </w:t>
      </w:r>
      <w:r>
        <w:rPr>
          <w:rFonts w:ascii="宋体" w:hAnsi="宋体" w:cs="宋体"/>
        </w:rPr>
        <w:cr/>
        <w:t xml:space="preserve">    </w:t>
      </w:r>
      <w:r>
        <w:rPr>
          <w:rFonts w:ascii="宋体" w:hAnsi="宋体" w:cs="宋体"/>
        </w:rPr>
        <w:t>基金的登记机构按照基金申购申请日（</w:t>
      </w:r>
      <w:r>
        <w:rPr>
          <w:rFonts w:ascii="宋体" w:hAnsi="宋体" w:cs="宋体"/>
        </w:rPr>
        <w:t>T</w:t>
      </w:r>
      <w:r>
        <w:rPr>
          <w:rFonts w:ascii="宋体" w:hAnsi="宋体" w:cs="宋体"/>
        </w:rPr>
        <w:t>日）的基金份额净值为基准计算申购份额。申购份额将在</w:t>
      </w:r>
      <w:r>
        <w:rPr>
          <w:rFonts w:ascii="宋体" w:hAnsi="宋体" w:cs="宋体"/>
        </w:rPr>
        <w:t>T</w:t>
      </w:r>
      <w:r>
        <w:rPr>
          <w:rFonts w:ascii="宋体" w:hAnsi="宋体" w:cs="宋体"/>
        </w:rPr>
        <w:t>＋</w:t>
      </w:r>
      <w:r>
        <w:rPr>
          <w:rFonts w:ascii="宋体" w:hAnsi="宋体" w:cs="宋体"/>
        </w:rPr>
        <w:t>1</w:t>
      </w:r>
      <w:r>
        <w:rPr>
          <w:rFonts w:ascii="宋体" w:hAnsi="宋体" w:cs="宋体"/>
        </w:rPr>
        <w:t>日进行确认，投资者可自</w:t>
      </w:r>
      <w:r>
        <w:rPr>
          <w:rFonts w:ascii="宋体" w:hAnsi="宋体" w:cs="宋体"/>
        </w:rPr>
        <w:t>T+2</w:t>
      </w:r>
      <w:r>
        <w:rPr>
          <w:rFonts w:ascii="宋体" w:hAnsi="宋体" w:cs="宋体"/>
        </w:rPr>
        <w:t>日起查询申购成交情况。</w:t>
      </w:r>
      <w:r>
        <w:rPr>
          <w:rFonts w:ascii="宋体" w:hAnsi="宋体" w:cs="宋体"/>
        </w:rPr>
        <w:cr/>
        <w:t xml:space="preserve">    </w:t>
      </w:r>
      <w:r>
        <w:rPr>
          <w:rFonts w:ascii="宋体" w:hAnsi="宋体" w:cs="宋体"/>
        </w:rPr>
        <w:t>（</w:t>
      </w:r>
      <w:r>
        <w:rPr>
          <w:rFonts w:ascii="宋体" w:hAnsi="宋体" w:cs="宋体"/>
        </w:rPr>
        <w:t>7</w:t>
      </w:r>
      <w:r>
        <w:rPr>
          <w:rFonts w:ascii="宋体" w:hAnsi="宋体" w:cs="宋体"/>
        </w:rPr>
        <w:t>）变更与解约</w:t>
      </w:r>
      <w:r>
        <w:rPr>
          <w:rFonts w:ascii="宋体" w:hAnsi="宋体" w:cs="宋体"/>
        </w:rPr>
        <w:t xml:space="preserve"> </w:t>
      </w:r>
      <w:r>
        <w:rPr>
          <w:rFonts w:ascii="宋体" w:hAnsi="宋体" w:cs="宋体"/>
        </w:rPr>
        <w:cr/>
        <w:t xml:space="preserve">    </w:t>
      </w:r>
      <w:r>
        <w:rPr>
          <w:rFonts w:ascii="宋体" w:hAnsi="宋体" w:cs="宋体"/>
        </w:rPr>
        <w:t>如果投资者变更每期申购金额、扣款日期、扣款方式或者终止定期定额业务，请遵循销售机构的相关规</w:t>
      </w:r>
      <w:r>
        <w:rPr>
          <w:rFonts w:ascii="宋体" w:hAnsi="宋体" w:cs="宋体"/>
        </w:rPr>
        <w:t>定。</w:t>
      </w:r>
    </w:p>
    <w:p w:rsidR="00EB665A" w:rsidRDefault="00B50FE2">
      <w:pPr>
        <w:pStyle w:val="1"/>
      </w:pPr>
      <w:r>
        <w:rPr>
          <w:rFonts w:ascii="宋体" w:hAnsi="宋体" w:cs="宋体"/>
        </w:rPr>
        <w:t xml:space="preserve">7 </w:t>
      </w:r>
      <w:r>
        <w:rPr>
          <w:rFonts w:ascii="宋体" w:hAnsi="宋体" w:cs="宋体"/>
        </w:rPr>
        <w:t>基金销售机构</w:t>
      </w:r>
    </w:p>
    <w:p w:rsidR="00EB665A" w:rsidRDefault="00EB665A"/>
    <w:p w:rsidR="00EB665A" w:rsidRDefault="00B50FE2">
      <w:pPr>
        <w:pStyle w:val="2"/>
      </w:pPr>
      <w:r>
        <w:rPr>
          <w:rFonts w:ascii="宋体" w:hAnsi="宋体" w:cs="宋体"/>
        </w:rPr>
        <w:t xml:space="preserve">7.1 </w:t>
      </w:r>
      <w:r>
        <w:rPr>
          <w:rFonts w:ascii="宋体" w:hAnsi="宋体" w:cs="宋体"/>
        </w:rPr>
        <w:t>场外销售机构</w:t>
      </w:r>
    </w:p>
    <w:p w:rsidR="00EB665A" w:rsidRDefault="00B50FE2">
      <w:r>
        <w:rPr>
          <w:rFonts w:ascii="宋体" w:hAnsi="宋体" w:cs="宋体"/>
          <w:b/>
        </w:rPr>
        <w:t xml:space="preserve">7.1.1 </w:t>
      </w:r>
      <w:r>
        <w:rPr>
          <w:rFonts w:ascii="宋体" w:hAnsi="宋体" w:cs="宋体"/>
          <w:b/>
        </w:rPr>
        <w:t>直销机构</w:t>
      </w:r>
    </w:p>
    <w:p w:rsidR="00EB665A" w:rsidRDefault="00B50FE2">
      <w:pPr>
        <w:jc w:val="left"/>
      </w:pPr>
      <w:r>
        <w:rPr>
          <w:rFonts w:ascii="宋体" w:hAnsi="宋体" w:cs="宋体"/>
        </w:rPr>
        <w:t xml:space="preserve">    </w:t>
      </w:r>
      <w:r>
        <w:rPr>
          <w:rFonts w:ascii="宋体" w:hAnsi="宋体" w:cs="宋体"/>
        </w:rPr>
        <w:t>名称：财信基金管理有限公司</w:t>
      </w:r>
      <w:r>
        <w:rPr>
          <w:rFonts w:ascii="宋体" w:hAnsi="宋体" w:cs="宋体"/>
        </w:rPr>
        <w:cr/>
        <w:t xml:space="preserve">    </w:t>
      </w:r>
      <w:r>
        <w:rPr>
          <w:rFonts w:ascii="宋体" w:hAnsi="宋体" w:cs="宋体"/>
        </w:rPr>
        <w:t>住所及办公地址：湖南省长沙市岳麓区观沙岭街道滨江路</w:t>
      </w:r>
      <w:r>
        <w:rPr>
          <w:rFonts w:ascii="宋体" w:hAnsi="宋体" w:cs="宋体"/>
        </w:rPr>
        <w:t>188</w:t>
      </w:r>
      <w:r>
        <w:rPr>
          <w:rFonts w:ascii="宋体" w:hAnsi="宋体" w:cs="宋体"/>
        </w:rPr>
        <w:t>号滨江基金产业园</w:t>
      </w:r>
      <w:r>
        <w:rPr>
          <w:rFonts w:ascii="宋体" w:hAnsi="宋体" w:cs="宋体"/>
        </w:rPr>
        <w:t>3</w:t>
      </w:r>
      <w:r>
        <w:rPr>
          <w:rFonts w:ascii="宋体" w:hAnsi="宋体" w:cs="宋体"/>
        </w:rPr>
        <w:t>栋</w:t>
      </w:r>
      <w:r>
        <w:rPr>
          <w:rFonts w:ascii="宋体" w:hAnsi="宋体" w:cs="宋体"/>
        </w:rPr>
        <w:t>201</w:t>
      </w:r>
      <w:r>
        <w:rPr>
          <w:rFonts w:ascii="宋体" w:hAnsi="宋体" w:cs="宋体"/>
        </w:rPr>
        <w:t>和</w:t>
      </w:r>
      <w:r>
        <w:rPr>
          <w:rFonts w:ascii="宋体" w:hAnsi="宋体" w:cs="宋体"/>
        </w:rPr>
        <w:t>3</w:t>
      </w:r>
      <w:r>
        <w:rPr>
          <w:rFonts w:ascii="宋体" w:hAnsi="宋体" w:cs="宋体"/>
        </w:rPr>
        <w:t>栋</w:t>
      </w:r>
      <w:r>
        <w:rPr>
          <w:rFonts w:ascii="宋体" w:hAnsi="宋体" w:cs="宋体"/>
        </w:rPr>
        <w:t>301</w:t>
      </w:r>
      <w:r>
        <w:rPr>
          <w:rFonts w:ascii="宋体" w:hAnsi="宋体" w:cs="宋体"/>
        </w:rPr>
        <w:cr/>
        <w:t xml:space="preserve">    </w:t>
      </w:r>
      <w:r>
        <w:rPr>
          <w:rFonts w:ascii="宋体" w:hAnsi="宋体" w:cs="宋体"/>
        </w:rPr>
        <w:t>法定代表人：龙海彧</w:t>
      </w:r>
      <w:r>
        <w:rPr>
          <w:rFonts w:ascii="宋体" w:hAnsi="宋体" w:cs="宋体"/>
        </w:rPr>
        <w:cr/>
        <w:t xml:space="preserve">    </w:t>
      </w:r>
      <w:r>
        <w:rPr>
          <w:rFonts w:ascii="宋体" w:hAnsi="宋体" w:cs="宋体"/>
        </w:rPr>
        <w:t>联系电话：</w:t>
      </w:r>
      <w:r>
        <w:rPr>
          <w:rFonts w:ascii="宋体" w:hAnsi="宋体" w:cs="宋体"/>
        </w:rPr>
        <w:t>0731-81610981</w:t>
      </w:r>
      <w:r>
        <w:rPr>
          <w:rFonts w:ascii="宋体" w:hAnsi="宋体" w:cs="宋体"/>
        </w:rPr>
        <w:cr/>
        <w:t xml:space="preserve">    </w:t>
      </w:r>
      <w:r>
        <w:rPr>
          <w:rFonts w:ascii="宋体" w:hAnsi="宋体" w:cs="宋体"/>
        </w:rPr>
        <w:t>联系人：任丹阳</w:t>
      </w:r>
    </w:p>
    <w:p w:rsidR="00EB665A" w:rsidRDefault="00EB665A"/>
    <w:p w:rsidR="00EB665A" w:rsidRDefault="00B50FE2">
      <w:r>
        <w:rPr>
          <w:rFonts w:ascii="宋体" w:hAnsi="宋体" w:cs="宋体"/>
          <w:b/>
        </w:rPr>
        <w:t xml:space="preserve">7.1.2 </w:t>
      </w:r>
      <w:r>
        <w:rPr>
          <w:rFonts w:ascii="宋体" w:hAnsi="宋体" w:cs="宋体"/>
          <w:b/>
        </w:rPr>
        <w:t>场外非直销机构</w:t>
      </w:r>
    </w:p>
    <w:p w:rsidR="00EB665A" w:rsidRDefault="00B50FE2">
      <w:pPr>
        <w:jc w:val="left"/>
      </w:pPr>
      <w:r>
        <w:rPr>
          <w:rFonts w:ascii="宋体" w:hAnsi="宋体" w:cs="宋体"/>
        </w:rPr>
        <w:t xml:space="preserve">    </w:t>
      </w:r>
      <w:r>
        <w:rPr>
          <w:rFonts w:ascii="宋体" w:hAnsi="宋体" w:cs="宋体"/>
        </w:rPr>
        <w:t>其他销售机构情况详见基金管理人网站列示。</w:t>
      </w:r>
      <w:r>
        <w:rPr>
          <w:rFonts w:ascii="宋体" w:hAnsi="宋体" w:cs="宋体"/>
        </w:rPr>
        <w:cr/>
        <w:t xml:space="preserve">    </w:t>
      </w:r>
      <w:r>
        <w:rPr>
          <w:rFonts w:ascii="宋体" w:hAnsi="宋体" w:cs="宋体"/>
        </w:rPr>
        <w:t>基金管理人可以根据相关法律法规要求，选择其他符合要求的其他机构销售本基金，或根据情况变更或增减销售机构，并在基金管理</w:t>
      </w:r>
      <w:r>
        <w:rPr>
          <w:rFonts w:ascii="宋体" w:hAnsi="宋体" w:cs="宋体"/>
        </w:rPr>
        <w:t>人网站公示。</w:t>
      </w:r>
    </w:p>
    <w:p w:rsidR="00EB665A" w:rsidRDefault="00B50FE2">
      <w:pPr>
        <w:pStyle w:val="1"/>
      </w:pPr>
      <w:r>
        <w:rPr>
          <w:rFonts w:ascii="宋体" w:hAnsi="宋体" w:cs="宋体"/>
        </w:rPr>
        <w:t xml:space="preserve">8 </w:t>
      </w:r>
      <w:r>
        <w:rPr>
          <w:rFonts w:ascii="宋体" w:hAnsi="宋体" w:cs="宋体"/>
        </w:rPr>
        <w:t>基金份额净值公告</w:t>
      </w:r>
      <w:r>
        <w:rPr>
          <w:rFonts w:ascii="宋体" w:hAnsi="宋体" w:cs="宋体"/>
        </w:rPr>
        <w:t>/</w:t>
      </w:r>
      <w:r>
        <w:rPr>
          <w:rFonts w:ascii="宋体" w:hAnsi="宋体" w:cs="宋体"/>
        </w:rPr>
        <w:t>基金收益公告的披露安排</w:t>
      </w:r>
    </w:p>
    <w:p w:rsidR="00EB665A" w:rsidRDefault="00B50FE2">
      <w:pPr>
        <w:jc w:val="left"/>
      </w:pPr>
      <w:r>
        <w:rPr>
          <w:rFonts w:ascii="宋体" w:hAnsi="宋体" w:cs="宋体"/>
        </w:rPr>
        <w:t xml:space="preserve">    </w:t>
      </w:r>
      <w:r>
        <w:rPr>
          <w:rFonts w:ascii="宋体" w:hAnsi="宋体" w:cs="宋体"/>
        </w:rPr>
        <w:t>在开始办理基金份额申购或者赎回后，基金管理人应当在不晚于每个开放日的次日，通过规定网站、销售机构网站或营业网点披露开放日的各类基金份额净值和各类基金份额累计净值。</w:t>
      </w:r>
      <w:r>
        <w:rPr>
          <w:rFonts w:ascii="宋体" w:hAnsi="宋体" w:cs="宋体"/>
        </w:rPr>
        <w:cr/>
        <w:t xml:space="preserve">    </w:t>
      </w:r>
      <w:r>
        <w:rPr>
          <w:rFonts w:ascii="宋体" w:hAnsi="宋体" w:cs="宋体"/>
        </w:rPr>
        <w:t>基金管理人应当在不晚于半年度和年度最后一日的次日，在规定网站披露半年度和年度最后一日的各类基金份额净值和各类基金份额累计净值。</w:t>
      </w:r>
      <w:r>
        <w:rPr>
          <w:rFonts w:ascii="宋体" w:hAnsi="宋体" w:cs="宋体"/>
        </w:rPr>
        <w:cr/>
        <w:t xml:space="preserve">    </w:t>
      </w:r>
      <w:r>
        <w:rPr>
          <w:rFonts w:ascii="宋体" w:hAnsi="宋体" w:cs="宋体"/>
        </w:rPr>
        <w:t>遇特殊情况，经履行适当程序，可以适当延迟计算或公告。</w:t>
      </w:r>
    </w:p>
    <w:p w:rsidR="00EB665A" w:rsidRDefault="00B50FE2">
      <w:pPr>
        <w:pStyle w:val="1"/>
      </w:pPr>
      <w:r>
        <w:rPr>
          <w:rFonts w:ascii="宋体" w:hAnsi="宋体" w:cs="宋体"/>
        </w:rPr>
        <w:t xml:space="preserve">9 </w:t>
      </w:r>
      <w:r>
        <w:rPr>
          <w:rFonts w:ascii="宋体" w:hAnsi="宋体" w:cs="宋体"/>
        </w:rPr>
        <w:t>其他需要提示的事项</w:t>
      </w:r>
    </w:p>
    <w:p w:rsidR="00EB665A" w:rsidRDefault="00B50FE2">
      <w:pPr>
        <w:jc w:val="left"/>
      </w:pPr>
      <w:r>
        <w:rPr>
          <w:rFonts w:ascii="宋体" w:hAnsi="宋体" w:cs="宋体"/>
        </w:rPr>
        <w:t xml:space="preserve">    </w:t>
      </w:r>
      <w:r>
        <w:rPr>
          <w:rFonts w:ascii="宋体" w:hAnsi="宋体" w:cs="宋体"/>
        </w:rPr>
        <w:t>本公告仅对本基金开放日常赎回和转换转出业务的有关事</w:t>
      </w:r>
      <w:r>
        <w:rPr>
          <w:rFonts w:ascii="宋体" w:hAnsi="宋体" w:cs="宋体"/>
        </w:rPr>
        <w:t>项予以说明。</w:t>
      </w:r>
      <w:r>
        <w:rPr>
          <w:rFonts w:ascii="宋体" w:hAnsi="宋体" w:cs="宋体"/>
        </w:rPr>
        <w:cr/>
        <w:t xml:space="preserve">    </w:t>
      </w:r>
      <w:r>
        <w:rPr>
          <w:rFonts w:ascii="宋体" w:hAnsi="宋体" w:cs="宋体"/>
        </w:rPr>
        <w:t>投资者欲了解本基金的详细情况，请详细阅读《财信均衡致远混合型发起式证券投资基金基金合同》《财信均衡致远混合型发起式证券投资基金招募说明书》等法律文件。</w:t>
      </w:r>
      <w:r>
        <w:rPr>
          <w:rFonts w:ascii="宋体" w:hAnsi="宋体" w:cs="宋体"/>
        </w:rPr>
        <w:t xml:space="preserve"> </w:t>
      </w:r>
      <w:r>
        <w:rPr>
          <w:rFonts w:ascii="宋体" w:hAnsi="宋体" w:cs="宋体"/>
        </w:rPr>
        <w:cr/>
        <w:t xml:space="preserve">    </w:t>
      </w:r>
      <w:r>
        <w:rPr>
          <w:rFonts w:ascii="宋体" w:hAnsi="宋体" w:cs="宋体"/>
        </w:rPr>
        <w:t>投资者亦可拨打本公司的客户服务电话：</w:t>
      </w:r>
      <w:r>
        <w:rPr>
          <w:rFonts w:ascii="宋体" w:hAnsi="宋体" w:cs="宋体"/>
        </w:rPr>
        <w:t>400-036-6770</w:t>
      </w:r>
      <w:r>
        <w:rPr>
          <w:rFonts w:ascii="宋体" w:hAnsi="宋体" w:cs="宋体"/>
        </w:rPr>
        <w:t>或登录本公司网站</w:t>
      </w:r>
      <w:r>
        <w:rPr>
          <w:rFonts w:ascii="宋体" w:hAnsi="宋体" w:cs="宋体"/>
        </w:rPr>
        <w:t>https://mfund.hnchasing.com</w:t>
      </w:r>
      <w:r>
        <w:rPr>
          <w:rFonts w:ascii="宋体" w:hAnsi="宋体" w:cs="宋体"/>
        </w:rPr>
        <w:t>了解相关情况。</w:t>
      </w:r>
      <w:r>
        <w:rPr>
          <w:rFonts w:ascii="宋体" w:hAnsi="宋体" w:cs="宋体"/>
        </w:rPr>
        <w:t xml:space="preserve"> </w:t>
      </w:r>
      <w:r>
        <w:rPr>
          <w:rFonts w:ascii="宋体" w:hAnsi="宋体" w:cs="宋体"/>
        </w:rPr>
        <w:cr/>
        <w:t xml:space="preserve">    </w:t>
      </w:r>
      <w:r>
        <w:rPr>
          <w:rFonts w:ascii="宋体" w:hAnsi="宋体" w:cs="宋体"/>
        </w:rPr>
        <w:t>风险提示：基金管理人承诺以诚实信用、勤勉尽责的原则管理和运用基金资产，但不保证基金一定盈利，也不保证最低收益。销售机构根据法规要求对投资者类别、风险承受能力和基金的风险等级</w:t>
      </w:r>
      <w:r>
        <w:rPr>
          <w:rFonts w:ascii="宋体" w:hAnsi="宋体" w:cs="宋体"/>
        </w:rPr>
        <w:t>进行划分，并提出适当性匹配意见。投资者投资本公司旗下基金时应认真阅读基金的基金产品资料概要、《基金合同》和《招募说明书》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rFonts w:ascii="宋体" w:hAnsi="宋体" w:cs="宋体"/>
        </w:rPr>
        <w:t>“</w:t>
      </w:r>
      <w:r>
        <w:rPr>
          <w:rFonts w:ascii="宋体" w:hAnsi="宋体" w:cs="宋体"/>
        </w:rPr>
        <w:t>买者自负</w:t>
      </w:r>
      <w:r>
        <w:rPr>
          <w:rFonts w:ascii="宋体" w:hAnsi="宋体" w:cs="宋体"/>
        </w:rPr>
        <w:t>”</w:t>
      </w:r>
      <w:r>
        <w:rPr>
          <w:rFonts w:ascii="宋体" w:hAnsi="宋体" w:cs="宋体"/>
        </w:rPr>
        <w:t>原则，在投资者作出投资决策后，基金运营状况与基金净值变化引致的投资风险，由投资者自行负责。</w:t>
      </w:r>
    </w:p>
    <w:p w:rsidR="00EB665A" w:rsidRDefault="00EB665A"/>
    <w:p w:rsidR="00EB665A" w:rsidRDefault="00B50FE2">
      <w:pPr>
        <w:jc w:val="right"/>
      </w:pPr>
      <w:r>
        <w:rPr>
          <w:rFonts w:ascii="宋体" w:hAnsi="宋体" w:cs="宋体"/>
        </w:rPr>
        <w:t>财信基金管理有限公司</w:t>
      </w:r>
    </w:p>
    <w:p w:rsidR="00EB665A" w:rsidRDefault="00B50FE2">
      <w:pPr>
        <w:jc w:val="right"/>
      </w:pPr>
      <w:r>
        <w:rPr>
          <w:rFonts w:ascii="宋体" w:hAnsi="宋体" w:cs="宋体"/>
        </w:rPr>
        <w:t>2026</w:t>
      </w:r>
      <w:r>
        <w:rPr>
          <w:rFonts w:ascii="宋体" w:hAnsi="宋体" w:cs="宋体"/>
        </w:rPr>
        <w:t>年</w:t>
      </w:r>
      <w:r>
        <w:rPr>
          <w:rFonts w:ascii="宋体" w:hAnsi="宋体" w:cs="宋体"/>
        </w:rPr>
        <w:t>03</w:t>
      </w:r>
      <w:r>
        <w:rPr>
          <w:rFonts w:ascii="宋体" w:hAnsi="宋体" w:cs="宋体"/>
        </w:rPr>
        <w:t>月</w:t>
      </w:r>
      <w:r>
        <w:rPr>
          <w:rFonts w:ascii="宋体" w:hAnsi="宋体" w:cs="宋体"/>
        </w:rPr>
        <w:t>04</w:t>
      </w:r>
      <w:r>
        <w:rPr>
          <w:rFonts w:ascii="宋体" w:hAnsi="宋体" w:cs="宋体"/>
        </w:rPr>
        <w:t>日</w:t>
      </w:r>
    </w:p>
    <w:sectPr w:rsidR="00EB665A" w:rsidSect="00EB665A">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65A" w:rsidRDefault="00B50FE2">
      <w:pPr>
        <w:spacing w:line="240" w:lineRule="auto"/>
      </w:pPr>
      <w:r>
        <w:separator/>
      </w:r>
    </w:p>
  </w:endnote>
  <w:endnote w:type="continuationSeparator" w:id="0">
    <w:p w:rsidR="00EB665A" w:rsidRDefault="00B50F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default"/>
    <w:sig w:usb0="A00002BF"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65A" w:rsidRDefault="00EB665A" w:rsidP="00B50FE2">
    <w:pPr>
      <w:pStyle w:val="a8"/>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65A" w:rsidRDefault="00EB665A">
    <w:pPr>
      <w:pBdr>
        <w:top w:val="none" w:sz="0" w:space="1" w:color="auto"/>
        <w:left w:val="none" w:sz="0" w:space="4" w:color="auto"/>
        <w:bottom w:val="none" w:sz="0" w:space="1" w:color="auto"/>
        <w:right w:val="none" w:sz="0" w:space="4" w:color="auto"/>
      </w:pBdr>
      <w:tabs>
        <w:tab w:val="right" w:pos="8640"/>
      </w:tabs>
      <w:textAlignment w:val="center"/>
      <w:rPr>
        <w:rFonts w:ascii="宋体" w:hAnsi="宋体"/>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65A" w:rsidRDefault="00EB665A" w:rsidP="00B50FE2">
    <w:pPr>
      <w:pStyle w:val="a8"/>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65A" w:rsidRDefault="00B50FE2">
      <w:r>
        <w:separator/>
      </w:r>
    </w:p>
  </w:footnote>
  <w:footnote w:type="continuationSeparator" w:id="0">
    <w:p w:rsidR="00EB665A" w:rsidRDefault="00B50F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65A" w:rsidRDefault="00EB665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65A" w:rsidRDefault="00B50FE2">
    <w:pPr>
      <w:pBdr>
        <w:bottom w:val="none" w:sz="0" w:space="1" w:color="auto"/>
      </w:pBdr>
      <w:rPr>
        <w:rFonts w:ascii="宋体" w:hAnsi="宋体"/>
      </w:rPr>
    </w:pPr>
    <w:r>
      <w:rPr>
        <w:rFonts w:ascii="宋体" w:hAnsi="宋体"/>
      </w:rPr>
      <w:ptab w:relativeTo="margin" w:alignment="center"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65A" w:rsidRDefault="00EB665A"/>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31D8B"/>
    <w:rsid w:val="00033DD2"/>
    <w:rsid w:val="000358E9"/>
    <w:rsid w:val="00044DFE"/>
    <w:rsid w:val="000B14F1"/>
    <w:rsid w:val="000D44F1"/>
    <w:rsid w:val="000F65E0"/>
    <w:rsid w:val="00136A1E"/>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55A5F"/>
    <w:rsid w:val="003B643E"/>
    <w:rsid w:val="003E01BE"/>
    <w:rsid w:val="003E7B21"/>
    <w:rsid w:val="00420D84"/>
    <w:rsid w:val="00422907"/>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0FE2"/>
    <w:rsid w:val="00B53886"/>
    <w:rsid w:val="00B659D3"/>
    <w:rsid w:val="00BD2190"/>
    <w:rsid w:val="00BD2BC1"/>
    <w:rsid w:val="00C05CA1"/>
    <w:rsid w:val="00C06BEF"/>
    <w:rsid w:val="00C15EFA"/>
    <w:rsid w:val="00C563A3"/>
    <w:rsid w:val="00C6706A"/>
    <w:rsid w:val="00C84B5D"/>
    <w:rsid w:val="00C90B80"/>
    <w:rsid w:val="00CC4CE4"/>
    <w:rsid w:val="00D04B24"/>
    <w:rsid w:val="00D91EBF"/>
    <w:rsid w:val="00DC5E2B"/>
    <w:rsid w:val="00DE3FE0"/>
    <w:rsid w:val="00DF1D38"/>
    <w:rsid w:val="00E220FA"/>
    <w:rsid w:val="00E24BF6"/>
    <w:rsid w:val="00E34F85"/>
    <w:rsid w:val="00E371F8"/>
    <w:rsid w:val="00E913D3"/>
    <w:rsid w:val="00EB665A"/>
    <w:rsid w:val="00F1496B"/>
    <w:rsid w:val="00F17E43"/>
    <w:rsid w:val="00F32DCB"/>
    <w:rsid w:val="00F60A22"/>
    <w:rsid w:val="00F819EF"/>
    <w:rsid w:val="00F931A0"/>
    <w:rsid w:val="00F935C5"/>
    <w:rsid w:val="00FA0949"/>
    <w:rsid w:val="00FC4DE5"/>
    <w:rsid w:val="17FF4F08"/>
    <w:rsid w:val="1FD5A936"/>
    <w:rsid w:val="312016A7"/>
    <w:rsid w:val="328572ED"/>
    <w:rsid w:val="3E9A1429"/>
    <w:rsid w:val="3EEE1DDF"/>
    <w:rsid w:val="411B20C0"/>
    <w:rsid w:val="5EE34946"/>
    <w:rsid w:val="5FEE3864"/>
    <w:rsid w:val="62671060"/>
    <w:rsid w:val="67517C74"/>
    <w:rsid w:val="791E22E2"/>
    <w:rsid w:val="7A382AC9"/>
    <w:rsid w:val="7DDDB1F9"/>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lsdException w:name="toc 3" w:semiHidden="0" w:uiPriority="39" w:qFormat="1"/>
    <w:lsdException w:name="toc 4" w:semiHidden="0" w:uiPriority="39"/>
    <w:lsdException w:name="toc 5" w:semiHidden="0" w:uiPriority="39"/>
    <w:lsdException w:name="toc 6" w:semiHidden="0" w:uiPriority="39"/>
    <w:lsdException w:name="toc 7" w:semiHidden="0" w:uiPriority="39"/>
    <w:lsdException w:name="toc 8" w:semiHidden="0" w:uiPriority="39" w:qFormat="1"/>
    <w:lsdException w:name="toc 9" w:semiHidden="0" w:uiPriority="39"/>
    <w:lsdException w:name="Normal Indent"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65A"/>
    <w:pPr>
      <w:widowControl w:val="0"/>
      <w:spacing w:line="288" w:lineRule="auto"/>
      <w:jc w:val="both"/>
    </w:pPr>
    <w:rPr>
      <w:rFonts w:eastAsia="宋体"/>
      <w:kern w:val="2"/>
      <w:sz w:val="21"/>
      <w:szCs w:val="21"/>
    </w:rPr>
  </w:style>
  <w:style w:type="paragraph" w:styleId="1">
    <w:name w:val="heading 1"/>
    <w:basedOn w:val="a"/>
    <w:next w:val="a"/>
    <w:link w:val="1Char"/>
    <w:uiPriority w:val="9"/>
    <w:qFormat/>
    <w:rsid w:val="00EB665A"/>
    <w:pPr>
      <w:adjustRightInd w:val="0"/>
      <w:spacing w:line="360" w:lineRule="auto"/>
      <w:jc w:val="left"/>
      <w:outlineLvl w:val="0"/>
    </w:pPr>
    <w:rPr>
      <w:b/>
      <w:bCs/>
      <w:sz w:val="24"/>
      <w:szCs w:val="44"/>
    </w:rPr>
  </w:style>
  <w:style w:type="paragraph" w:styleId="2">
    <w:name w:val="heading 2"/>
    <w:basedOn w:val="a"/>
    <w:next w:val="a"/>
    <w:link w:val="2Char"/>
    <w:uiPriority w:val="9"/>
    <w:unhideWhenUsed/>
    <w:qFormat/>
    <w:rsid w:val="00EB665A"/>
    <w:pPr>
      <w:adjustRightInd w:val="0"/>
      <w:spacing w:line="360" w:lineRule="auto"/>
      <w:jc w:val="left"/>
      <w:outlineLvl w:val="1"/>
    </w:pPr>
    <w:rPr>
      <w:rFonts w:asciiTheme="majorHAnsi" w:hAnsiTheme="majorHAnsi" w:cstheme="majorBidi"/>
      <w:b/>
      <w:bCs/>
      <w:sz w:val="24"/>
      <w:szCs w:val="32"/>
    </w:rPr>
  </w:style>
  <w:style w:type="paragraph" w:styleId="3">
    <w:name w:val="heading 3"/>
    <w:basedOn w:val="a"/>
    <w:next w:val="a"/>
    <w:link w:val="3Char"/>
    <w:uiPriority w:val="9"/>
    <w:unhideWhenUsed/>
    <w:qFormat/>
    <w:rsid w:val="00EB665A"/>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EB66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rsid w:val="00EB665A"/>
    <w:pPr>
      <w:ind w:left="1260"/>
      <w:jc w:val="left"/>
    </w:pPr>
    <w:rPr>
      <w:sz w:val="18"/>
      <w:szCs w:val="18"/>
    </w:rPr>
  </w:style>
  <w:style w:type="paragraph" w:styleId="a3">
    <w:name w:val="Normal Indent"/>
    <w:basedOn w:val="a"/>
    <w:link w:val="Char"/>
    <w:uiPriority w:val="99"/>
    <w:semiHidden/>
    <w:unhideWhenUsed/>
    <w:qFormat/>
    <w:rsid w:val="00EB665A"/>
    <w:pPr>
      <w:ind w:firstLineChars="200" w:firstLine="420"/>
    </w:pPr>
  </w:style>
  <w:style w:type="paragraph" w:styleId="a4">
    <w:name w:val="Document Map"/>
    <w:basedOn w:val="a"/>
    <w:link w:val="Char0"/>
    <w:uiPriority w:val="99"/>
    <w:semiHidden/>
    <w:unhideWhenUsed/>
    <w:rsid w:val="00EB665A"/>
    <w:rPr>
      <w:rFonts w:ascii="宋体"/>
      <w:sz w:val="18"/>
      <w:szCs w:val="18"/>
    </w:rPr>
  </w:style>
  <w:style w:type="paragraph" w:styleId="a5">
    <w:name w:val="annotation text"/>
    <w:basedOn w:val="a"/>
    <w:link w:val="Char1"/>
    <w:uiPriority w:val="99"/>
    <w:semiHidden/>
    <w:unhideWhenUsed/>
    <w:rsid w:val="00EB665A"/>
    <w:pPr>
      <w:jc w:val="left"/>
    </w:pPr>
  </w:style>
  <w:style w:type="paragraph" w:styleId="a6">
    <w:name w:val="Body Text"/>
    <w:basedOn w:val="a"/>
    <w:link w:val="Char2"/>
    <w:uiPriority w:val="99"/>
    <w:semiHidden/>
    <w:unhideWhenUsed/>
    <w:rsid w:val="00EB665A"/>
    <w:pPr>
      <w:spacing w:after="120"/>
    </w:pPr>
  </w:style>
  <w:style w:type="paragraph" w:styleId="5">
    <w:name w:val="toc 5"/>
    <w:basedOn w:val="a"/>
    <w:next w:val="a"/>
    <w:autoRedefine/>
    <w:uiPriority w:val="39"/>
    <w:unhideWhenUsed/>
    <w:rsid w:val="00EB665A"/>
    <w:pPr>
      <w:ind w:left="840"/>
      <w:jc w:val="left"/>
    </w:pPr>
    <w:rPr>
      <w:sz w:val="18"/>
      <w:szCs w:val="18"/>
    </w:rPr>
  </w:style>
  <w:style w:type="paragraph" w:styleId="30">
    <w:name w:val="toc 3"/>
    <w:basedOn w:val="a"/>
    <w:next w:val="a"/>
    <w:autoRedefine/>
    <w:uiPriority w:val="39"/>
    <w:unhideWhenUsed/>
    <w:qFormat/>
    <w:rsid w:val="00EB665A"/>
    <w:pPr>
      <w:spacing w:line="240" w:lineRule="auto"/>
      <w:ind w:left="420"/>
      <w:jc w:val="left"/>
    </w:pPr>
    <w:rPr>
      <w:i/>
      <w:iCs/>
      <w:szCs w:val="20"/>
    </w:rPr>
  </w:style>
  <w:style w:type="paragraph" w:styleId="a7">
    <w:name w:val="Plain Text"/>
    <w:basedOn w:val="a"/>
    <w:link w:val="Char3"/>
    <w:uiPriority w:val="99"/>
    <w:semiHidden/>
    <w:unhideWhenUsed/>
    <w:qFormat/>
    <w:rsid w:val="00EB665A"/>
    <w:rPr>
      <w:rFonts w:asciiTheme="minorEastAsia" w:hAnsi="Courier New" w:cs="Courier New"/>
    </w:rPr>
  </w:style>
  <w:style w:type="paragraph" w:styleId="8">
    <w:name w:val="toc 8"/>
    <w:basedOn w:val="a"/>
    <w:next w:val="a"/>
    <w:autoRedefine/>
    <w:uiPriority w:val="39"/>
    <w:unhideWhenUsed/>
    <w:qFormat/>
    <w:rsid w:val="00EB665A"/>
    <w:pPr>
      <w:ind w:left="1470"/>
      <w:jc w:val="left"/>
    </w:pPr>
    <w:rPr>
      <w:rFonts w:eastAsiaTheme="minorHAnsi"/>
      <w:sz w:val="18"/>
      <w:szCs w:val="18"/>
    </w:rPr>
  </w:style>
  <w:style w:type="paragraph" w:styleId="a8">
    <w:name w:val="Date"/>
    <w:basedOn w:val="a"/>
    <w:next w:val="a"/>
    <w:link w:val="Char4"/>
    <w:uiPriority w:val="99"/>
    <w:semiHidden/>
    <w:unhideWhenUsed/>
    <w:rsid w:val="00EB665A"/>
    <w:pPr>
      <w:ind w:leftChars="2500" w:left="100"/>
    </w:pPr>
  </w:style>
  <w:style w:type="paragraph" w:styleId="a9">
    <w:name w:val="Balloon Text"/>
    <w:basedOn w:val="a"/>
    <w:link w:val="Char5"/>
    <w:uiPriority w:val="99"/>
    <w:semiHidden/>
    <w:unhideWhenUsed/>
    <w:rsid w:val="00EB665A"/>
    <w:rPr>
      <w:sz w:val="18"/>
      <w:szCs w:val="18"/>
    </w:rPr>
  </w:style>
  <w:style w:type="paragraph" w:styleId="aa">
    <w:name w:val="footer"/>
    <w:basedOn w:val="a"/>
    <w:link w:val="Char6"/>
    <w:uiPriority w:val="99"/>
    <w:unhideWhenUsed/>
    <w:qFormat/>
    <w:rsid w:val="00EB665A"/>
    <w:pPr>
      <w:tabs>
        <w:tab w:val="center" w:pos="4153"/>
        <w:tab w:val="right" w:pos="8306"/>
      </w:tabs>
      <w:snapToGrid w:val="0"/>
      <w:jc w:val="left"/>
    </w:pPr>
    <w:rPr>
      <w:sz w:val="18"/>
      <w:szCs w:val="18"/>
    </w:rPr>
  </w:style>
  <w:style w:type="paragraph" w:styleId="ab">
    <w:name w:val="header"/>
    <w:basedOn w:val="a"/>
    <w:link w:val="Char7"/>
    <w:uiPriority w:val="99"/>
    <w:unhideWhenUsed/>
    <w:rsid w:val="00EB665A"/>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EB665A"/>
    <w:pPr>
      <w:tabs>
        <w:tab w:val="right" w:leader="dot" w:pos="9060"/>
      </w:tabs>
      <w:spacing w:line="240" w:lineRule="auto"/>
      <w:jc w:val="left"/>
    </w:pPr>
    <w:rPr>
      <w:b/>
      <w:bCs/>
      <w:caps/>
      <w:szCs w:val="20"/>
    </w:rPr>
  </w:style>
  <w:style w:type="paragraph" w:styleId="40">
    <w:name w:val="toc 4"/>
    <w:basedOn w:val="a"/>
    <w:next w:val="a"/>
    <w:autoRedefine/>
    <w:uiPriority w:val="39"/>
    <w:unhideWhenUsed/>
    <w:rsid w:val="00EB665A"/>
    <w:pPr>
      <w:ind w:left="630"/>
      <w:jc w:val="left"/>
    </w:pPr>
    <w:rPr>
      <w:sz w:val="18"/>
      <w:szCs w:val="18"/>
    </w:rPr>
  </w:style>
  <w:style w:type="paragraph" w:styleId="6">
    <w:name w:val="toc 6"/>
    <w:basedOn w:val="a"/>
    <w:next w:val="a"/>
    <w:autoRedefine/>
    <w:uiPriority w:val="39"/>
    <w:unhideWhenUsed/>
    <w:rsid w:val="00EB665A"/>
    <w:pPr>
      <w:ind w:left="1050"/>
      <w:jc w:val="left"/>
    </w:pPr>
    <w:rPr>
      <w:sz w:val="18"/>
      <w:szCs w:val="18"/>
    </w:rPr>
  </w:style>
  <w:style w:type="paragraph" w:styleId="20">
    <w:name w:val="toc 2"/>
    <w:basedOn w:val="a"/>
    <w:next w:val="a"/>
    <w:autoRedefine/>
    <w:uiPriority w:val="39"/>
    <w:unhideWhenUsed/>
    <w:rsid w:val="00EB665A"/>
    <w:pPr>
      <w:spacing w:line="240" w:lineRule="auto"/>
      <w:ind w:left="210"/>
      <w:jc w:val="left"/>
    </w:pPr>
    <w:rPr>
      <w:smallCaps/>
      <w:szCs w:val="20"/>
    </w:rPr>
  </w:style>
  <w:style w:type="paragraph" w:styleId="9">
    <w:name w:val="toc 9"/>
    <w:basedOn w:val="a"/>
    <w:next w:val="a"/>
    <w:autoRedefine/>
    <w:uiPriority w:val="39"/>
    <w:unhideWhenUsed/>
    <w:rsid w:val="00EB665A"/>
    <w:pPr>
      <w:ind w:left="1680"/>
      <w:jc w:val="left"/>
    </w:pPr>
    <w:rPr>
      <w:rFonts w:eastAsiaTheme="minorHAnsi"/>
      <w:sz w:val="18"/>
      <w:szCs w:val="18"/>
    </w:rPr>
  </w:style>
  <w:style w:type="paragraph" w:styleId="ac">
    <w:name w:val="Normal (Web)"/>
    <w:basedOn w:val="a"/>
    <w:uiPriority w:val="99"/>
    <w:semiHidden/>
    <w:unhideWhenUsed/>
    <w:rsid w:val="00EB665A"/>
    <w:rPr>
      <w:rFonts w:ascii="Times New Roman" w:hAnsi="Times New Roman" w:cs="宋体"/>
      <w:sz w:val="24"/>
      <w:szCs w:val="24"/>
    </w:rPr>
  </w:style>
  <w:style w:type="paragraph" w:styleId="ad">
    <w:name w:val="Title"/>
    <w:basedOn w:val="a"/>
    <w:next w:val="a"/>
    <w:link w:val="Char8"/>
    <w:uiPriority w:val="10"/>
    <w:qFormat/>
    <w:rsid w:val="00EB665A"/>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5"/>
    <w:next w:val="a5"/>
    <w:link w:val="Char9"/>
    <w:uiPriority w:val="99"/>
    <w:semiHidden/>
    <w:unhideWhenUsed/>
    <w:qFormat/>
    <w:rsid w:val="00EB665A"/>
    <w:rPr>
      <w:b/>
      <w:bCs/>
    </w:rPr>
  </w:style>
  <w:style w:type="table" w:styleId="af">
    <w:name w:val="Table Grid"/>
    <w:basedOn w:val="a1"/>
    <w:uiPriority w:val="39"/>
    <w:rsid w:val="00EB665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rsid w:val="00EB665A"/>
    <w:rPr>
      <w:rFonts w:ascii="Times New Roman" w:eastAsia="宋体" w:hAnsi="Times New Roman" w:cs="Times New Roman"/>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af0">
    <w:name w:val="Strong"/>
    <w:basedOn w:val="a0"/>
    <w:uiPriority w:val="22"/>
    <w:qFormat/>
    <w:rsid w:val="00EB665A"/>
    <w:rPr>
      <w:b/>
      <w:bCs/>
    </w:rPr>
  </w:style>
  <w:style w:type="character" w:styleId="af1">
    <w:name w:val="Hyperlink"/>
    <w:basedOn w:val="a0"/>
    <w:uiPriority w:val="99"/>
    <w:unhideWhenUsed/>
    <w:rsid w:val="00EB665A"/>
    <w:rPr>
      <w:color w:val="0000FF"/>
      <w:u w:val="single"/>
    </w:rPr>
  </w:style>
  <w:style w:type="character" w:styleId="HTML">
    <w:name w:val="HTML Code"/>
    <w:basedOn w:val="a0"/>
    <w:uiPriority w:val="99"/>
    <w:semiHidden/>
    <w:unhideWhenUsed/>
    <w:rsid w:val="00EB665A"/>
    <w:rPr>
      <w:rFonts w:ascii="Courier New" w:hAnsi="Courier New" w:cs="Courier New"/>
      <w:sz w:val="20"/>
      <w:szCs w:val="20"/>
    </w:rPr>
  </w:style>
  <w:style w:type="character" w:styleId="af2">
    <w:name w:val="annotation reference"/>
    <w:basedOn w:val="a0"/>
    <w:uiPriority w:val="99"/>
    <w:semiHidden/>
    <w:unhideWhenUsed/>
    <w:rsid w:val="00EB665A"/>
    <w:rPr>
      <w:sz w:val="21"/>
      <w:szCs w:val="21"/>
    </w:rPr>
  </w:style>
  <w:style w:type="paragraph" w:customStyle="1" w:styleId="af3">
    <w:name w:val="代码样式"/>
    <w:link w:val="Chara"/>
    <w:qFormat/>
    <w:rsid w:val="00EB665A"/>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rPr>
      <w:kern w:val="2"/>
      <w:sz w:val="21"/>
      <w:szCs w:val="21"/>
    </w:rPr>
  </w:style>
  <w:style w:type="character" w:customStyle="1" w:styleId="Chara">
    <w:name w:val="代码样式 Char"/>
    <w:basedOn w:val="a0"/>
    <w:link w:val="af3"/>
    <w:qFormat/>
    <w:rsid w:val="00EB665A"/>
    <w:rPr>
      <w:shd w:val="clear" w:color="auto" w:fill="A8D08D" w:themeFill="accent6" w:themeFillTint="99"/>
    </w:rPr>
  </w:style>
  <w:style w:type="character" w:customStyle="1" w:styleId="1Char">
    <w:name w:val="标题 1 Char"/>
    <w:basedOn w:val="a0"/>
    <w:link w:val="1"/>
    <w:uiPriority w:val="9"/>
    <w:qFormat/>
    <w:rsid w:val="00EB665A"/>
    <w:rPr>
      <w:rFonts w:eastAsia="宋体"/>
      <w:b/>
      <w:bCs/>
      <w:sz w:val="24"/>
      <w:szCs w:val="44"/>
    </w:rPr>
  </w:style>
  <w:style w:type="character" w:customStyle="1" w:styleId="2Char">
    <w:name w:val="标题 2 Char"/>
    <w:basedOn w:val="a0"/>
    <w:link w:val="2"/>
    <w:uiPriority w:val="9"/>
    <w:rsid w:val="00EB665A"/>
    <w:rPr>
      <w:rFonts w:asciiTheme="majorHAnsi" w:eastAsia="宋体" w:hAnsiTheme="majorHAnsi" w:cstheme="majorBidi"/>
      <w:b/>
      <w:bCs/>
      <w:sz w:val="24"/>
      <w:szCs w:val="32"/>
    </w:rPr>
  </w:style>
  <w:style w:type="character" w:customStyle="1" w:styleId="3Char">
    <w:name w:val="标题 3 Char"/>
    <w:basedOn w:val="a0"/>
    <w:link w:val="3"/>
    <w:uiPriority w:val="9"/>
    <w:rsid w:val="00EB665A"/>
    <w:rPr>
      <w:rFonts w:eastAsia="宋体"/>
      <w:b/>
      <w:bCs/>
      <w:sz w:val="24"/>
      <w:szCs w:val="32"/>
    </w:rPr>
  </w:style>
  <w:style w:type="character" w:customStyle="1" w:styleId="4Char">
    <w:name w:val="标题 4 Char"/>
    <w:basedOn w:val="a0"/>
    <w:link w:val="4"/>
    <w:uiPriority w:val="9"/>
    <w:semiHidden/>
    <w:rsid w:val="00EB665A"/>
    <w:rPr>
      <w:rFonts w:asciiTheme="majorHAnsi" w:eastAsiaTheme="majorEastAsia" w:hAnsiTheme="majorHAnsi" w:cstheme="majorBidi"/>
      <w:b/>
      <w:bCs/>
      <w:sz w:val="28"/>
      <w:szCs w:val="28"/>
    </w:rPr>
  </w:style>
  <w:style w:type="character" w:customStyle="1" w:styleId="Char">
    <w:name w:val="正文缩进 Char"/>
    <w:link w:val="a3"/>
    <w:uiPriority w:val="99"/>
    <w:semiHidden/>
    <w:qFormat/>
    <w:rsid w:val="00EB665A"/>
    <w:rPr>
      <w:rFonts w:asciiTheme="minorHAnsi" w:eastAsiaTheme="minorEastAsia" w:hAnsiTheme="minorHAnsi" w:cstheme="minorBidi"/>
      <w:sz w:val="21"/>
      <w:szCs w:val="22"/>
    </w:rPr>
  </w:style>
  <w:style w:type="character" w:customStyle="1" w:styleId="Char1">
    <w:name w:val="批注文字 Char"/>
    <w:basedOn w:val="a0"/>
    <w:link w:val="a5"/>
    <w:uiPriority w:val="99"/>
    <w:semiHidden/>
    <w:rsid w:val="00EB665A"/>
    <w:rPr>
      <w:rFonts w:asciiTheme="minorHAnsi" w:eastAsiaTheme="minorEastAsia" w:hAnsiTheme="minorHAnsi" w:cstheme="minorBidi"/>
      <w:sz w:val="21"/>
      <w:szCs w:val="22"/>
    </w:rPr>
  </w:style>
  <w:style w:type="character" w:customStyle="1" w:styleId="Char7">
    <w:name w:val="页眉 Char"/>
    <w:basedOn w:val="a0"/>
    <w:link w:val="ab"/>
    <w:uiPriority w:val="99"/>
    <w:qFormat/>
    <w:rsid w:val="00EB665A"/>
    <w:rPr>
      <w:rFonts w:asciiTheme="minorHAnsi" w:eastAsiaTheme="minorEastAsia" w:hAnsiTheme="minorHAnsi" w:cstheme="minorBidi"/>
      <w:sz w:val="18"/>
      <w:szCs w:val="18"/>
    </w:rPr>
  </w:style>
  <w:style w:type="character" w:customStyle="1" w:styleId="Char6">
    <w:name w:val="页脚 Char"/>
    <w:basedOn w:val="a0"/>
    <w:link w:val="aa"/>
    <w:uiPriority w:val="99"/>
    <w:qFormat/>
    <w:rsid w:val="00EB665A"/>
    <w:rPr>
      <w:rFonts w:asciiTheme="minorHAnsi" w:eastAsiaTheme="minorEastAsia" w:hAnsiTheme="minorHAnsi" w:cstheme="minorBidi"/>
      <w:sz w:val="18"/>
      <w:szCs w:val="18"/>
    </w:rPr>
  </w:style>
  <w:style w:type="character" w:customStyle="1" w:styleId="Char2">
    <w:name w:val="正文文本 Char"/>
    <w:basedOn w:val="a0"/>
    <w:link w:val="a6"/>
    <w:uiPriority w:val="99"/>
    <w:semiHidden/>
    <w:rsid w:val="00EB665A"/>
    <w:rPr>
      <w:rFonts w:asciiTheme="minorHAnsi" w:eastAsiaTheme="minorEastAsia" w:hAnsiTheme="minorHAnsi" w:cstheme="minorBidi"/>
      <w:sz w:val="21"/>
      <w:szCs w:val="22"/>
    </w:rPr>
  </w:style>
  <w:style w:type="character" w:customStyle="1" w:styleId="Char4">
    <w:name w:val="日期 Char"/>
    <w:basedOn w:val="a0"/>
    <w:link w:val="a8"/>
    <w:uiPriority w:val="99"/>
    <w:semiHidden/>
    <w:rsid w:val="00EB665A"/>
    <w:rPr>
      <w:rFonts w:asciiTheme="minorHAnsi" w:eastAsiaTheme="minorEastAsia" w:hAnsiTheme="minorHAnsi" w:cstheme="minorBidi"/>
      <w:sz w:val="21"/>
      <w:szCs w:val="22"/>
    </w:rPr>
  </w:style>
  <w:style w:type="character" w:customStyle="1" w:styleId="Char3">
    <w:name w:val="纯文本 Char"/>
    <w:basedOn w:val="a0"/>
    <w:link w:val="a7"/>
    <w:uiPriority w:val="99"/>
    <w:semiHidden/>
    <w:qFormat/>
    <w:rsid w:val="00EB665A"/>
    <w:rPr>
      <w:rFonts w:asciiTheme="minorEastAsia" w:eastAsiaTheme="minorEastAsia" w:hAnsi="Courier New" w:cs="Courier New"/>
      <w:sz w:val="21"/>
      <w:szCs w:val="22"/>
    </w:rPr>
  </w:style>
  <w:style w:type="character" w:customStyle="1" w:styleId="Char9">
    <w:name w:val="批注主题 Char"/>
    <w:basedOn w:val="Char1"/>
    <w:link w:val="ae"/>
    <w:uiPriority w:val="99"/>
    <w:semiHidden/>
    <w:rsid w:val="00EB665A"/>
    <w:rPr>
      <w:rFonts w:asciiTheme="minorHAnsi" w:eastAsiaTheme="minorEastAsia" w:hAnsiTheme="minorHAnsi" w:cstheme="minorBidi"/>
      <w:b/>
      <w:bCs/>
      <w:sz w:val="21"/>
      <w:szCs w:val="22"/>
    </w:rPr>
  </w:style>
  <w:style w:type="character" w:customStyle="1" w:styleId="Char5">
    <w:name w:val="批注框文本 Char"/>
    <w:basedOn w:val="a0"/>
    <w:link w:val="a9"/>
    <w:uiPriority w:val="99"/>
    <w:semiHidden/>
    <w:rsid w:val="00EB665A"/>
    <w:rPr>
      <w:rFonts w:asciiTheme="minorHAnsi" w:eastAsiaTheme="minorEastAsia" w:hAnsiTheme="minorHAnsi" w:cstheme="minorBidi"/>
      <w:sz w:val="18"/>
      <w:szCs w:val="18"/>
    </w:rPr>
  </w:style>
  <w:style w:type="paragraph" w:styleId="af4">
    <w:name w:val="List Paragraph"/>
    <w:basedOn w:val="a"/>
    <w:uiPriority w:val="34"/>
    <w:qFormat/>
    <w:rsid w:val="00EB665A"/>
    <w:pPr>
      <w:ind w:firstLineChars="200" w:firstLine="420"/>
    </w:pPr>
  </w:style>
  <w:style w:type="character" w:customStyle="1" w:styleId="Char8">
    <w:name w:val="标题 Char"/>
    <w:basedOn w:val="a0"/>
    <w:link w:val="ad"/>
    <w:uiPriority w:val="10"/>
    <w:qFormat/>
    <w:rsid w:val="00EB665A"/>
    <w:rPr>
      <w:rFonts w:asciiTheme="majorHAnsi" w:eastAsiaTheme="majorEastAsia" w:hAnsiTheme="majorHAnsi" w:cstheme="majorBidi"/>
      <w:b/>
      <w:bCs/>
      <w:sz w:val="32"/>
      <w:szCs w:val="32"/>
    </w:rPr>
  </w:style>
  <w:style w:type="paragraph" w:customStyle="1" w:styleId="biaogeleft">
    <w:name w:val="biaoge_left"/>
    <w:basedOn w:val="a"/>
    <w:rsid w:val="00EB665A"/>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EB665A"/>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qFormat/>
    <w:rsid w:val="00EB665A"/>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B665A"/>
    <w:rPr>
      <w:rFonts w:ascii="宋体" w:eastAsia="宋体" w:hAnsi="宋体"/>
      <w:color w:val="000000" w:themeColor="text1"/>
      <w:sz w:val="21"/>
    </w:rPr>
  </w:style>
  <w:style w:type="paragraph" w:customStyle="1" w:styleId="TOC1">
    <w:name w:val="TOC 标题1"/>
    <w:basedOn w:val="1"/>
    <w:next w:val="a"/>
    <w:uiPriority w:val="39"/>
    <w:unhideWhenUsed/>
    <w:qFormat/>
    <w:rsid w:val="00EB665A"/>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文档结构图 Char"/>
    <w:basedOn w:val="a0"/>
    <w:link w:val="a4"/>
    <w:uiPriority w:val="99"/>
    <w:semiHidden/>
    <w:rsid w:val="00EB665A"/>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903</Words>
  <Characters>5148</Characters>
  <Application>Microsoft Office Word</Application>
  <DocSecurity>4</DocSecurity>
  <Lines>42</Lines>
  <Paragraphs>12</Paragraphs>
  <ScaleCrop>false</ScaleCrop>
  <Company>CNSTOCK</Company>
  <LinksUpToDate>false</LinksUpToDate>
  <CharactersWithSpaces>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2026-03-03T16:02:00Z</dcterms:created>
  <dcterms:modified xsi:type="dcterms:W3CDTF">2026-03-03T16:02:00Z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2052-12.8.0.21180</vt:lpwstr>
  </property>
  <property fmtid="{D5CDD505-2E9C-101B-9397-08002B2CF9AE}" pid="3" name="ICV">
    <vt:lpwstr>7CB0A15339DC4812B29C65467C4D4AC7_13</vt:lpwstr>
  </property>
</Properties>
</file>