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5D" w:rsidRDefault="00722CA6">
      <w:pPr>
        <w:pStyle w:val="a3"/>
        <w:spacing w:before="56" w:line="220" w:lineRule="auto"/>
        <w:ind w:left="75"/>
        <w:jc w:val="center"/>
        <w:outlineLvl w:val="0"/>
        <w:rPr>
          <w:b/>
          <w:bCs/>
          <w:spacing w:val="-1"/>
          <w:sz w:val="28"/>
          <w:szCs w:val="28"/>
        </w:rPr>
      </w:pPr>
      <w:r>
        <w:rPr>
          <w:b/>
          <w:bCs/>
          <w:spacing w:val="-1"/>
          <w:sz w:val="28"/>
          <w:szCs w:val="28"/>
        </w:rPr>
        <w:t>关于</w:t>
      </w:r>
      <w:r>
        <w:rPr>
          <w:rFonts w:hint="eastAsia"/>
          <w:b/>
          <w:bCs/>
          <w:spacing w:val="-1"/>
          <w:sz w:val="28"/>
          <w:szCs w:val="28"/>
          <w:lang w:eastAsia="zh-CN"/>
        </w:rPr>
        <w:t>鹏安安泰利率债</w:t>
      </w:r>
      <w:r>
        <w:rPr>
          <w:b/>
          <w:bCs/>
          <w:spacing w:val="-1"/>
          <w:sz w:val="28"/>
          <w:szCs w:val="28"/>
        </w:rPr>
        <w:t>债券型证券投资基金开通</w:t>
      </w:r>
    </w:p>
    <w:p w:rsidR="00D77B5D" w:rsidRDefault="00722CA6">
      <w:pPr>
        <w:pStyle w:val="a3"/>
        <w:spacing w:before="56" w:line="220" w:lineRule="auto"/>
        <w:ind w:left="75"/>
        <w:jc w:val="center"/>
        <w:outlineLvl w:val="0"/>
        <w:rPr>
          <w:b/>
          <w:bCs/>
          <w:spacing w:val="-4"/>
          <w:sz w:val="28"/>
          <w:szCs w:val="28"/>
        </w:rPr>
      </w:pPr>
      <w:r>
        <w:rPr>
          <w:b/>
          <w:bCs/>
          <w:spacing w:val="-1"/>
          <w:sz w:val="28"/>
          <w:szCs w:val="28"/>
        </w:rPr>
        <w:t>同一基金不同类别</w:t>
      </w:r>
      <w:r>
        <w:rPr>
          <w:b/>
          <w:bCs/>
          <w:spacing w:val="-4"/>
          <w:sz w:val="28"/>
          <w:szCs w:val="28"/>
        </w:rPr>
        <w:t>份额转换业务的公告</w:t>
      </w:r>
    </w:p>
    <w:p w:rsidR="00D77B5D" w:rsidRDefault="00D77B5D">
      <w:pPr>
        <w:pStyle w:val="a3"/>
        <w:spacing w:before="56" w:line="220" w:lineRule="auto"/>
        <w:ind w:left="75"/>
        <w:jc w:val="center"/>
        <w:outlineLvl w:val="0"/>
        <w:rPr>
          <w:b/>
          <w:bCs/>
          <w:spacing w:val="-4"/>
          <w:sz w:val="28"/>
          <w:szCs w:val="28"/>
        </w:rPr>
      </w:pPr>
    </w:p>
    <w:p w:rsidR="00D77B5D" w:rsidRDefault="00722CA6">
      <w:pPr>
        <w:pStyle w:val="a3"/>
        <w:spacing w:before="208" w:line="359" w:lineRule="auto"/>
        <w:ind w:left="22" w:right="241" w:firstLine="483"/>
        <w:jc w:val="both"/>
      </w:pPr>
      <w:r>
        <w:rPr>
          <w:rFonts w:hint="eastAsia"/>
        </w:rPr>
        <w:t>为更好地满足基金投资者的需求，根据《中华人民共和国证券投资</w:t>
      </w:r>
      <w:r>
        <w:rPr>
          <w:rFonts w:hint="eastAsia"/>
          <w:spacing w:val="-1"/>
        </w:rPr>
        <w:t>基金法》</w:t>
      </w:r>
      <w:r>
        <w:rPr>
          <w:rFonts w:hint="eastAsia"/>
          <w:spacing w:val="-3"/>
        </w:rPr>
        <w:t>《公开募集证券投资基金运作管理办法》</w:t>
      </w:r>
      <w:r>
        <w:rPr>
          <w:rFonts w:hint="eastAsia"/>
          <w:spacing w:val="-3"/>
          <w:lang w:eastAsia="zh-CN"/>
        </w:rPr>
        <w:t>和</w:t>
      </w:r>
      <w:r>
        <w:rPr>
          <w:rFonts w:hint="eastAsia"/>
          <w:spacing w:val="-3"/>
          <w:lang w:eastAsia="zh-CN"/>
        </w:rPr>
        <w:t>《鹏安安泰利率债债券型证券投资基金基金合同》（以下简称“《基金合同》”）</w:t>
      </w:r>
      <w:r>
        <w:rPr>
          <w:rFonts w:hint="eastAsia"/>
          <w:spacing w:val="-2"/>
        </w:rPr>
        <w:t>的有关规定，</w:t>
      </w:r>
      <w:r>
        <w:rPr>
          <w:rFonts w:hint="eastAsia"/>
          <w:spacing w:val="-2"/>
          <w:lang w:eastAsia="zh-CN"/>
        </w:rPr>
        <w:t>鹏安基金管理有限公司（以下简称“本公司”）</w:t>
      </w:r>
      <w:r>
        <w:rPr>
          <w:rFonts w:hint="eastAsia"/>
          <w:spacing w:val="-2"/>
        </w:rPr>
        <w:t>决定自</w:t>
      </w:r>
      <w:r>
        <w:rPr>
          <w:rFonts w:hint="eastAsia"/>
          <w:spacing w:val="-2"/>
        </w:rPr>
        <w:t>202</w:t>
      </w:r>
      <w:r>
        <w:rPr>
          <w:rFonts w:hint="eastAsia"/>
          <w:spacing w:val="-2"/>
          <w:lang w:eastAsia="zh-CN"/>
        </w:rPr>
        <w:t>6</w:t>
      </w:r>
      <w:r>
        <w:rPr>
          <w:rFonts w:hint="eastAsia"/>
          <w:spacing w:val="-2"/>
        </w:rPr>
        <w:t>年</w:t>
      </w:r>
      <w:r>
        <w:rPr>
          <w:rFonts w:hint="eastAsia"/>
          <w:spacing w:val="-2"/>
          <w:lang w:eastAsia="zh-CN"/>
        </w:rPr>
        <w:t>3</w:t>
      </w:r>
      <w:r>
        <w:rPr>
          <w:rFonts w:hint="eastAsia"/>
          <w:spacing w:val="-2"/>
        </w:rPr>
        <w:t>月</w:t>
      </w:r>
      <w:r>
        <w:rPr>
          <w:rFonts w:hint="eastAsia"/>
          <w:spacing w:val="-2"/>
          <w:lang w:eastAsia="zh-CN"/>
        </w:rPr>
        <w:t>5</w:t>
      </w:r>
      <w:r>
        <w:rPr>
          <w:rFonts w:hint="eastAsia"/>
          <w:spacing w:val="-2"/>
        </w:rPr>
        <w:t>日起，对鹏安安泰利率债债券型证券投资基金（以下简称“本基金”）开通同一基金不同类别基金份额之</w:t>
      </w:r>
      <w:r>
        <w:rPr>
          <w:rFonts w:hint="eastAsia"/>
          <w:spacing w:val="-3"/>
        </w:rPr>
        <w:t>间的转换</w:t>
      </w:r>
      <w:r>
        <w:rPr>
          <w:rFonts w:hint="eastAsia"/>
        </w:rPr>
        <w:t>业务（以下简称“本业务”）并修改法律文件相关内容。现</w:t>
      </w:r>
      <w:r>
        <w:rPr>
          <w:rFonts w:hint="eastAsia"/>
          <w:spacing w:val="-1"/>
        </w:rPr>
        <w:t>将有关事项公告如下：</w:t>
      </w:r>
    </w:p>
    <w:p w:rsidR="00D77B5D" w:rsidRDefault="00722CA6">
      <w:pPr>
        <w:pStyle w:val="a3"/>
        <w:spacing w:before="1" w:line="220" w:lineRule="auto"/>
        <w:ind w:left="507"/>
        <w:jc w:val="both"/>
      </w:pPr>
      <w:r>
        <w:rPr>
          <w:rFonts w:hint="eastAsia"/>
          <w:spacing w:val="-2"/>
        </w:rPr>
        <w:t>一、适用基金份额类别及销售渠道</w:t>
      </w:r>
    </w:p>
    <w:p w:rsidR="00D77B5D" w:rsidRDefault="00722CA6">
      <w:pPr>
        <w:pStyle w:val="a3"/>
        <w:spacing w:before="180" w:line="353" w:lineRule="auto"/>
        <w:ind w:left="26" w:right="264" w:firstLine="516"/>
        <w:jc w:val="both"/>
      </w:pPr>
      <w:r>
        <w:rPr>
          <w:rFonts w:hint="eastAsia"/>
          <w:spacing w:val="-4"/>
        </w:rPr>
        <w:t>自</w:t>
      </w:r>
      <w:r>
        <w:rPr>
          <w:rFonts w:hint="eastAsia"/>
          <w:spacing w:val="-4"/>
        </w:rPr>
        <w:t>202</w:t>
      </w:r>
      <w:r>
        <w:rPr>
          <w:rFonts w:hint="eastAsia"/>
          <w:spacing w:val="-4"/>
          <w:lang w:eastAsia="zh-CN"/>
        </w:rPr>
        <w:t>6</w:t>
      </w:r>
      <w:r>
        <w:rPr>
          <w:rFonts w:hint="eastAsia"/>
          <w:spacing w:val="-4"/>
        </w:rPr>
        <w:t>年</w:t>
      </w:r>
      <w:r>
        <w:rPr>
          <w:rFonts w:hint="eastAsia"/>
          <w:spacing w:val="-4"/>
          <w:lang w:eastAsia="zh-CN"/>
        </w:rPr>
        <w:t>3</w:t>
      </w:r>
      <w:r>
        <w:rPr>
          <w:rFonts w:hint="eastAsia"/>
          <w:spacing w:val="-4"/>
        </w:rPr>
        <w:t>月</w:t>
      </w:r>
      <w:r>
        <w:rPr>
          <w:rFonts w:hint="eastAsia"/>
          <w:spacing w:val="-4"/>
          <w:lang w:eastAsia="zh-CN"/>
        </w:rPr>
        <w:t>5</w:t>
      </w:r>
      <w:r>
        <w:rPr>
          <w:rFonts w:hint="eastAsia"/>
          <w:spacing w:val="-4"/>
        </w:rPr>
        <w:t>日起，投资者可以通过本公司直销中心、</w:t>
      </w:r>
      <w:r>
        <w:rPr>
          <w:rFonts w:hint="eastAsia"/>
          <w:spacing w:val="-4"/>
          <w:lang w:eastAsia="zh-CN"/>
        </w:rPr>
        <w:t>微信直销平台办理</w:t>
      </w:r>
      <w:r>
        <w:rPr>
          <w:rFonts w:hint="eastAsia"/>
          <w:spacing w:val="-4"/>
        </w:rPr>
        <w:t>本基金</w:t>
      </w:r>
      <w:r>
        <w:rPr>
          <w:rFonts w:hint="eastAsia"/>
          <w:spacing w:val="-1"/>
        </w:rPr>
        <w:t>的同一基金不同类别基金份额之间的转换业务。代销机构亦可参照办理本业务。</w:t>
      </w:r>
      <w:r>
        <w:rPr>
          <w:rFonts w:hint="eastAsia"/>
          <w:spacing w:val="-3"/>
        </w:rPr>
        <w:t>由于销售机构系统差异及业务安排等原因，其开展本业务的时间及其他未尽</w:t>
      </w:r>
      <w:bookmarkStart w:id="0" w:name="_GoBack"/>
      <w:bookmarkEnd w:id="0"/>
      <w:r>
        <w:rPr>
          <w:rFonts w:hint="eastAsia"/>
          <w:spacing w:val="-3"/>
        </w:rPr>
        <w:t>事宜</w:t>
      </w:r>
      <w:r>
        <w:rPr>
          <w:rFonts w:hint="eastAsia"/>
          <w:spacing w:val="-2"/>
        </w:rPr>
        <w:t>详见各销售机构的相关业务规则或公告。</w:t>
      </w:r>
    </w:p>
    <w:tbl>
      <w:tblPr>
        <w:tblStyle w:val="TableNormal"/>
        <w:tblW w:w="8629"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59"/>
        <w:gridCol w:w="4570"/>
      </w:tblGrid>
      <w:tr w:rsidR="00D77B5D">
        <w:trPr>
          <w:trHeight w:val="476"/>
        </w:trPr>
        <w:tc>
          <w:tcPr>
            <w:tcW w:w="4059" w:type="dxa"/>
          </w:tcPr>
          <w:p w:rsidR="00D77B5D" w:rsidRDefault="00722CA6">
            <w:pPr>
              <w:spacing w:before="38" w:line="222" w:lineRule="auto"/>
              <w:ind w:left="1581"/>
              <w:jc w:val="both"/>
              <w:rPr>
                <w:rFonts w:ascii="宋体" w:eastAsia="宋体" w:hAnsi="宋体" w:cs="宋体"/>
                <w:sz w:val="24"/>
                <w:szCs w:val="24"/>
              </w:rPr>
            </w:pPr>
            <w:r>
              <w:rPr>
                <w:rFonts w:ascii="宋体" w:eastAsia="宋体" w:hAnsi="宋体" w:cs="宋体" w:hint="eastAsia"/>
                <w:spacing w:val="-2"/>
                <w:sz w:val="24"/>
                <w:szCs w:val="24"/>
              </w:rPr>
              <w:t>基金名称</w:t>
            </w:r>
          </w:p>
        </w:tc>
        <w:tc>
          <w:tcPr>
            <w:tcW w:w="4570" w:type="dxa"/>
          </w:tcPr>
          <w:p w:rsidR="00D77B5D" w:rsidRDefault="00722CA6">
            <w:pPr>
              <w:spacing w:before="37" w:line="220" w:lineRule="auto"/>
              <w:ind w:left="1545"/>
              <w:jc w:val="both"/>
              <w:rPr>
                <w:rFonts w:ascii="宋体" w:eastAsia="宋体" w:hAnsi="宋体" w:cs="宋体"/>
                <w:sz w:val="24"/>
                <w:szCs w:val="24"/>
              </w:rPr>
            </w:pPr>
            <w:r>
              <w:rPr>
                <w:rFonts w:ascii="宋体" w:eastAsia="宋体" w:hAnsi="宋体" w:cs="宋体" w:hint="eastAsia"/>
                <w:spacing w:val="-2"/>
                <w:sz w:val="24"/>
                <w:szCs w:val="24"/>
              </w:rPr>
              <w:t>基金份额代码</w:t>
            </w:r>
          </w:p>
        </w:tc>
      </w:tr>
      <w:tr w:rsidR="00D77B5D">
        <w:trPr>
          <w:trHeight w:val="1410"/>
        </w:trPr>
        <w:tc>
          <w:tcPr>
            <w:tcW w:w="4059" w:type="dxa"/>
          </w:tcPr>
          <w:p w:rsidR="00D77B5D" w:rsidRDefault="00D77B5D">
            <w:pPr>
              <w:spacing w:line="424" w:lineRule="auto"/>
              <w:jc w:val="both"/>
              <w:rPr>
                <w:rFonts w:ascii="宋体" w:eastAsia="宋体" w:hAnsi="宋体" w:cs="宋体"/>
              </w:rPr>
            </w:pPr>
          </w:p>
          <w:p w:rsidR="00D77B5D" w:rsidRDefault="00722CA6">
            <w:pPr>
              <w:spacing w:before="78" w:line="220" w:lineRule="auto"/>
              <w:ind w:left="44"/>
              <w:jc w:val="both"/>
              <w:rPr>
                <w:rFonts w:ascii="宋体" w:eastAsia="宋体" w:hAnsi="宋体" w:cs="宋体"/>
                <w:sz w:val="24"/>
                <w:szCs w:val="24"/>
              </w:rPr>
            </w:pPr>
            <w:r>
              <w:rPr>
                <w:rFonts w:ascii="宋体" w:eastAsia="宋体" w:hAnsi="宋体" w:cs="宋体" w:hint="eastAsia"/>
                <w:sz w:val="24"/>
                <w:szCs w:val="24"/>
              </w:rPr>
              <w:t>鹏安安泰利率债债券型证券投资基金</w:t>
            </w:r>
          </w:p>
        </w:tc>
        <w:tc>
          <w:tcPr>
            <w:tcW w:w="4570" w:type="dxa"/>
            <w:vAlign w:val="center"/>
          </w:tcPr>
          <w:p w:rsidR="00D77B5D" w:rsidRDefault="00722CA6">
            <w:pPr>
              <w:spacing w:before="37" w:line="233" w:lineRule="auto"/>
              <w:ind w:left="1091"/>
              <w:jc w:val="both"/>
              <w:rPr>
                <w:rFonts w:ascii="宋体" w:eastAsia="宋体" w:hAnsi="宋体" w:cs="宋体"/>
                <w:sz w:val="24"/>
                <w:szCs w:val="24"/>
                <w:lang w:eastAsia="zh-CN"/>
              </w:rPr>
            </w:pPr>
            <w:r>
              <w:rPr>
                <w:rFonts w:ascii="宋体" w:eastAsia="宋体" w:hAnsi="宋体" w:cs="宋体" w:hint="eastAsia"/>
                <w:spacing w:val="-1"/>
                <w:sz w:val="24"/>
                <w:szCs w:val="24"/>
              </w:rPr>
              <w:t>A</w:t>
            </w:r>
            <w:r>
              <w:rPr>
                <w:rFonts w:ascii="宋体" w:eastAsia="宋体" w:hAnsi="宋体" w:cs="宋体" w:hint="eastAsia"/>
                <w:spacing w:val="-1"/>
                <w:sz w:val="24"/>
                <w:szCs w:val="24"/>
              </w:rPr>
              <w:t>类基金份额：</w:t>
            </w:r>
            <w:r>
              <w:rPr>
                <w:rFonts w:ascii="宋体" w:eastAsia="宋体" w:hAnsi="宋体" w:cs="宋体" w:hint="eastAsia"/>
                <w:spacing w:val="-1"/>
                <w:sz w:val="24"/>
                <w:szCs w:val="24"/>
                <w:lang w:eastAsia="zh-CN"/>
              </w:rPr>
              <w:t>026403</w:t>
            </w:r>
          </w:p>
          <w:p w:rsidR="00D77B5D" w:rsidRDefault="00722CA6">
            <w:pPr>
              <w:spacing w:before="165" w:line="233" w:lineRule="auto"/>
              <w:ind w:left="1102"/>
              <w:jc w:val="both"/>
              <w:rPr>
                <w:rFonts w:ascii="宋体" w:eastAsia="宋体" w:hAnsi="宋体" w:cs="宋体"/>
                <w:sz w:val="24"/>
                <w:szCs w:val="24"/>
              </w:rPr>
            </w:pPr>
            <w:r>
              <w:rPr>
                <w:rFonts w:ascii="宋体" w:eastAsia="宋体" w:hAnsi="宋体" w:cs="宋体" w:hint="eastAsia"/>
                <w:spacing w:val="-1"/>
                <w:sz w:val="24"/>
                <w:szCs w:val="24"/>
              </w:rPr>
              <w:t>C</w:t>
            </w:r>
            <w:r>
              <w:rPr>
                <w:rFonts w:ascii="宋体" w:eastAsia="宋体" w:hAnsi="宋体" w:cs="宋体" w:hint="eastAsia"/>
                <w:spacing w:val="-1"/>
                <w:sz w:val="24"/>
                <w:szCs w:val="24"/>
              </w:rPr>
              <w:t>类基金份额：</w:t>
            </w:r>
            <w:r>
              <w:rPr>
                <w:rFonts w:ascii="宋体" w:eastAsia="宋体" w:hAnsi="宋体" w:cs="宋体" w:hint="eastAsia"/>
                <w:spacing w:val="-1"/>
                <w:sz w:val="24"/>
                <w:szCs w:val="24"/>
                <w:lang w:eastAsia="zh-CN"/>
              </w:rPr>
              <w:t>026404</w:t>
            </w:r>
          </w:p>
        </w:tc>
      </w:tr>
    </w:tbl>
    <w:p w:rsidR="00D77B5D" w:rsidRDefault="00D77B5D">
      <w:pPr>
        <w:pStyle w:val="a3"/>
        <w:spacing w:before="34" w:line="220" w:lineRule="auto"/>
        <w:ind w:left="507"/>
        <w:jc w:val="both"/>
        <w:rPr>
          <w:spacing w:val="-6"/>
        </w:rPr>
      </w:pPr>
    </w:p>
    <w:p w:rsidR="00D77B5D" w:rsidRDefault="00722CA6">
      <w:pPr>
        <w:pStyle w:val="a3"/>
        <w:spacing w:before="34" w:line="220" w:lineRule="auto"/>
        <w:ind w:left="507"/>
        <w:jc w:val="both"/>
      </w:pPr>
      <w:r>
        <w:rPr>
          <w:rFonts w:hint="eastAsia"/>
          <w:spacing w:val="-6"/>
        </w:rPr>
        <w:t>二、业务规则</w:t>
      </w:r>
    </w:p>
    <w:p w:rsidR="00D77B5D" w:rsidRDefault="00722CA6">
      <w:pPr>
        <w:pStyle w:val="a3"/>
        <w:spacing w:before="182" w:line="324" w:lineRule="auto"/>
        <w:ind w:left="23" w:right="287" w:firstLine="498"/>
        <w:jc w:val="both"/>
      </w:pPr>
      <w:r>
        <w:rPr>
          <w:rFonts w:hint="eastAsia"/>
          <w:spacing w:val="-6"/>
          <w:lang w:eastAsia="zh-CN"/>
        </w:rPr>
        <w:t>1</w:t>
      </w:r>
      <w:r>
        <w:rPr>
          <w:rFonts w:hint="eastAsia"/>
          <w:spacing w:val="-6"/>
          <w:lang w:eastAsia="zh-CN"/>
        </w:rPr>
        <w:t>、</w:t>
      </w:r>
      <w:r>
        <w:rPr>
          <w:rFonts w:hint="eastAsia"/>
          <w:spacing w:val="-6"/>
        </w:rPr>
        <w:t>同一基金不同类别基金份额间的转换业务是指：若投资者持有的某只基金</w:t>
      </w:r>
      <w:r>
        <w:rPr>
          <w:rFonts w:hint="eastAsia"/>
          <w:spacing w:val="-1"/>
        </w:rPr>
        <w:t>具有多种类别基金份额（各类基金份额分设不同的基金代码</w:t>
      </w:r>
      <w:r>
        <w:rPr>
          <w:rFonts w:hint="eastAsia"/>
          <w:spacing w:val="-7"/>
        </w:rPr>
        <w:t>），</w:t>
      </w:r>
      <w:r>
        <w:rPr>
          <w:rFonts w:hint="eastAsia"/>
          <w:spacing w:val="-1"/>
        </w:rPr>
        <w:t>且登记在同一注册登记机构并由同一销售机构销售，投资者可以将其</w:t>
      </w:r>
      <w:r>
        <w:rPr>
          <w:rFonts w:hint="eastAsia"/>
          <w:spacing w:val="-2"/>
        </w:rPr>
        <w:t>持有的某一类基金份额转换</w:t>
      </w:r>
      <w:r>
        <w:rPr>
          <w:rFonts w:hint="eastAsia"/>
          <w:spacing w:val="-3"/>
        </w:rPr>
        <w:t>成同只基金的其他类基金份额。</w:t>
      </w:r>
    </w:p>
    <w:p w:rsidR="00D77B5D" w:rsidRDefault="00722CA6">
      <w:pPr>
        <w:pStyle w:val="a3"/>
        <w:spacing w:before="184" w:line="339" w:lineRule="auto"/>
        <w:ind w:left="23" w:right="183" w:firstLine="475"/>
        <w:jc w:val="both"/>
      </w:pPr>
      <w:r>
        <w:rPr>
          <w:rFonts w:hint="eastAsia"/>
          <w:spacing w:val="-5"/>
          <w:lang w:eastAsia="zh-CN"/>
        </w:rPr>
        <w:t>2</w:t>
      </w:r>
      <w:r>
        <w:rPr>
          <w:rFonts w:hint="eastAsia"/>
          <w:spacing w:val="-5"/>
          <w:lang w:eastAsia="zh-CN"/>
        </w:rPr>
        <w:t>、</w:t>
      </w:r>
      <w:r>
        <w:rPr>
          <w:rFonts w:hint="eastAsia"/>
          <w:spacing w:val="-5"/>
        </w:rPr>
        <w:t>基金份额持有人可将其全部或部分基金份额转换成另一只基金份额，每类</w:t>
      </w:r>
      <w:r>
        <w:rPr>
          <w:rFonts w:hint="eastAsia"/>
          <w:spacing w:val="2"/>
        </w:rPr>
        <w:t>基金份额单笔转出申请不得少于</w:t>
      </w:r>
      <w:r>
        <w:rPr>
          <w:rFonts w:hint="eastAsia"/>
          <w:spacing w:val="2"/>
        </w:rPr>
        <w:t>1</w:t>
      </w:r>
      <w:r>
        <w:rPr>
          <w:rFonts w:hint="eastAsia"/>
          <w:spacing w:val="2"/>
        </w:rPr>
        <w:t>份（如该账户在该销售机构托管的该类基金份</w:t>
      </w:r>
      <w:r>
        <w:rPr>
          <w:rFonts w:hint="eastAsia"/>
          <w:spacing w:val="-3"/>
        </w:rPr>
        <w:t>额余额不足</w:t>
      </w:r>
      <w:r>
        <w:rPr>
          <w:rFonts w:hint="eastAsia"/>
          <w:spacing w:val="-3"/>
        </w:rPr>
        <w:t>1</w:t>
      </w:r>
      <w:r>
        <w:rPr>
          <w:rFonts w:hint="eastAsia"/>
          <w:spacing w:val="-3"/>
        </w:rPr>
        <w:t>份，则必须一次性转出该类基金份额全部份额</w:t>
      </w:r>
      <w:r>
        <w:rPr>
          <w:rFonts w:hint="eastAsia"/>
          <w:spacing w:val="-34"/>
        </w:rPr>
        <w:t>）；</w:t>
      </w:r>
      <w:r>
        <w:rPr>
          <w:rFonts w:hint="eastAsia"/>
          <w:spacing w:val="-3"/>
        </w:rPr>
        <w:t>若某笔转换导致投</w:t>
      </w:r>
      <w:r>
        <w:rPr>
          <w:rFonts w:hint="eastAsia"/>
          <w:spacing w:val="-2"/>
        </w:rPr>
        <w:t>资者在该销售机构托管的该类基金份额余额低于该类基金份额在《鹏安安泰利率债债券型证券投资基金</w:t>
      </w:r>
      <w:r>
        <w:rPr>
          <w:rFonts w:hint="eastAsia"/>
          <w:spacing w:val="2"/>
        </w:rPr>
        <w:t>招募说明书》（含更新，以下简称“《招募说明</w:t>
      </w:r>
      <w:r>
        <w:rPr>
          <w:rFonts w:hint="eastAsia"/>
          <w:spacing w:val="2"/>
        </w:rPr>
        <w:t>书》”）</w:t>
      </w:r>
      <w:r>
        <w:rPr>
          <w:rFonts w:hint="eastAsia"/>
          <w:spacing w:val="-1"/>
        </w:rPr>
        <w:t>或相关公告中约定的最低持有份额时，注册登记机构有</w:t>
      </w:r>
      <w:r>
        <w:rPr>
          <w:rFonts w:hint="eastAsia"/>
          <w:spacing w:val="-2"/>
        </w:rPr>
        <w:t>权将投资者在该销售机构</w:t>
      </w:r>
      <w:r>
        <w:rPr>
          <w:rFonts w:hint="eastAsia"/>
          <w:spacing w:val="-3"/>
        </w:rPr>
        <w:t>托管的该类基金剩余份额一次性全部赎回。</w:t>
      </w:r>
    </w:p>
    <w:p w:rsidR="00D77B5D" w:rsidRDefault="00D77B5D">
      <w:pPr>
        <w:spacing w:line="339" w:lineRule="auto"/>
        <w:jc w:val="both"/>
        <w:rPr>
          <w:rFonts w:ascii="宋体" w:eastAsia="宋体" w:hAnsi="宋体" w:cs="宋体"/>
        </w:rPr>
        <w:sectPr w:rsidR="00D77B5D">
          <w:pgSz w:w="11907" w:h="16839"/>
          <w:pgMar w:top="1421" w:right="1454" w:bottom="0" w:left="1785" w:header="0" w:footer="0" w:gutter="0"/>
          <w:cols w:space="720"/>
        </w:sectPr>
      </w:pPr>
    </w:p>
    <w:p w:rsidR="00D77B5D" w:rsidRDefault="00722CA6">
      <w:pPr>
        <w:pStyle w:val="a3"/>
        <w:spacing w:before="51" w:line="290" w:lineRule="auto"/>
        <w:ind w:left="23" w:right="2" w:firstLine="480"/>
        <w:jc w:val="both"/>
      </w:pPr>
      <w:r>
        <w:rPr>
          <w:rFonts w:hint="eastAsia"/>
          <w:spacing w:val="-5"/>
          <w:lang w:eastAsia="zh-CN"/>
        </w:rPr>
        <w:lastRenderedPageBreak/>
        <w:t>3</w:t>
      </w:r>
      <w:r>
        <w:rPr>
          <w:rFonts w:hint="eastAsia"/>
          <w:spacing w:val="-5"/>
          <w:lang w:eastAsia="zh-CN"/>
        </w:rPr>
        <w:t>、</w:t>
      </w:r>
      <w:r>
        <w:rPr>
          <w:rFonts w:hint="eastAsia"/>
          <w:spacing w:val="-5"/>
        </w:rPr>
        <w:t>同一基金不同类别基金份额间相互转换，原持有期限不延续计算。转入的</w:t>
      </w:r>
      <w:r>
        <w:rPr>
          <w:rFonts w:hint="eastAsia"/>
          <w:spacing w:val="-2"/>
        </w:rPr>
        <w:t>基金份额的持有期将自转入的基金份额被确认之日起重新开始计算。</w:t>
      </w:r>
    </w:p>
    <w:p w:rsidR="00D77B5D" w:rsidRDefault="00722CA6">
      <w:pPr>
        <w:pStyle w:val="a3"/>
        <w:spacing w:before="178" w:line="313" w:lineRule="auto"/>
        <w:ind w:left="22" w:right="1" w:firstLine="475"/>
        <w:jc w:val="both"/>
      </w:pPr>
      <w:r>
        <w:rPr>
          <w:rFonts w:hint="eastAsia"/>
          <w:spacing w:val="-5"/>
          <w:lang w:eastAsia="zh-CN"/>
        </w:rPr>
        <w:t>4</w:t>
      </w:r>
      <w:r>
        <w:rPr>
          <w:rFonts w:hint="eastAsia"/>
          <w:spacing w:val="-5"/>
          <w:lang w:eastAsia="zh-CN"/>
        </w:rPr>
        <w:t>、</w:t>
      </w:r>
      <w:r>
        <w:rPr>
          <w:rFonts w:hint="eastAsia"/>
          <w:spacing w:val="-5"/>
        </w:rPr>
        <w:t>同一基金不同类别基金份额转换时，以申请当日各类基金份额净值为基础</w:t>
      </w:r>
      <w:r>
        <w:rPr>
          <w:rFonts w:hint="eastAsia"/>
          <w:spacing w:val="-1"/>
        </w:rPr>
        <w:t>计算。投资者采用“份额转换”的原则提交申请，同一基金不同类别基金份额转换</w:t>
      </w:r>
      <w:r>
        <w:rPr>
          <w:rFonts w:hint="eastAsia"/>
          <w:spacing w:val="-3"/>
        </w:rPr>
        <w:t>遵循“先进先出”的业务规则。</w:t>
      </w:r>
    </w:p>
    <w:p w:rsidR="00D77B5D" w:rsidRDefault="00722CA6">
      <w:pPr>
        <w:pStyle w:val="a3"/>
        <w:spacing w:before="180" w:line="324" w:lineRule="auto"/>
        <w:ind w:left="23" w:firstLine="482"/>
        <w:jc w:val="both"/>
        <w:rPr>
          <w:spacing w:val="-2"/>
        </w:rPr>
      </w:pPr>
      <w:r>
        <w:rPr>
          <w:rFonts w:hint="eastAsia"/>
          <w:spacing w:val="-7"/>
          <w:lang w:eastAsia="zh-CN"/>
        </w:rPr>
        <w:t>5</w:t>
      </w:r>
      <w:r>
        <w:rPr>
          <w:rFonts w:hint="eastAsia"/>
          <w:spacing w:val="-7"/>
          <w:lang w:eastAsia="zh-CN"/>
        </w:rPr>
        <w:t>、</w:t>
      </w:r>
      <w:r>
        <w:rPr>
          <w:rFonts w:hint="eastAsia"/>
          <w:spacing w:val="-7"/>
        </w:rPr>
        <w:t>投资者办理本业务时，</w:t>
      </w:r>
      <w:r>
        <w:rPr>
          <w:rFonts w:hint="eastAsia"/>
          <w:spacing w:val="-53"/>
        </w:rPr>
        <w:t xml:space="preserve"> </w:t>
      </w:r>
      <w:r>
        <w:rPr>
          <w:rFonts w:hint="eastAsia"/>
          <w:spacing w:val="-7"/>
        </w:rPr>
        <w:t>转出基金份额类别必须处于可赎回状态，转入基金</w:t>
      </w:r>
      <w:r>
        <w:rPr>
          <w:rFonts w:hint="eastAsia"/>
          <w:spacing w:val="-1"/>
        </w:rPr>
        <w:t>份额类别必须处于可申购状态，已经冻结的基金</w:t>
      </w:r>
      <w:r>
        <w:rPr>
          <w:rFonts w:hint="eastAsia"/>
          <w:spacing w:val="-2"/>
        </w:rPr>
        <w:t>份额不得申请转换业务。当转换</w:t>
      </w:r>
      <w:r>
        <w:rPr>
          <w:rFonts w:hint="eastAsia"/>
          <w:spacing w:val="-1"/>
        </w:rPr>
        <w:t>转入的份额类别因其他原因暂停转换转入、暂停大额</w:t>
      </w:r>
      <w:r>
        <w:rPr>
          <w:rFonts w:hint="eastAsia"/>
          <w:spacing w:val="-2"/>
        </w:rPr>
        <w:t>转换转入业务或有其他转换限制的，本业务亦受相关限制，基金管理人另有公告的除外。</w:t>
      </w:r>
    </w:p>
    <w:p w:rsidR="00D77B5D" w:rsidRDefault="00722CA6">
      <w:pPr>
        <w:pStyle w:val="a3"/>
        <w:spacing w:before="180" w:line="324" w:lineRule="auto"/>
        <w:ind w:left="23" w:firstLine="482"/>
        <w:jc w:val="both"/>
      </w:pPr>
      <w:r>
        <w:rPr>
          <w:rFonts w:hint="eastAsia"/>
          <w:spacing w:val="-2"/>
          <w:lang w:eastAsia="zh-CN"/>
        </w:rPr>
        <w:t>6</w:t>
      </w:r>
      <w:r>
        <w:rPr>
          <w:rFonts w:hint="eastAsia"/>
          <w:spacing w:val="-2"/>
          <w:lang w:eastAsia="zh-CN"/>
        </w:rPr>
        <w:t>、</w:t>
      </w:r>
      <w:r>
        <w:rPr>
          <w:rFonts w:hint="eastAsia"/>
          <w:spacing w:val="-1"/>
        </w:rPr>
        <w:t>本业务与本公司已经开通的不同基金之</w:t>
      </w:r>
      <w:r>
        <w:rPr>
          <w:rFonts w:hint="eastAsia"/>
          <w:spacing w:val="-2"/>
        </w:rPr>
        <w:t>间相互转换业务</w:t>
      </w:r>
      <w:r>
        <w:rPr>
          <w:rFonts w:hint="eastAsia"/>
          <w:spacing w:val="-2"/>
          <w:lang w:eastAsia="zh-CN"/>
        </w:rPr>
        <w:t>（</w:t>
      </w:r>
      <w:r>
        <w:rPr>
          <w:rFonts w:hint="eastAsia"/>
          <w:spacing w:val="-2"/>
          <w:lang w:eastAsia="zh-CN"/>
        </w:rPr>
        <w:t>如有</w:t>
      </w:r>
      <w:r>
        <w:rPr>
          <w:rFonts w:hint="eastAsia"/>
          <w:spacing w:val="-2"/>
          <w:lang w:eastAsia="zh-CN"/>
        </w:rPr>
        <w:t>）</w:t>
      </w:r>
      <w:r>
        <w:rPr>
          <w:rFonts w:hint="eastAsia"/>
          <w:spacing w:val="-2"/>
        </w:rPr>
        <w:t>不产生冲突。</w:t>
      </w:r>
    </w:p>
    <w:p w:rsidR="00D77B5D" w:rsidRDefault="00722CA6">
      <w:pPr>
        <w:pStyle w:val="a3"/>
        <w:spacing w:before="163" w:line="289" w:lineRule="auto"/>
        <w:ind w:left="25" w:right="5" w:firstLine="477"/>
        <w:jc w:val="both"/>
      </w:pPr>
      <w:r>
        <w:rPr>
          <w:rFonts w:hint="eastAsia"/>
          <w:spacing w:val="1"/>
        </w:rPr>
        <w:t>7</w:t>
      </w:r>
      <w:r>
        <w:rPr>
          <w:rFonts w:hint="eastAsia"/>
          <w:spacing w:val="-25"/>
          <w:lang w:eastAsia="zh-CN"/>
        </w:rPr>
        <w:t>、</w:t>
      </w:r>
      <w:r>
        <w:rPr>
          <w:rFonts w:hint="eastAsia"/>
          <w:spacing w:val="1"/>
        </w:rPr>
        <w:t>本公司旗下管理的其他开放式基金将根据具体情况确定是否开通同一基</w:t>
      </w:r>
      <w:r>
        <w:rPr>
          <w:rFonts w:hint="eastAsia"/>
          <w:spacing w:val="-2"/>
        </w:rPr>
        <w:t>金不同类别基金份额之间的转换业务，请投资者以相关公告为准。</w:t>
      </w:r>
    </w:p>
    <w:p w:rsidR="00D77B5D" w:rsidRDefault="00722CA6">
      <w:pPr>
        <w:pStyle w:val="a3"/>
        <w:spacing w:before="181" w:line="313" w:lineRule="auto"/>
        <w:ind w:left="22" w:right="2" w:firstLine="486"/>
        <w:jc w:val="both"/>
      </w:pPr>
      <w:r>
        <w:rPr>
          <w:rFonts w:hint="eastAsia"/>
          <w:spacing w:val="-5"/>
          <w:lang w:eastAsia="zh-CN"/>
        </w:rPr>
        <w:t>8</w:t>
      </w:r>
      <w:r>
        <w:rPr>
          <w:rFonts w:hint="eastAsia"/>
          <w:spacing w:val="-5"/>
          <w:lang w:eastAsia="zh-CN"/>
        </w:rPr>
        <w:t>、</w:t>
      </w:r>
      <w:r>
        <w:rPr>
          <w:rFonts w:hint="eastAsia"/>
          <w:spacing w:val="-5"/>
        </w:rPr>
        <w:t>本公司旗下各基金的转换业务的解释权归本公司，本公司可以</w:t>
      </w:r>
      <w:r>
        <w:rPr>
          <w:rFonts w:hint="eastAsia"/>
          <w:spacing w:val="-6"/>
        </w:rPr>
        <w:t>根据市场情</w:t>
      </w:r>
      <w:r>
        <w:rPr>
          <w:rFonts w:hint="eastAsia"/>
          <w:spacing w:val="5"/>
        </w:rPr>
        <w:t>况在</w:t>
      </w:r>
      <w:r>
        <w:rPr>
          <w:rFonts w:hint="eastAsia"/>
          <w:spacing w:val="5"/>
        </w:rPr>
        <w:t>不违反有关法律法规和基金合同的规定的前提下调整上述转换的业务规则</w:t>
      </w:r>
      <w:r>
        <w:rPr>
          <w:rFonts w:hint="eastAsia"/>
          <w:spacing w:val="-6"/>
        </w:rPr>
        <w:t>及有关限制。</w:t>
      </w:r>
    </w:p>
    <w:p w:rsidR="00D77B5D" w:rsidRDefault="00722CA6">
      <w:pPr>
        <w:pStyle w:val="a3"/>
        <w:spacing w:before="181" w:line="220" w:lineRule="auto"/>
        <w:ind w:left="503"/>
        <w:jc w:val="both"/>
      </w:pPr>
      <w:r>
        <w:rPr>
          <w:rFonts w:hint="eastAsia"/>
          <w:spacing w:val="-4"/>
        </w:rPr>
        <w:t>三、费率计算</w:t>
      </w:r>
    </w:p>
    <w:p w:rsidR="00D77B5D" w:rsidRDefault="00722CA6">
      <w:pPr>
        <w:pStyle w:val="a3"/>
        <w:spacing w:before="183" w:line="289" w:lineRule="auto"/>
        <w:ind w:left="23" w:right="82" w:firstLine="498"/>
        <w:jc w:val="both"/>
      </w:pPr>
      <w:r>
        <w:rPr>
          <w:rFonts w:hint="eastAsia"/>
          <w:spacing w:val="-2"/>
        </w:rPr>
        <w:t>1</w:t>
      </w:r>
      <w:r>
        <w:rPr>
          <w:rFonts w:hint="eastAsia"/>
          <w:spacing w:val="-22"/>
          <w:lang w:eastAsia="zh-CN"/>
        </w:rPr>
        <w:t>、</w:t>
      </w:r>
      <w:r>
        <w:rPr>
          <w:rFonts w:hint="eastAsia"/>
          <w:spacing w:val="-2"/>
        </w:rPr>
        <w:t>基金转换费用由转出基金份额类别的赎回费用及转入基金份额类别申购</w:t>
      </w:r>
      <w:r>
        <w:rPr>
          <w:rFonts w:hint="eastAsia"/>
          <w:spacing w:val="-4"/>
        </w:rPr>
        <w:t>补差费用两部分构成。</w:t>
      </w:r>
    </w:p>
    <w:p w:rsidR="00D77B5D" w:rsidRDefault="00722CA6">
      <w:pPr>
        <w:pStyle w:val="a3"/>
        <w:spacing w:before="183" w:line="324" w:lineRule="auto"/>
        <w:ind w:left="23" w:right="82" w:firstLine="475"/>
        <w:jc w:val="both"/>
      </w:pPr>
      <w:r>
        <w:rPr>
          <w:rFonts w:hint="eastAsia"/>
          <w:spacing w:val="-1"/>
        </w:rPr>
        <w:t>2</w:t>
      </w:r>
      <w:r>
        <w:rPr>
          <w:rFonts w:hint="eastAsia"/>
          <w:spacing w:val="-32"/>
          <w:lang w:eastAsia="zh-CN"/>
        </w:rPr>
        <w:t>、</w:t>
      </w:r>
      <w:r>
        <w:rPr>
          <w:rFonts w:hint="eastAsia"/>
          <w:spacing w:val="-1"/>
        </w:rPr>
        <w:t>基金转换时，如涉及的转出基金份额类别有赎回费用，收取该基金份额</w:t>
      </w:r>
      <w:r>
        <w:rPr>
          <w:rFonts w:hint="eastAsia"/>
        </w:rPr>
        <w:t>类别的赎回费用。收取的赎回费按照基金合同、招募</w:t>
      </w:r>
      <w:r>
        <w:rPr>
          <w:rFonts w:hint="eastAsia"/>
          <w:spacing w:val="-1"/>
        </w:rPr>
        <w:t>说明书（含更新）及最新</w:t>
      </w:r>
      <w:r>
        <w:rPr>
          <w:rFonts w:hint="eastAsia"/>
        </w:rPr>
        <w:t>的相关公告约定的比例归入基金财产，其余部分用于</w:t>
      </w:r>
      <w:r>
        <w:rPr>
          <w:rFonts w:hint="eastAsia"/>
          <w:spacing w:val="-1"/>
        </w:rPr>
        <w:t>支付注册登记费等相关手</w:t>
      </w:r>
      <w:r>
        <w:rPr>
          <w:rFonts w:hint="eastAsia"/>
          <w:spacing w:val="-10"/>
        </w:rPr>
        <w:t>续费。</w:t>
      </w:r>
    </w:p>
    <w:p w:rsidR="00D77B5D" w:rsidRDefault="00722CA6">
      <w:pPr>
        <w:pStyle w:val="a3"/>
        <w:spacing w:before="180" w:line="336" w:lineRule="auto"/>
        <w:ind w:left="22" w:right="82" w:firstLine="481"/>
        <w:jc w:val="both"/>
      </w:pPr>
      <w:r>
        <w:rPr>
          <w:rFonts w:hint="eastAsia"/>
          <w:lang w:eastAsia="zh-CN"/>
        </w:rPr>
        <w:t>3</w:t>
      </w:r>
      <w:r>
        <w:rPr>
          <w:rFonts w:hint="eastAsia"/>
          <w:lang w:eastAsia="zh-CN"/>
        </w:rPr>
        <w:t>、</w:t>
      </w:r>
      <w:r>
        <w:rPr>
          <w:rFonts w:hint="eastAsia"/>
        </w:rPr>
        <w:t>基金转换时，从申购费用低的基金份额类别向申</w:t>
      </w:r>
      <w:r>
        <w:rPr>
          <w:rFonts w:hint="eastAsia"/>
          <w:spacing w:val="-1"/>
        </w:rPr>
        <w:t>购费用高的基金份额类</w:t>
      </w:r>
      <w:r>
        <w:rPr>
          <w:rFonts w:hint="eastAsia"/>
        </w:rPr>
        <w:t>别转换时，每次收取申购补差费用；从申购费用高的基金</w:t>
      </w:r>
      <w:r>
        <w:rPr>
          <w:rFonts w:hint="eastAsia"/>
          <w:spacing w:val="-1"/>
        </w:rPr>
        <w:t>份额类别向申购费用</w:t>
      </w:r>
      <w:r>
        <w:rPr>
          <w:rFonts w:hint="eastAsia"/>
        </w:rPr>
        <w:t>低的基金份额类别转换或转换基金份额类别申购费率相同</w:t>
      </w:r>
      <w:r>
        <w:rPr>
          <w:rFonts w:hint="eastAsia"/>
          <w:spacing w:val="-1"/>
        </w:rPr>
        <w:t>时，不收取申购补差</w:t>
      </w:r>
      <w:r>
        <w:rPr>
          <w:rFonts w:hint="eastAsia"/>
        </w:rPr>
        <w:t>费用。申购补差费用按照转换金额对应的转出基金份额类别</w:t>
      </w:r>
      <w:r>
        <w:rPr>
          <w:rFonts w:hint="eastAsia"/>
          <w:spacing w:val="-1"/>
        </w:rPr>
        <w:t>与转入基金份额类</w:t>
      </w:r>
      <w:r>
        <w:rPr>
          <w:rFonts w:hint="eastAsia"/>
        </w:rPr>
        <w:t>别的申购费率差额进行补差，具体收取情况视每次转换时两</w:t>
      </w:r>
      <w:r>
        <w:rPr>
          <w:rFonts w:hint="eastAsia"/>
          <w:spacing w:val="-1"/>
        </w:rPr>
        <w:t>类基金份额类别的</w:t>
      </w:r>
      <w:r>
        <w:rPr>
          <w:rFonts w:hint="eastAsia"/>
          <w:spacing w:val="-4"/>
        </w:rPr>
        <w:t>申购费率的差异情况而定。</w:t>
      </w:r>
    </w:p>
    <w:p w:rsidR="00D77B5D" w:rsidRDefault="00722CA6">
      <w:pPr>
        <w:pStyle w:val="a3"/>
        <w:spacing w:before="183" w:line="233" w:lineRule="auto"/>
        <w:ind w:left="498"/>
        <w:jc w:val="both"/>
      </w:pPr>
      <w:r>
        <w:rPr>
          <w:rFonts w:hint="eastAsia"/>
          <w:spacing w:val="-3"/>
        </w:rPr>
        <w:t>4</w:t>
      </w:r>
      <w:r>
        <w:rPr>
          <w:rFonts w:hint="eastAsia"/>
          <w:spacing w:val="-32"/>
          <w:lang w:eastAsia="zh-CN"/>
        </w:rPr>
        <w:t>、</w:t>
      </w:r>
      <w:r>
        <w:rPr>
          <w:rFonts w:hint="eastAsia"/>
          <w:spacing w:val="-3"/>
        </w:rPr>
        <w:t>基金转换的计算公式</w:t>
      </w:r>
    </w:p>
    <w:p w:rsidR="00D77B5D" w:rsidRDefault="00D77B5D">
      <w:pPr>
        <w:spacing w:line="233" w:lineRule="auto"/>
        <w:jc w:val="both"/>
        <w:rPr>
          <w:rFonts w:ascii="宋体" w:eastAsia="宋体" w:hAnsi="宋体" w:cs="宋体"/>
        </w:rPr>
        <w:sectPr w:rsidR="00D77B5D">
          <w:pgSz w:w="11907" w:h="16839"/>
          <w:pgMar w:top="1422" w:right="1741" w:bottom="0" w:left="1785" w:header="0" w:footer="0" w:gutter="0"/>
          <w:cols w:space="720"/>
        </w:sectPr>
      </w:pPr>
    </w:p>
    <w:p w:rsidR="00D77B5D" w:rsidRDefault="00722CA6">
      <w:pPr>
        <w:pStyle w:val="a3"/>
        <w:spacing w:before="51" w:line="352" w:lineRule="auto"/>
        <w:ind w:left="25" w:right="129" w:firstLine="478"/>
        <w:jc w:val="both"/>
      </w:pPr>
      <w:r>
        <w:rPr>
          <w:rFonts w:hint="eastAsia"/>
        </w:rPr>
        <w:t>转出基金赎回费用＝转出的基金份额×转出基金</w:t>
      </w:r>
      <w:r>
        <w:rPr>
          <w:rFonts w:hint="eastAsia"/>
          <w:spacing w:val="-1"/>
        </w:rPr>
        <w:t>当日基金份额净值×转出基</w:t>
      </w:r>
      <w:r>
        <w:rPr>
          <w:rFonts w:hint="eastAsia"/>
          <w:spacing w:val="-2"/>
        </w:rPr>
        <w:t>金赎回费率</w:t>
      </w:r>
    </w:p>
    <w:p w:rsidR="00D77B5D" w:rsidRDefault="00722CA6">
      <w:pPr>
        <w:pStyle w:val="a3"/>
        <w:spacing w:before="19" w:line="352" w:lineRule="auto"/>
        <w:ind w:left="25" w:right="130" w:firstLine="478"/>
        <w:jc w:val="both"/>
      </w:pPr>
      <w:r>
        <w:rPr>
          <w:rFonts w:hint="eastAsia"/>
        </w:rPr>
        <w:t>转出金额</w:t>
      </w:r>
      <w:r>
        <w:rPr>
          <w:rFonts w:hint="eastAsia"/>
        </w:rPr>
        <w:t>=</w:t>
      </w:r>
      <w:r>
        <w:rPr>
          <w:rFonts w:hint="eastAsia"/>
        </w:rPr>
        <w:t>转出的基金份额×转出基金当日基</w:t>
      </w:r>
      <w:r>
        <w:rPr>
          <w:rFonts w:hint="eastAsia"/>
          <w:spacing w:val="-1"/>
        </w:rPr>
        <w:t>金份额净值－转出基金赎回费</w:t>
      </w:r>
      <w:r>
        <w:rPr>
          <w:rFonts w:hint="eastAsia"/>
        </w:rPr>
        <w:t>用</w:t>
      </w:r>
    </w:p>
    <w:p w:rsidR="00D77B5D" w:rsidRDefault="00722CA6">
      <w:pPr>
        <w:pStyle w:val="a3"/>
        <w:spacing w:before="17" w:line="359" w:lineRule="auto"/>
        <w:ind w:left="54" w:right="87" w:firstLine="448"/>
        <w:jc w:val="both"/>
        <w:rPr>
          <w:lang w:eastAsia="zh-CN"/>
        </w:rPr>
      </w:pPr>
      <w:r>
        <w:rPr>
          <w:rFonts w:hint="eastAsia"/>
          <w:spacing w:val="-1"/>
        </w:rPr>
        <w:t>基金申购补差费（外扣</w:t>
      </w:r>
      <w:r>
        <w:rPr>
          <w:rFonts w:hint="eastAsia"/>
          <w:spacing w:val="6"/>
        </w:rPr>
        <w:t>）＝</w:t>
      </w:r>
      <w:r>
        <w:rPr>
          <w:rFonts w:hint="eastAsia"/>
          <w:spacing w:val="-1"/>
        </w:rPr>
        <w:t>转出金额×转入基金的申购费率</w:t>
      </w:r>
      <w:r>
        <w:rPr>
          <w:rFonts w:hint="eastAsia"/>
          <w:spacing w:val="-1"/>
        </w:rPr>
        <w:t>/</w:t>
      </w:r>
      <w:r>
        <w:rPr>
          <w:rFonts w:hint="eastAsia"/>
          <w:spacing w:val="-1"/>
        </w:rPr>
        <w:t>（</w:t>
      </w:r>
      <w:r>
        <w:rPr>
          <w:rFonts w:hint="eastAsia"/>
          <w:spacing w:val="-1"/>
        </w:rPr>
        <w:t>1</w:t>
      </w:r>
      <w:r>
        <w:rPr>
          <w:rFonts w:hint="eastAsia"/>
          <w:spacing w:val="-1"/>
        </w:rPr>
        <w:t>＋转入基金</w:t>
      </w:r>
      <w:r>
        <w:rPr>
          <w:rFonts w:hint="eastAsia"/>
          <w:spacing w:val="-2"/>
        </w:rPr>
        <w:t>申购费率</w:t>
      </w:r>
      <w:r>
        <w:rPr>
          <w:rFonts w:hint="eastAsia"/>
          <w:spacing w:val="2"/>
        </w:rPr>
        <w:t>）－</w:t>
      </w:r>
      <w:r>
        <w:rPr>
          <w:rFonts w:hint="eastAsia"/>
          <w:spacing w:val="-2"/>
        </w:rPr>
        <w:t>转出金额×转出基金申购费率</w:t>
      </w:r>
      <w:r>
        <w:rPr>
          <w:rFonts w:hint="eastAsia"/>
          <w:spacing w:val="-2"/>
        </w:rPr>
        <w:t>/</w:t>
      </w:r>
      <w:r>
        <w:rPr>
          <w:rFonts w:hint="eastAsia"/>
          <w:spacing w:val="-2"/>
        </w:rPr>
        <w:t>（</w:t>
      </w:r>
      <w:r>
        <w:rPr>
          <w:rFonts w:hint="eastAsia"/>
          <w:spacing w:val="-2"/>
        </w:rPr>
        <w:t>1</w:t>
      </w:r>
      <w:r>
        <w:rPr>
          <w:rFonts w:hint="eastAsia"/>
          <w:spacing w:val="-2"/>
        </w:rPr>
        <w:t>＋转出基金申购费率）</w:t>
      </w:r>
      <w:r>
        <w:rPr>
          <w:rFonts w:hint="eastAsia"/>
          <w:spacing w:val="-2"/>
          <w:lang w:eastAsia="zh-CN"/>
        </w:rPr>
        <w:t>，</w:t>
      </w:r>
      <w:r>
        <w:rPr>
          <w:rFonts w:hint="eastAsia"/>
          <w:spacing w:val="-2"/>
        </w:rPr>
        <w:t>或固定申购补差费</w:t>
      </w:r>
    </w:p>
    <w:p w:rsidR="00D77B5D" w:rsidRDefault="00722CA6">
      <w:pPr>
        <w:pStyle w:val="a3"/>
        <w:spacing w:line="219" w:lineRule="auto"/>
        <w:ind w:left="504"/>
        <w:jc w:val="both"/>
      </w:pPr>
      <w:r>
        <w:rPr>
          <w:rFonts w:hint="eastAsia"/>
          <w:spacing w:val="-1"/>
        </w:rPr>
        <w:t>转换费用＝转出基金赎回费用＋基金申购补差费</w:t>
      </w:r>
    </w:p>
    <w:p w:rsidR="00D77B5D" w:rsidRDefault="00722CA6">
      <w:pPr>
        <w:pStyle w:val="a3"/>
        <w:spacing w:before="183" w:line="233" w:lineRule="auto"/>
        <w:ind w:left="504"/>
        <w:jc w:val="both"/>
      </w:pPr>
      <w:r>
        <w:rPr>
          <w:rFonts w:hint="eastAsia"/>
        </w:rPr>
        <w:t>转入份额</w:t>
      </w:r>
      <w:r>
        <w:rPr>
          <w:rFonts w:hint="eastAsia"/>
          <w:spacing w:val="-1"/>
        </w:rPr>
        <w:t>＝（</w:t>
      </w:r>
      <w:r>
        <w:rPr>
          <w:rFonts w:hint="eastAsia"/>
        </w:rPr>
        <w:t>转出金额－基金申购补差费）</w:t>
      </w:r>
      <w:r>
        <w:rPr>
          <w:rFonts w:hint="eastAsia"/>
        </w:rPr>
        <w:t>/</w:t>
      </w:r>
      <w:r>
        <w:rPr>
          <w:rFonts w:hint="eastAsia"/>
        </w:rPr>
        <w:t>转入基</w:t>
      </w:r>
      <w:r>
        <w:rPr>
          <w:rFonts w:hint="eastAsia"/>
          <w:spacing w:val="-1"/>
        </w:rPr>
        <w:t>金当日基金份额净值</w:t>
      </w:r>
    </w:p>
    <w:p w:rsidR="00D77B5D" w:rsidRDefault="00722CA6">
      <w:pPr>
        <w:pStyle w:val="a3"/>
        <w:spacing w:before="163" w:line="236" w:lineRule="auto"/>
        <w:ind w:left="499"/>
        <w:jc w:val="both"/>
      </w:pPr>
      <w:r>
        <w:rPr>
          <w:rFonts w:hint="eastAsia"/>
          <w:spacing w:val="-3"/>
          <w:lang w:eastAsia="zh-CN"/>
        </w:rPr>
        <w:t>5</w:t>
      </w:r>
      <w:r>
        <w:rPr>
          <w:rFonts w:hint="eastAsia"/>
          <w:spacing w:val="-3"/>
          <w:lang w:eastAsia="zh-CN"/>
        </w:rPr>
        <w:t>、</w:t>
      </w:r>
      <w:r>
        <w:rPr>
          <w:rFonts w:hint="eastAsia"/>
          <w:spacing w:val="-3"/>
        </w:rPr>
        <w:t>其他与转换相关的事项</w:t>
      </w:r>
    </w:p>
    <w:p w:rsidR="00D77B5D" w:rsidRDefault="00722CA6">
      <w:pPr>
        <w:pStyle w:val="a3"/>
        <w:spacing w:before="164" w:line="288" w:lineRule="auto"/>
        <w:ind w:left="24" w:right="61" w:firstLine="497"/>
        <w:jc w:val="both"/>
      </w:pPr>
      <w:r>
        <w:rPr>
          <w:rFonts w:hint="eastAsia"/>
          <w:spacing w:val="-2"/>
        </w:rPr>
        <w:t>1</w:t>
      </w:r>
      <w:r>
        <w:rPr>
          <w:rFonts w:hint="eastAsia"/>
          <w:spacing w:val="-2"/>
        </w:rPr>
        <w:t>）投资者在各基金销售机构办理基金转换业务时，具体费率优惠细则请以</w:t>
      </w:r>
      <w:r>
        <w:rPr>
          <w:rFonts w:hint="eastAsia"/>
          <w:spacing w:val="-3"/>
        </w:rPr>
        <w:t>销售机构的相关公告和规定为准。</w:t>
      </w:r>
    </w:p>
    <w:p w:rsidR="00D77B5D" w:rsidRDefault="00722CA6">
      <w:pPr>
        <w:pStyle w:val="a3"/>
        <w:spacing w:before="183" w:line="313" w:lineRule="auto"/>
        <w:ind w:left="22" w:right="40" w:firstLine="476"/>
        <w:jc w:val="both"/>
      </w:pPr>
      <w:r>
        <w:rPr>
          <w:rFonts w:hint="eastAsia"/>
        </w:rPr>
        <w:t>2</w:t>
      </w:r>
      <w:r>
        <w:rPr>
          <w:rFonts w:hint="eastAsia"/>
        </w:rPr>
        <w:t>）基金转换以份额为单位进行申请。投资者同一天可以发</w:t>
      </w:r>
      <w:r>
        <w:rPr>
          <w:rFonts w:hint="eastAsia"/>
          <w:spacing w:val="-1"/>
        </w:rPr>
        <w:t>起多次基金转换</w:t>
      </w:r>
      <w:r>
        <w:rPr>
          <w:rFonts w:hint="eastAsia"/>
        </w:rPr>
        <w:t>业务，基金转换费用按每笔申请单独计算，计算结果按</w:t>
      </w:r>
      <w:r>
        <w:rPr>
          <w:rFonts w:hint="eastAsia"/>
          <w:spacing w:val="-1"/>
        </w:rPr>
        <w:t>照四舍五入方法，</w:t>
      </w:r>
      <w:r>
        <w:rPr>
          <w:rFonts w:hint="eastAsia"/>
          <w:spacing w:val="-1"/>
          <w:lang w:eastAsia="zh-CN"/>
        </w:rPr>
        <w:t>保留</w:t>
      </w:r>
      <w:r>
        <w:rPr>
          <w:rFonts w:hint="eastAsia"/>
          <w:spacing w:val="-6"/>
        </w:rPr>
        <w:t>小数点后两位。</w:t>
      </w:r>
    </w:p>
    <w:p w:rsidR="00D77B5D" w:rsidRDefault="00722CA6">
      <w:pPr>
        <w:pStyle w:val="a3"/>
        <w:spacing w:before="181" w:line="313" w:lineRule="auto"/>
        <w:ind w:left="24" w:right="54" w:firstLine="479"/>
        <w:jc w:val="both"/>
      </w:pPr>
      <w:r>
        <w:rPr>
          <w:rFonts w:hint="eastAsia"/>
          <w:spacing w:val="-1"/>
        </w:rPr>
        <w:t>3</w:t>
      </w:r>
      <w:r>
        <w:rPr>
          <w:rFonts w:hint="eastAsia"/>
          <w:spacing w:val="-1"/>
        </w:rPr>
        <w:t>）转换结果以注册登记机构的记录为准，转入份额的计算结果保留位数依</w:t>
      </w:r>
      <w:r>
        <w:rPr>
          <w:rFonts w:hint="eastAsia"/>
        </w:rPr>
        <w:t>照转入基金的《招募说明书》（含更新）的规定。</w:t>
      </w:r>
      <w:r>
        <w:rPr>
          <w:rFonts w:hint="eastAsia"/>
          <w:spacing w:val="-1"/>
        </w:rPr>
        <w:t>由此误差产生的损失由基金</w:t>
      </w:r>
      <w:r>
        <w:rPr>
          <w:rFonts w:hint="eastAsia"/>
          <w:spacing w:val="-3"/>
        </w:rPr>
        <w:t>财产承担，产生的收益归基金财产所有。</w:t>
      </w:r>
    </w:p>
    <w:p w:rsidR="00D77B5D" w:rsidRDefault="00722CA6">
      <w:pPr>
        <w:pStyle w:val="a3"/>
        <w:spacing w:before="180" w:line="220" w:lineRule="auto"/>
        <w:ind w:left="526"/>
        <w:jc w:val="both"/>
      </w:pPr>
      <w:r>
        <w:rPr>
          <w:rFonts w:hint="eastAsia"/>
          <w:spacing w:val="-7"/>
        </w:rPr>
        <w:t>四、业务办理时间</w:t>
      </w:r>
    </w:p>
    <w:p w:rsidR="00D77B5D" w:rsidRDefault="00722CA6">
      <w:pPr>
        <w:pStyle w:val="a3"/>
        <w:spacing w:before="182" w:line="359" w:lineRule="auto"/>
        <w:ind w:left="23" w:right="13" w:firstLine="482"/>
        <w:jc w:val="both"/>
      </w:pPr>
      <w:r>
        <w:rPr>
          <w:rFonts w:hint="eastAsia"/>
          <w:spacing w:val="-3"/>
        </w:rPr>
        <w:t>投资者在开放日办理同一基金不同类别基金份额间的转换</w:t>
      </w:r>
      <w:r>
        <w:rPr>
          <w:rFonts w:hint="eastAsia"/>
          <w:spacing w:val="-4"/>
        </w:rPr>
        <w:t>业务，具体办理时</w:t>
      </w:r>
      <w:r>
        <w:rPr>
          <w:rFonts w:hint="eastAsia"/>
          <w:spacing w:val="-6"/>
        </w:rPr>
        <w:t>间遵守《基金合同》或《招募说明书》中关于开放日及开</w:t>
      </w:r>
      <w:r>
        <w:rPr>
          <w:rFonts w:hint="eastAsia"/>
          <w:spacing w:val="-7"/>
        </w:rPr>
        <w:t>放时间的相关规定，</w:t>
      </w:r>
      <w:r>
        <w:rPr>
          <w:rFonts w:hint="eastAsia"/>
          <w:spacing w:val="-7"/>
        </w:rPr>
        <w:t xml:space="preserve"> </w:t>
      </w:r>
      <w:r>
        <w:rPr>
          <w:rFonts w:hint="eastAsia"/>
          <w:spacing w:val="-7"/>
        </w:rPr>
        <w:t>但</w:t>
      </w:r>
      <w:r>
        <w:rPr>
          <w:rFonts w:hint="eastAsia"/>
          <w:spacing w:val="-3"/>
        </w:rPr>
        <w:t>基金管理人根据法律法规、中国证监会的要求或基金合同的规定公告暂停基金转换时除外。敬请投资者在办理本业务前详细了解业务规则、费率及持有期计</w:t>
      </w:r>
      <w:r>
        <w:rPr>
          <w:rFonts w:hint="eastAsia"/>
          <w:spacing w:val="-4"/>
        </w:rPr>
        <w:t>算等</w:t>
      </w:r>
      <w:r>
        <w:rPr>
          <w:rFonts w:hint="eastAsia"/>
          <w:spacing w:val="-10"/>
        </w:rPr>
        <w:t>事宜。</w:t>
      </w:r>
    </w:p>
    <w:p w:rsidR="00D77B5D" w:rsidRDefault="00722CA6">
      <w:pPr>
        <w:pStyle w:val="a3"/>
        <w:spacing w:line="220" w:lineRule="auto"/>
        <w:ind w:left="507"/>
        <w:jc w:val="both"/>
      </w:pPr>
      <w:r>
        <w:rPr>
          <w:rFonts w:hint="eastAsia"/>
          <w:spacing w:val="-4"/>
        </w:rPr>
        <w:t>五、重要提示</w:t>
      </w:r>
    </w:p>
    <w:p w:rsidR="00D77B5D" w:rsidRDefault="00722CA6">
      <w:pPr>
        <w:pStyle w:val="a3"/>
        <w:spacing w:before="181" w:line="313" w:lineRule="auto"/>
        <w:ind w:left="22" w:right="39" w:firstLine="499"/>
        <w:jc w:val="both"/>
      </w:pPr>
      <w:r>
        <w:rPr>
          <w:rFonts w:hint="eastAsia"/>
          <w:spacing w:val="-1"/>
          <w:lang w:eastAsia="zh-CN"/>
        </w:rPr>
        <w:t>1</w:t>
      </w:r>
      <w:r>
        <w:rPr>
          <w:rFonts w:hint="eastAsia"/>
          <w:spacing w:val="-1"/>
          <w:lang w:eastAsia="zh-CN"/>
        </w:rPr>
        <w:t>、</w:t>
      </w:r>
      <w:r>
        <w:rPr>
          <w:rFonts w:hint="eastAsia"/>
          <w:spacing w:val="-1"/>
        </w:rPr>
        <w:t>上述业务的解释权归</w:t>
      </w:r>
      <w:r>
        <w:rPr>
          <w:rFonts w:hint="eastAsia"/>
          <w:spacing w:val="-1"/>
          <w:lang w:eastAsia="zh-CN"/>
        </w:rPr>
        <w:t>鹏安</w:t>
      </w:r>
      <w:r>
        <w:rPr>
          <w:rFonts w:hint="eastAsia"/>
          <w:spacing w:val="-1"/>
        </w:rPr>
        <w:t>基金管理有限公司。投资者欲了解本基金</w:t>
      </w:r>
      <w:r>
        <w:rPr>
          <w:rFonts w:hint="eastAsia"/>
        </w:rPr>
        <w:t>的详细情况，请仔细阅读最新的《基金合同》和《招募</w:t>
      </w:r>
      <w:r>
        <w:rPr>
          <w:rFonts w:hint="eastAsia"/>
          <w:spacing w:val="-1"/>
        </w:rPr>
        <w:t>说明书》等基金法律文</w:t>
      </w:r>
      <w:r>
        <w:rPr>
          <w:rFonts w:hint="eastAsia"/>
          <w:spacing w:val="-11"/>
        </w:rPr>
        <w:t>件。</w:t>
      </w:r>
    </w:p>
    <w:p w:rsidR="00D77B5D" w:rsidRDefault="00722CA6">
      <w:pPr>
        <w:pStyle w:val="a3"/>
        <w:spacing w:before="181" w:line="293" w:lineRule="auto"/>
        <w:ind w:left="24" w:right="40" w:firstLine="474"/>
        <w:jc w:val="both"/>
      </w:pPr>
      <w:r>
        <w:rPr>
          <w:rFonts w:hint="eastAsia"/>
          <w:spacing w:val="-1"/>
        </w:rPr>
        <w:t>2</w:t>
      </w:r>
      <w:r>
        <w:rPr>
          <w:rFonts w:hint="eastAsia"/>
          <w:spacing w:val="-1"/>
        </w:rPr>
        <w:t>、本业务涉及的招募说明书相关内容，将在更新招募说明书时一并予以调</w:t>
      </w:r>
      <w:r>
        <w:rPr>
          <w:rFonts w:hint="eastAsia"/>
          <w:spacing w:val="-12"/>
        </w:rPr>
        <w:t>整。</w:t>
      </w:r>
    </w:p>
    <w:p w:rsidR="00D77B5D" w:rsidRDefault="00D77B5D">
      <w:pPr>
        <w:spacing w:line="293" w:lineRule="auto"/>
        <w:jc w:val="both"/>
        <w:rPr>
          <w:rFonts w:ascii="宋体" w:eastAsia="宋体" w:hAnsi="宋体" w:cs="宋体"/>
        </w:rPr>
        <w:sectPr w:rsidR="00D77B5D">
          <w:pgSz w:w="11907" w:h="16839"/>
          <w:pgMar w:top="1422" w:right="1785" w:bottom="0" w:left="1785" w:header="0" w:footer="0" w:gutter="0"/>
          <w:cols w:space="720"/>
        </w:sectPr>
      </w:pPr>
    </w:p>
    <w:p w:rsidR="00D77B5D" w:rsidRDefault="00722CA6">
      <w:pPr>
        <w:pStyle w:val="a3"/>
        <w:spacing w:before="50" w:line="352" w:lineRule="auto"/>
        <w:ind w:left="23" w:right="40" w:firstLine="480"/>
        <w:jc w:val="both"/>
      </w:pPr>
      <w:r>
        <w:rPr>
          <w:rFonts w:hint="eastAsia"/>
          <w:spacing w:val="-1"/>
        </w:rPr>
        <w:t>3</w:t>
      </w:r>
      <w:r>
        <w:rPr>
          <w:rFonts w:hint="eastAsia"/>
          <w:spacing w:val="-34"/>
        </w:rPr>
        <w:t xml:space="preserve"> </w:t>
      </w:r>
      <w:r>
        <w:rPr>
          <w:rFonts w:hint="eastAsia"/>
          <w:spacing w:val="-1"/>
        </w:rPr>
        <w:t>、本公司若暂停办理本业务，将另行发布公告。投资者可通过本</w:t>
      </w:r>
      <w:r>
        <w:rPr>
          <w:rFonts w:hint="eastAsia"/>
          <w:spacing w:val="-2"/>
        </w:rPr>
        <w:t>基金各销</w:t>
      </w:r>
      <w:r>
        <w:rPr>
          <w:rFonts w:hint="eastAsia"/>
          <w:spacing w:val="-5"/>
        </w:rPr>
        <w:t>售机构及以下途径咨询有关详情：</w:t>
      </w:r>
    </w:p>
    <w:p w:rsidR="00D77B5D" w:rsidRDefault="00722CA6">
      <w:pPr>
        <w:pStyle w:val="a3"/>
        <w:spacing w:before="20" w:line="212" w:lineRule="auto"/>
        <w:ind w:left="522"/>
        <w:jc w:val="both"/>
      </w:pPr>
      <w:r>
        <w:rPr>
          <w:rFonts w:hint="eastAsia"/>
          <w:spacing w:val="-3"/>
        </w:rPr>
        <w:t>1</w:t>
      </w:r>
      <w:r>
        <w:rPr>
          <w:rFonts w:hint="eastAsia"/>
          <w:spacing w:val="-3"/>
        </w:rPr>
        <w:t>）</w:t>
      </w:r>
      <w:r>
        <w:rPr>
          <w:rFonts w:hint="eastAsia"/>
          <w:spacing w:val="-3"/>
          <w:lang w:eastAsia="zh-CN"/>
        </w:rPr>
        <w:t>鹏安</w:t>
      </w:r>
      <w:r>
        <w:rPr>
          <w:rFonts w:hint="eastAsia"/>
          <w:spacing w:val="-3"/>
        </w:rPr>
        <w:t>基金管理有限公司</w:t>
      </w:r>
      <w:r>
        <w:rPr>
          <w:rFonts w:hint="eastAsia"/>
          <w:spacing w:val="77"/>
        </w:rPr>
        <w:t xml:space="preserve"> </w:t>
      </w:r>
      <w:r>
        <w:rPr>
          <w:rFonts w:hint="eastAsia"/>
          <w:spacing w:val="-3"/>
        </w:rPr>
        <w:t>网站：</w:t>
      </w:r>
      <w:hyperlink r:id="rId7" w:history="1">
        <w:r>
          <w:rPr>
            <w:rFonts w:hint="eastAsia"/>
            <w:spacing w:val="-3"/>
          </w:rPr>
          <w:t>www.</w:t>
        </w:r>
        <w:r>
          <w:rPr>
            <w:rFonts w:hint="eastAsia"/>
            <w:spacing w:val="-3"/>
            <w:lang w:eastAsia="zh-CN"/>
          </w:rPr>
          <w:t>penganfunds</w:t>
        </w:r>
        <w:r>
          <w:rPr>
            <w:rFonts w:hint="eastAsia"/>
            <w:spacing w:val="-3"/>
          </w:rPr>
          <w:t>.com</w:t>
        </w:r>
      </w:hyperlink>
    </w:p>
    <w:p w:rsidR="00D77B5D" w:rsidRDefault="00D77B5D">
      <w:pPr>
        <w:pStyle w:val="a3"/>
        <w:spacing w:before="192" w:line="233" w:lineRule="auto"/>
        <w:ind w:left="499"/>
        <w:jc w:val="both"/>
      </w:pPr>
      <w:hyperlink r:id="rId8" w:history="1">
        <w:r w:rsidR="00722CA6">
          <w:rPr>
            <w:rFonts w:hint="eastAsia"/>
            <w:spacing w:val="-2"/>
          </w:rPr>
          <w:t>2</w:t>
        </w:r>
      </w:hyperlink>
      <w:r w:rsidR="00722CA6">
        <w:rPr>
          <w:rFonts w:hint="eastAsia"/>
          <w:spacing w:val="-2"/>
        </w:rPr>
        <w:t>）</w:t>
      </w:r>
      <w:r w:rsidR="00722CA6">
        <w:rPr>
          <w:rFonts w:hint="eastAsia"/>
          <w:spacing w:val="-2"/>
          <w:lang w:eastAsia="zh-CN"/>
        </w:rPr>
        <w:t>鹏安</w:t>
      </w:r>
      <w:r w:rsidR="00722CA6">
        <w:rPr>
          <w:rFonts w:hint="eastAsia"/>
          <w:spacing w:val="-2"/>
        </w:rPr>
        <w:t>基金管理有限公司</w:t>
      </w:r>
      <w:r w:rsidR="00722CA6">
        <w:rPr>
          <w:rFonts w:hint="eastAsia"/>
          <w:spacing w:val="59"/>
        </w:rPr>
        <w:t xml:space="preserve"> </w:t>
      </w:r>
      <w:r w:rsidR="00722CA6">
        <w:rPr>
          <w:rFonts w:hint="eastAsia"/>
          <w:spacing w:val="-2"/>
        </w:rPr>
        <w:t>客户服务热线：</w:t>
      </w:r>
      <w:r w:rsidR="00722CA6">
        <w:rPr>
          <w:rFonts w:hint="eastAsia"/>
          <w:spacing w:val="-2"/>
        </w:rPr>
        <w:t>400-814-2888</w:t>
      </w:r>
    </w:p>
    <w:p w:rsidR="00D77B5D" w:rsidRDefault="00D77B5D">
      <w:pPr>
        <w:spacing w:line="248" w:lineRule="auto"/>
        <w:jc w:val="both"/>
      </w:pPr>
    </w:p>
    <w:p w:rsidR="00D77B5D" w:rsidRDefault="00D77B5D">
      <w:pPr>
        <w:spacing w:line="248" w:lineRule="auto"/>
        <w:jc w:val="both"/>
      </w:pPr>
    </w:p>
    <w:p w:rsidR="00D77B5D" w:rsidRDefault="00722CA6">
      <w:pPr>
        <w:pStyle w:val="a3"/>
        <w:spacing w:before="78" w:line="359" w:lineRule="auto"/>
        <w:ind w:left="23" w:right="129" w:firstLine="483"/>
        <w:jc w:val="both"/>
        <w:rPr>
          <w:b/>
          <w:bCs/>
          <w:spacing w:val="-8"/>
        </w:rPr>
      </w:pPr>
      <w:r>
        <w:rPr>
          <w:rFonts w:hint="eastAsia"/>
          <w:b/>
          <w:bCs/>
          <w:spacing w:val="-2"/>
        </w:rPr>
        <w:t>风险提示：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w:t>
      </w:r>
      <w:r>
        <w:rPr>
          <w:rFonts w:hint="eastAsia"/>
          <w:b/>
          <w:bCs/>
          <w:spacing w:val="-8"/>
        </w:rPr>
        <w:t>意投资风险。</w:t>
      </w:r>
    </w:p>
    <w:p w:rsidR="00D77B5D" w:rsidRDefault="00D77B5D">
      <w:pPr>
        <w:pStyle w:val="a3"/>
        <w:spacing w:before="78" w:line="359" w:lineRule="auto"/>
        <w:ind w:left="23" w:right="129" w:firstLine="483"/>
        <w:jc w:val="both"/>
        <w:rPr>
          <w:b/>
          <w:bCs/>
          <w:spacing w:val="-8"/>
        </w:rPr>
      </w:pPr>
    </w:p>
    <w:p w:rsidR="00D77B5D" w:rsidRDefault="00722CA6">
      <w:pPr>
        <w:pStyle w:val="a3"/>
        <w:spacing w:line="218" w:lineRule="auto"/>
        <w:ind w:left="503"/>
        <w:jc w:val="both"/>
      </w:pPr>
      <w:r>
        <w:rPr>
          <w:rFonts w:hint="eastAsia"/>
          <w:spacing w:val="-8"/>
        </w:rPr>
        <w:t>特此公告。</w:t>
      </w:r>
    </w:p>
    <w:p w:rsidR="00D77B5D" w:rsidRDefault="00D77B5D">
      <w:pPr>
        <w:spacing w:line="275" w:lineRule="auto"/>
        <w:rPr>
          <w:rFonts w:ascii="宋体" w:eastAsia="宋体" w:hAnsi="宋体" w:cs="宋体"/>
        </w:rPr>
      </w:pPr>
    </w:p>
    <w:p w:rsidR="00D77B5D" w:rsidRDefault="00D77B5D">
      <w:pPr>
        <w:spacing w:line="275" w:lineRule="auto"/>
        <w:rPr>
          <w:rFonts w:ascii="宋体" w:eastAsia="宋体" w:hAnsi="宋体" w:cs="宋体"/>
        </w:rPr>
      </w:pPr>
    </w:p>
    <w:p w:rsidR="00D77B5D" w:rsidRDefault="00D77B5D">
      <w:pPr>
        <w:spacing w:line="275" w:lineRule="auto"/>
        <w:rPr>
          <w:rFonts w:ascii="宋体" w:eastAsia="宋体" w:hAnsi="宋体" w:cs="宋体"/>
        </w:rPr>
      </w:pPr>
    </w:p>
    <w:p w:rsidR="00D77B5D" w:rsidRDefault="00722CA6">
      <w:pPr>
        <w:pStyle w:val="a3"/>
        <w:spacing w:before="78" w:line="220" w:lineRule="auto"/>
        <w:ind w:right="9"/>
        <w:jc w:val="right"/>
        <w:rPr>
          <w:lang w:eastAsia="zh-CN"/>
        </w:rPr>
      </w:pPr>
      <w:r>
        <w:rPr>
          <w:rFonts w:hint="eastAsia"/>
          <w:spacing w:val="-3"/>
          <w:lang w:eastAsia="zh-CN"/>
        </w:rPr>
        <w:t>鹏安基金管理有限公司</w:t>
      </w:r>
    </w:p>
    <w:p w:rsidR="00D77B5D" w:rsidRDefault="00722CA6">
      <w:pPr>
        <w:pStyle w:val="a3"/>
        <w:spacing w:before="180" w:line="233" w:lineRule="auto"/>
        <w:ind w:right="12"/>
        <w:jc w:val="right"/>
      </w:pPr>
      <w:r>
        <w:rPr>
          <w:rFonts w:hint="eastAsia"/>
          <w:spacing w:val="-1"/>
        </w:rPr>
        <w:t>202</w:t>
      </w:r>
      <w:r>
        <w:rPr>
          <w:rFonts w:hint="eastAsia"/>
          <w:spacing w:val="-1"/>
          <w:lang w:eastAsia="zh-CN"/>
        </w:rPr>
        <w:t>6</w:t>
      </w:r>
      <w:r>
        <w:rPr>
          <w:rFonts w:hint="eastAsia"/>
          <w:spacing w:val="-1"/>
        </w:rPr>
        <w:t>年</w:t>
      </w:r>
      <w:r>
        <w:rPr>
          <w:rFonts w:hint="eastAsia"/>
          <w:spacing w:val="-1"/>
          <w:lang w:eastAsia="zh-CN"/>
        </w:rPr>
        <w:t>3</w:t>
      </w:r>
      <w:r>
        <w:rPr>
          <w:rFonts w:hint="eastAsia"/>
          <w:spacing w:val="-1"/>
        </w:rPr>
        <w:t>月</w:t>
      </w:r>
      <w:r>
        <w:rPr>
          <w:rFonts w:hint="eastAsia"/>
          <w:spacing w:val="-1"/>
          <w:lang w:eastAsia="zh-CN"/>
        </w:rPr>
        <w:t>4</w:t>
      </w:r>
      <w:r>
        <w:rPr>
          <w:rFonts w:hint="eastAsia"/>
          <w:spacing w:val="-1"/>
        </w:rPr>
        <w:t>日</w:t>
      </w:r>
    </w:p>
    <w:sectPr w:rsidR="00D77B5D" w:rsidSect="00D77B5D">
      <w:pgSz w:w="11907" w:h="16839"/>
      <w:pgMar w:top="1422" w:right="1785" w:bottom="0" w:left="1785"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B5D" w:rsidRDefault="00722CA6">
      <w:r>
        <w:separator/>
      </w:r>
    </w:p>
  </w:endnote>
  <w:endnote w:type="continuationSeparator" w:id="0">
    <w:p w:rsidR="00D77B5D" w:rsidRDefault="00722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B5D" w:rsidRDefault="00722CA6">
      <w:r>
        <w:separator/>
      </w:r>
    </w:p>
  </w:footnote>
  <w:footnote w:type="continuationSeparator" w:id="0">
    <w:p w:rsidR="00D77B5D" w:rsidRDefault="00722C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trackRevisions/>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
  <w:rsids>
    <w:rsidRoot w:val="00D77B5D"/>
    <w:rsid w:val="00722CA6"/>
    <w:rsid w:val="00D77B5D"/>
    <w:rsid w:val="070D6D82"/>
    <w:rsid w:val="1EAB2537"/>
    <w:rsid w:val="1F247829"/>
    <w:rsid w:val="2671641F"/>
    <w:rsid w:val="329B0E37"/>
    <w:rsid w:val="40AD06B3"/>
    <w:rsid w:val="5AD50114"/>
    <w:rsid w:val="759A69BA"/>
    <w:rsid w:val="76835153"/>
    <w:rsid w:val="776264B2"/>
    <w:rsid w:val="79AA3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D77B5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D77B5D"/>
    <w:rPr>
      <w:rFonts w:ascii="宋体" w:eastAsia="宋体" w:hAnsi="宋体" w:cs="宋体"/>
      <w:sz w:val="24"/>
      <w:szCs w:val="24"/>
    </w:rPr>
  </w:style>
  <w:style w:type="table" w:customStyle="1" w:styleId="TableNormal">
    <w:name w:val="Table Normal"/>
    <w:semiHidden/>
    <w:unhideWhenUsed/>
    <w:qFormat/>
    <w:rsid w:val="00D77B5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msjyfund.com.cn2" TargetMode="External"/><Relationship Id="rId3" Type="http://schemas.openxmlformats.org/officeDocument/2006/relationships/settings" Target="settings.xml"/><Relationship Id="rId7" Type="http://schemas.openxmlformats.org/officeDocument/2006/relationships/hyperlink" Target="https://www.msjyfund.com.cn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8bfc2de9-8b26-46b7-9fc6-f56a09be2b83</errorID>
      <errorWord>《鹏安安泰利率债债券型证券投资基金基金合同》（以下简称“《基金合同》”）</errorWord>
      <group>L1_Knowledge</group>
      <groupName>知识性问题</groupName>
      <ability>L2_Knowledge</ability>
      <abilityName>其他知识</abilityName>
      <candidateList>
        <item>《鹏安安泰利率债债券型证券投资基金基金合同》（以下简称《基金合同》）</item>
      </candidateList>
      <explain>疑似政策文件、法律法规名称等书写不规范，请注意检查。</explain>
      <paraID>2DD5CA50</paraID>
      <start>52</start>
      <end>86</end>
      <status>modified</status>
      <modifiedWord>《鹏安安泰利率债债券型证券投资基金基金合同》（以下简称《基金合同》）</modifiedWord>
      <trackRevisions>false</trackRevisions>
    </reviewItem>
  </reviewItems>
  <config/>
</contractReview>
</file>

<file path=customXml/itemProps1.xml><?xml version="1.0" encoding="utf-8"?>
<ds:datastoreItem xmlns:ds="http://schemas.openxmlformats.org/officeDocument/2006/customXml" ds:itemID="{37833593-938D-43BC-A6E2-1F1ED599CD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4</DocSecurity>
  <Lines>19</Lines>
  <Paragraphs>5</Paragraphs>
  <ScaleCrop>false</ScaleCrop>
  <Company>CNSTOCK</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刘佳琦</dc:creator>
  <cp:lastModifiedBy>ZHONGM</cp:lastModifiedBy>
  <cp:revision>2</cp:revision>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2026-03-02T13:35:10Z</vt:filetime>
  </property>
  <property fmtid="{D5CDD505-2E9C-101B-9397-08002B2CF9AE}" pid="4" name="KSOTemplateDocerSaveRecord">
    <vt:lpwstr>eyJoZGlkIjoiMjY4MGY4OTAxYzk1OGY3Mjg2ZDZhZjQ3ODY0YWFjYTEiLCJ1c2VySWQiOiIxNjU3MjQ4Nzc4In0=</vt:lpwstr>
  </property>
  <property fmtid="{D5CDD505-2E9C-101B-9397-08002B2CF9AE}" pid="5" name="KSOProductBuildVer">
    <vt:lpwstr>2052-12.1.0.23542</vt:lpwstr>
  </property>
  <property fmtid="{D5CDD505-2E9C-101B-9397-08002B2CF9AE}" pid="6" name="ICV">
    <vt:lpwstr>920024A0A2614F01903CADD61173DC0C_13</vt:lpwstr>
  </property>
</Properties>
</file>