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27" w:rsidRPr="00627882" w:rsidRDefault="009E5827" w:rsidP="009E5827">
      <w:pPr>
        <w:jc w:val="center"/>
        <w:rPr>
          <w:rFonts w:ascii="宋体" w:eastAsia="宋体" w:hAnsi="宋体"/>
          <w:b/>
          <w:sz w:val="28"/>
          <w:szCs w:val="28"/>
        </w:rPr>
      </w:pPr>
      <w:r w:rsidRPr="00627882">
        <w:rPr>
          <w:rFonts w:ascii="宋体" w:eastAsia="宋体" w:hAnsi="宋体" w:hint="eastAsia"/>
          <w:b/>
          <w:sz w:val="28"/>
          <w:szCs w:val="28"/>
        </w:rPr>
        <w:t>银河基金管理有限公司</w:t>
      </w:r>
    </w:p>
    <w:p w:rsidR="009E5827" w:rsidRPr="00627882" w:rsidRDefault="009E5827" w:rsidP="009E5827">
      <w:pPr>
        <w:jc w:val="center"/>
        <w:rPr>
          <w:rFonts w:ascii="宋体" w:eastAsia="宋体" w:hAnsi="宋体"/>
          <w:b/>
          <w:sz w:val="28"/>
          <w:szCs w:val="28"/>
        </w:rPr>
      </w:pPr>
      <w:r w:rsidRPr="00627882">
        <w:rPr>
          <w:rFonts w:ascii="宋体" w:eastAsia="宋体" w:hAnsi="宋体" w:hint="eastAsia"/>
          <w:b/>
          <w:sz w:val="28"/>
          <w:szCs w:val="28"/>
        </w:rPr>
        <w:t>关于</w:t>
      </w:r>
      <w:r w:rsidR="007D2E8D" w:rsidRPr="00627882">
        <w:rPr>
          <w:rFonts w:ascii="宋体" w:eastAsia="宋体" w:hAnsi="宋体" w:hint="eastAsia"/>
          <w:b/>
          <w:sz w:val="28"/>
          <w:szCs w:val="28"/>
        </w:rPr>
        <w:t>银河聚星两年定期开放债券型证券投资基金</w:t>
      </w:r>
    </w:p>
    <w:p w:rsidR="009E5827" w:rsidRPr="00627882" w:rsidRDefault="009E5827" w:rsidP="009E5827">
      <w:pPr>
        <w:jc w:val="center"/>
        <w:rPr>
          <w:rFonts w:ascii="宋体" w:eastAsia="宋体" w:hAnsi="宋体"/>
          <w:b/>
          <w:sz w:val="28"/>
          <w:szCs w:val="28"/>
        </w:rPr>
      </w:pPr>
      <w:r w:rsidRPr="00627882">
        <w:rPr>
          <w:rFonts w:ascii="宋体" w:eastAsia="宋体" w:hAnsi="宋体" w:hint="eastAsia"/>
          <w:b/>
          <w:sz w:val="28"/>
          <w:szCs w:val="28"/>
        </w:rPr>
        <w:t>提前结束开放期的公告</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根据银河基金管理有限公司（以下简称“基金管理人”）于2026年1月30日发布的《银河聚星两年定期开放债券型证券投资基金开放申购和赎回业务公告》</w:t>
      </w:r>
      <w:r w:rsidRPr="00627882">
        <w:rPr>
          <w:rFonts w:ascii="宋体" w:eastAsia="宋体" w:hAnsi="宋体" w:hint="eastAsia"/>
          <w:sz w:val="24"/>
          <w:szCs w:val="24"/>
        </w:rPr>
        <w:t>，</w:t>
      </w:r>
      <w:r w:rsidRPr="00627882">
        <w:rPr>
          <w:rFonts w:ascii="宋体" w:eastAsia="宋体" w:hAnsi="宋体"/>
          <w:sz w:val="24"/>
          <w:szCs w:val="24"/>
        </w:rPr>
        <w:t>银河聚星两年定期开放债券型证券投资基金（以下简称“本基金”）原定2026年2月2日至3月9日为本基金本次开放期，接受投资人的申购、赎回申请。</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为更好地保护持有人利益，做好投资管理和风险控制工作，根据《银河聚星两年定期开放债券型证券投资基金基金合同》（以下简称《基金合同》）、《银河聚星两年定期开放债券型证券投资基金招募说明书》（以下简称《招募说明书》）的相关约定，基金管理人决定将2026年</w:t>
      </w:r>
      <w:r w:rsidR="00627882" w:rsidRPr="00627882">
        <w:rPr>
          <w:rFonts w:ascii="宋体" w:eastAsia="宋体" w:hAnsi="宋体"/>
          <w:sz w:val="24"/>
          <w:szCs w:val="24"/>
        </w:rPr>
        <w:t>3</w:t>
      </w:r>
      <w:r w:rsidRPr="00627882">
        <w:rPr>
          <w:rFonts w:ascii="宋体" w:eastAsia="宋体" w:hAnsi="宋体"/>
          <w:sz w:val="24"/>
          <w:szCs w:val="24"/>
        </w:rPr>
        <w:t>月</w:t>
      </w:r>
      <w:r w:rsidR="00627882" w:rsidRPr="00627882">
        <w:rPr>
          <w:rFonts w:ascii="宋体" w:eastAsia="宋体" w:hAnsi="宋体"/>
          <w:sz w:val="24"/>
          <w:szCs w:val="24"/>
        </w:rPr>
        <w:t>3</w:t>
      </w:r>
      <w:r w:rsidRPr="00627882">
        <w:rPr>
          <w:rFonts w:ascii="宋体" w:eastAsia="宋体" w:hAnsi="宋体"/>
          <w:sz w:val="24"/>
          <w:szCs w:val="24"/>
        </w:rPr>
        <w:t>日定为本次开放期最后一日，</w:t>
      </w:r>
      <w:r w:rsidR="00627882" w:rsidRPr="00627882">
        <w:rPr>
          <w:rFonts w:ascii="宋体" w:eastAsia="宋体" w:hAnsi="宋体"/>
          <w:sz w:val="24"/>
          <w:szCs w:val="24"/>
        </w:rPr>
        <w:t>3</w:t>
      </w:r>
      <w:r w:rsidRPr="00627882">
        <w:rPr>
          <w:rFonts w:ascii="宋体" w:eastAsia="宋体" w:hAnsi="宋体"/>
          <w:sz w:val="24"/>
          <w:szCs w:val="24"/>
        </w:rPr>
        <w:t>月</w:t>
      </w:r>
      <w:r w:rsidR="00627882" w:rsidRPr="00627882">
        <w:rPr>
          <w:rFonts w:ascii="宋体" w:eastAsia="宋体" w:hAnsi="宋体"/>
          <w:sz w:val="24"/>
          <w:szCs w:val="24"/>
        </w:rPr>
        <w:t>3</w:t>
      </w:r>
      <w:r w:rsidRPr="00627882">
        <w:rPr>
          <w:rFonts w:ascii="宋体" w:eastAsia="宋体" w:hAnsi="宋体"/>
          <w:sz w:val="24"/>
          <w:szCs w:val="24"/>
        </w:rPr>
        <w:t>日及之前的有效申购、赎回申请将予以确认，本基金自2026年</w:t>
      </w:r>
      <w:r w:rsidR="00627882" w:rsidRPr="00627882">
        <w:rPr>
          <w:rFonts w:ascii="宋体" w:eastAsia="宋体" w:hAnsi="宋体"/>
          <w:sz w:val="24"/>
          <w:szCs w:val="24"/>
        </w:rPr>
        <w:t>3</w:t>
      </w:r>
      <w:r w:rsidRPr="00627882">
        <w:rPr>
          <w:rFonts w:ascii="宋体" w:eastAsia="宋体" w:hAnsi="宋体"/>
          <w:sz w:val="24"/>
          <w:szCs w:val="24"/>
        </w:rPr>
        <w:t>月</w:t>
      </w:r>
      <w:r w:rsidR="00627882" w:rsidRPr="00627882">
        <w:rPr>
          <w:rFonts w:ascii="宋体" w:eastAsia="宋体" w:hAnsi="宋体"/>
          <w:sz w:val="24"/>
          <w:szCs w:val="24"/>
        </w:rPr>
        <w:t>4</w:t>
      </w:r>
      <w:r w:rsidRPr="00627882">
        <w:rPr>
          <w:rFonts w:ascii="宋体" w:eastAsia="宋体" w:hAnsi="宋体"/>
          <w:sz w:val="24"/>
          <w:szCs w:val="24"/>
        </w:rPr>
        <w:t>日进入下一个封闭期。</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重要提示：</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1、销售机构对申购、赎回申请的受理并不代表申请一定成功，而仅代表销售机构确实接收到申请。申购、赎回的确认以登记机构的确认结果为准。</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2、本公告仅对本基金提前结束开放期并进入下一个封闭期的有关事项予以说明。投资者欲了解本基金的详细情况，请阅读本基金的《基金合同》、《招募说明书》。投资者可访问基金管理人网站(www.cgf.cn)或拨打客户服务电话(400-820-0860)咨询相关情况。</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风险提示：</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本基金以定期开放方式运作，在封闭期内，投资人将面临因不能赎回或卖出基金份额而出现的流动性约束。</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基金管理人提醒投资人基金投资的“买者自负”原则，在做出投资决</w:t>
      </w:r>
      <w:r w:rsidRPr="00627882">
        <w:rPr>
          <w:rFonts w:ascii="宋体" w:eastAsia="宋体" w:hAnsi="宋体"/>
          <w:sz w:val="24"/>
          <w:szCs w:val="24"/>
        </w:rPr>
        <w:lastRenderedPageBreak/>
        <w:t>策后，基金运营状况与基金净值变化引致的投资风险，由投资人自行负担。基金管理人、基金托管人、基金销售机构及相关机构不对基金投资收益做出任何承诺或保证。</w:t>
      </w:r>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本基金存在特定机构投资者大额赎回导致的基金份额净值波动风险、流动性风险、巨额赎回风险和基金资产净值较低的风险。投资者投资基金前应认真阅读《基金合同》、最新的《招募说明书》等法律文件，了解拟投资基金的风险收益特征，并根据自身投资目的、投资期限、投资经验、资产状况等判断基金是否和投资者的风险承受能力相匹配。</w:t>
      </w:r>
      <w:bookmarkStart w:id="0" w:name="_GoBack"/>
      <w:bookmarkEnd w:id="0"/>
    </w:p>
    <w:p w:rsidR="007D2E8D" w:rsidRPr="00627882" w:rsidRDefault="007D2E8D" w:rsidP="007D2E8D">
      <w:pPr>
        <w:spacing w:line="360" w:lineRule="auto"/>
        <w:ind w:firstLineChars="177" w:firstLine="425"/>
        <w:rPr>
          <w:rFonts w:ascii="宋体" w:eastAsia="宋体" w:hAnsi="宋体"/>
          <w:sz w:val="24"/>
          <w:szCs w:val="24"/>
        </w:rPr>
      </w:pPr>
      <w:r w:rsidRPr="00627882">
        <w:rPr>
          <w:rFonts w:ascii="宋体" w:eastAsia="宋体" w:hAnsi="宋体"/>
          <w:sz w:val="24"/>
          <w:szCs w:val="24"/>
        </w:rPr>
        <w:t>特此公告。</w:t>
      </w:r>
    </w:p>
    <w:p w:rsidR="007D2E8D" w:rsidRPr="00627882" w:rsidRDefault="007D2E8D" w:rsidP="007D2E8D">
      <w:pPr>
        <w:spacing w:line="360" w:lineRule="auto"/>
        <w:ind w:firstLineChars="177" w:firstLine="425"/>
        <w:rPr>
          <w:rFonts w:ascii="宋体" w:eastAsia="宋体" w:hAnsi="宋体"/>
          <w:sz w:val="24"/>
          <w:szCs w:val="24"/>
        </w:rPr>
      </w:pPr>
    </w:p>
    <w:p w:rsidR="007D2E8D" w:rsidRPr="00627882" w:rsidRDefault="007D2E8D" w:rsidP="007D2E8D">
      <w:pPr>
        <w:spacing w:line="360" w:lineRule="auto"/>
        <w:ind w:firstLineChars="177" w:firstLine="425"/>
        <w:rPr>
          <w:rFonts w:ascii="宋体" w:eastAsia="宋体" w:hAnsi="宋体"/>
          <w:sz w:val="24"/>
          <w:szCs w:val="24"/>
        </w:rPr>
      </w:pPr>
    </w:p>
    <w:p w:rsidR="007D2E8D" w:rsidRPr="00627882" w:rsidRDefault="007D2E8D" w:rsidP="007D2E8D">
      <w:pPr>
        <w:spacing w:line="360" w:lineRule="auto"/>
        <w:ind w:firstLineChars="177" w:firstLine="425"/>
        <w:rPr>
          <w:rFonts w:ascii="宋体" w:eastAsia="宋体" w:hAnsi="宋体"/>
          <w:sz w:val="24"/>
          <w:szCs w:val="24"/>
        </w:rPr>
      </w:pPr>
    </w:p>
    <w:p w:rsidR="007D2E8D" w:rsidRPr="00627882" w:rsidRDefault="007D2E8D" w:rsidP="007D2E8D">
      <w:pPr>
        <w:spacing w:line="360" w:lineRule="auto"/>
        <w:ind w:firstLineChars="177" w:firstLine="425"/>
        <w:jc w:val="right"/>
        <w:rPr>
          <w:rFonts w:ascii="宋体" w:eastAsia="宋体" w:hAnsi="宋体"/>
          <w:sz w:val="24"/>
          <w:szCs w:val="24"/>
        </w:rPr>
      </w:pPr>
      <w:r w:rsidRPr="00627882">
        <w:rPr>
          <w:rFonts w:ascii="宋体" w:eastAsia="宋体" w:hAnsi="宋体"/>
          <w:sz w:val="24"/>
          <w:szCs w:val="24"/>
        </w:rPr>
        <w:t>银河基金管理有限公司</w:t>
      </w:r>
    </w:p>
    <w:p w:rsidR="00166ACB" w:rsidRPr="00627882" w:rsidRDefault="007D2E8D" w:rsidP="007D2E8D">
      <w:pPr>
        <w:spacing w:line="360" w:lineRule="auto"/>
        <w:ind w:firstLineChars="177" w:firstLine="425"/>
        <w:jc w:val="right"/>
        <w:rPr>
          <w:rFonts w:ascii="宋体" w:eastAsia="宋体" w:hAnsi="宋体"/>
          <w:sz w:val="24"/>
          <w:szCs w:val="24"/>
        </w:rPr>
      </w:pPr>
      <w:r w:rsidRPr="00627882">
        <w:rPr>
          <w:rFonts w:ascii="宋体" w:eastAsia="宋体" w:hAnsi="宋体"/>
          <w:sz w:val="24"/>
          <w:szCs w:val="24"/>
        </w:rPr>
        <w:t>2026年</w:t>
      </w:r>
      <w:r w:rsidR="00627882" w:rsidRPr="00627882">
        <w:rPr>
          <w:rFonts w:ascii="宋体" w:eastAsia="宋体" w:hAnsi="宋体"/>
          <w:sz w:val="24"/>
          <w:szCs w:val="24"/>
        </w:rPr>
        <w:t>3</w:t>
      </w:r>
      <w:r w:rsidRPr="00627882">
        <w:rPr>
          <w:rFonts w:ascii="宋体" w:eastAsia="宋体" w:hAnsi="宋体"/>
          <w:sz w:val="24"/>
          <w:szCs w:val="24"/>
        </w:rPr>
        <w:t>月</w:t>
      </w:r>
      <w:r w:rsidR="00627882" w:rsidRPr="00627882">
        <w:rPr>
          <w:rFonts w:ascii="宋体" w:eastAsia="宋体" w:hAnsi="宋体"/>
          <w:sz w:val="24"/>
          <w:szCs w:val="24"/>
        </w:rPr>
        <w:t>3</w:t>
      </w:r>
      <w:r w:rsidRPr="00627882">
        <w:rPr>
          <w:rFonts w:ascii="宋体" w:eastAsia="宋体" w:hAnsi="宋体"/>
          <w:sz w:val="24"/>
          <w:szCs w:val="24"/>
        </w:rPr>
        <w:t>日</w:t>
      </w:r>
    </w:p>
    <w:sectPr w:rsidR="00166ACB" w:rsidRPr="00627882" w:rsidSect="00C337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C5F" w:rsidRDefault="00F73C5F" w:rsidP="00024952">
      <w:r>
        <w:separator/>
      </w:r>
    </w:p>
  </w:endnote>
  <w:endnote w:type="continuationSeparator" w:id="0">
    <w:p w:rsidR="00F73C5F" w:rsidRDefault="00F73C5F" w:rsidP="0002495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C5F" w:rsidRDefault="00F73C5F" w:rsidP="00024952">
      <w:r>
        <w:separator/>
      </w:r>
    </w:p>
  </w:footnote>
  <w:footnote w:type="continuationSeparator" w:id="0">
    <w:p w:rsidR="00F73C5F" w:rsidRDefault="00F73C5F" w:rsidP="00024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7F97"/>
    <w:rsid w:val="00024952"/>
    <w:rsid w:val="00074B59"/>
    <w:rsid w:val="000809D0"/>
    <w:rsid w:val="00114037"/>
    <w:rsid w:val="001D1E18"/>
    <w:rsid w:val="00230587"/>
    <w:rsid w:val="00233409"/>
    <w:rsid w:val="00246254"/>
    <w:rsid w:val="002E0568"/>
    <w:rsid w:val="00336045"/>
    <w:rsid w:val="0035251B"/>
    <w:rsid w:val="0039228F"/>
    <w:rsid w:val="00396D8B"/>
    <w:rsid w:val="00427F97"/>
    <w:rsid w:val="005934DB"/>
    <w:rsid w:val="00627882"/>
    <w:rsid w:val="00682694"/>
    <w:rsid w:val="006E2B00"/>
    <w:rsid w:val="007D2E8D"/>
    <w:rsid w:val="008063F3"/>
    <w:rsid w:val="00856016"/>
    <w:rsid w:val="009311E8"/>
    <w:rsid w:val="009B5410"/>
    <w:rsid w:val="009E5827"/>
    <w:rsid w:val="00A01AF4"/>
    <w:rsid w:val="00A92F28"/>
    <w:rsid w:val="00B441F0"/>
    <w:rsid w:val="00B443C2"/>
    <w:rsid w:val="00B55AB8"/>
    <w:rsid w:val="00B84BA9"/>
    <w:rsid w:val="00C33755"/>
    <w:rsid w:val="00C82E8B"/>
    <w:rsid w:val="00C92222"/>
    <w:rsid w:val="00CE3D9A"/>
    <w:rsid w:val="00CE61ED"/>
    <w:rsid w:val="00D05703"/>
    <w:rsid w:val="00D339DC"/>
    <w:rsid w:val="00D46B9F"/>
    <w:rsid w:val="00DC373C"/>
    <w:rsid w:val="00E1183B"/>
    <w:rsid w:val="00E56D90"/>
    <w:rsid w:val="00F04D18"/>
    <w:rsid w:val="00F079B3"/>
    <w:rsid w:val="00F73C5F"/>
    <w:rsid w:val="00F83463"/>
    <w:rsid w:val="00FE5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409"/>
    <w:pPr>
      <w:ind w:firstLineChars="200" w:firstLine="420"/>
    </w:pPr>
  </w:style>
  <w:style w:type="paragraph" w:styleId="a4">
    <w:name w:val="header"/>
    <w:basedOn w:val="a"/>
    <w:link w:val="Char"/>
    <w:uiPriority w:val="99"/>
    <w:unhideWhenUsed/>
    <w:rsid w:val="00024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24952"/>
    <w:rPr>
      <w:sz w:val="18"/>
      <w:szCs w:val="18"/>
    </w:rPr>
  </w:style>
  <w:style w:type="paragraph" w:styleId="a5">
    <w:name w:val="footer"/>
    <w:basedOn w:val="a"/>
    <w:link w:val="Char0"/>
    <w:uiPriority w:val="99"/>
    <w:unhideWhenUsed/>
    <w:rsid w:val="00024952"/>
    <w:pPr>
      <w:tabs>
        <w:tab w:val="center" w:pos="4153"/>
        <w:tab w:val="right" w:pos="8306"/>
      </w:tabs>
      <w:snapToGrid w:val="0"/>
      <w:jc w:val="left"/>
    </w:pPr>
    <w:rPr>
      <w:sz w:val="18"/>
      <w:szCs w:val="18"/>
    </w:rPr>
  </w:style>
  <w:style w:type="character" w:customStyle="1" w:styleId="Char0">
    <w:name w:val="页脚 Char"/>
    <w:basedOn w:val="a0"/>
    <w:link w:val="a5"/>
    <w:uiPriority w:val="99"/>
    <w:rsid w:val="00024952"/>
    <w:rPr>
      <w:sz w:val="18"/>
      <w:szCs w:val="18"/>
    </w:rPr>
  </w:style>
  <w:style w:type="character" w:styleId="a6">
    <w:name w:val="annotation reference"/>
    <w:basedOn w:val="a0"/>
    <w:uiPriority w:val="99"/>
    <w:semiHidden/>
    <w:unhideWhenUsed/>
    <w:rsid w:val="001D1E18"/>
    <w:rPr>
      <w:sz w:val="21"/>
      <w:szCs w:val="21"/>
    </w:rPr>
  </w:style>
  <w:style w:type="paragraph" w:styleId="a7">
    <w:name w:val="annotation text"/>
    <w:basedOn w:val="a"/>
    <w:link w:val="Char1"/>
    <w:uiPriority w:val="99"/>
    <w:semiHidden/>
    <w:unhideWhenUsed/>
    <w:rsid w:val="001D1E18"/>
    <w:pPr>
      <w:jc w:val="left"/>
    </w:pPr>
  </w:style>
  <w:style w:type="character" w:customStyle="1" w:styleId="Char1">
    <w:name w:val="批注文字 Char"/>
    <w:basedOn w:val="a0"/>
    <w:link w:val="a7"/>
    <w:uiPriority w:val="99"/>
    <w:semiHidden/>
    <w:rsid w:val="001D1E18"/>
  </w:style>
  <w:style w:type="paragraph" w:styleId="a8">
    <w:name w:val="annotation subject"/>
    <w:basedOn w:val="a7"/>
    <w:next w:val="a7"/>
    <w:link w:val="Char2"/>
    <w:uiPriority w:val="99"/>
    <w:semiHidden/>
    <w:unhideWhenUsed/>
    <w:rsid w:val="001D1E18"/>
    <w:rPr>
      <w:b/>
      <w:bCs/>
    </w:rPr>
  </w:style>
  <w:style w:type="character" w:customStyle="1" w:styleId="Char2">
    <w:name w:val="批注主题 Char"/>
    <w:basedOn w:val="Char1"/>
    <w:link w:val="a8"/>
    <w:uiPriority w:val="99"/>
    <w:semiHidden/>
    <w:rsid w:val="001D1E18"/>
    <w:rPr>
      <w:b/>
      <w:bCs/>
    </w:rPr>
  </w:style>
  <w:style w:type="paragraph" w:styleId="a9">
    <w:name w:val="Balloon Text"/>
    <w:basedOn w:val="a"/>
    <w:link w:val="Char3"/>
    <w:uiPriority w:val="99"/>
    <w:semiHidden/>
    <w:unhideWhenUsed/>
    <w:rsid w:val="001D1E18"/>
    <w:rPr>
      <w:sz w:val="18"/>
      <w:szCs w:val="18"/>
    </w:rPr>
  </w:style>
  <w:style w:type="character" w:customStyle="1" w:styleId="Char3">
    <w:name w:val="批注框文本 Char"/>
    <w:basedOn w:val="a0"/>
    <w:link w:val="a9"/>
    <w:uiPriority w:val="99"/>
    <w:semiHidden/>
    <w:rsid w:val="001D1E1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4</DocSecurity>
  <Lines>7</Lines>
  <Paragraphs>2</Paragraphs>
  <ScaleCrop>false</ScaleCrop>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萨仁高娃</dc:creator>
  <cp:keywords/>
  <dc:description/>
  <cp:lastModifiedBy>ZHONGM</cp:lastModifiedBy>
  <cp:revision>2</cp:revision>
  <dcterms:created xsi:type="dcterms:W3CDTF">2026-03-02T16:01:00Z</dcterms:created>
  <dcterms:modified xsi:type="dcterms:W3CDTF">2026-03-02T16:01:00Z</dcterms:modified>
</cp:coreProperties>
</file>