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EC2" w:rsidRPr="00B06FDD" w:rsidRDefault="00804EC2" w:rsidP="006814D3">
      <w:pPr>
        <w:spacing w:line="360" w:lineRule="auto"/>
        <w:ind w:leftChars="4" w:left="18" w:right="0" w:hangingChars="3" w:hanging="8"/>
        <w:jc w:val="center"/>
        <w:rPr>
          <w:rFonts w:ascii="楷体" w:eastAsia="楷体" w:hAnsi="楷体"/>
          <w:b/>
          <w:sz w:val="28"/>
          <w:szCs w:val="28"/>
        </w:rPr>
      </w:pPr>
      <w:r w:rsidRPr="00B06FDD">
        <w:rPr>
          <w:rFonts w:ascii="楷体" w:eastAsia="楷体" w:hAnsi="楷体" w:hint="eastAsia"/>
          <w:b/>
          <w:sz w:val="28"/>
          <w:szCs w:val="28"/>
        </w:rPr>
        <w:t>华安基金管理有限公司</w:t>
      </w:r>
    </w:p>
    <w:p w:rsidR="00304D18"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关于</w:t>
      </w:r>
      <w:r w:rsidR="00D03C34" w:rsidRPr="00D03C34">
        <w:rPr>
          <w:rFonts w:ascii="楷体" w:eastAsia="楷体" w:hAnsi="楷体" w:hint="eastAsia"/>
          <w:b/>
          <w:sz w:val="28"/>
          <w:szCs w:val="28"/>
        </w:rPr>
        <w:t>华安标普全球石油指数证券投资基金</w:t>
      </w:r>
      <w:r w:rsidR="00D03C34" w:rsidRPr="00D03C34">
        <w:rPr>
          <w:rFonts w:ascii="楷体" w:eastAsia="楷体" w:hAnsi="楷体"/>
          <w:b/>
          <w:sz w:val="28"/>
          <w:szCs w:val="28"/>
        </w:rPr>
        <w:t>(LOF)</w:t>
      </w:r>
    </w:p>
    <w:p w:rsidR="00B37FFD"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二级市场交易价格溢价风险</w:t>
      </w:r>
      <w:r w:rsidR="00335FA5">
        <w:rPr>
          <w:rFonts w:ascii="楷体" w:eastAsia="楷体" w:hAnsi="楷体" w:hint="eastAsia"/>
          <w:b/>
          <w:sz w:val="28"/>
          <w:szCs w:val="28"/>
        </w:rPr>
        <w:t>提示</w:t>
      </w:r>
      <w:r w:rsidR="00301591" w:rsidRPr="00301591">
        <w:rPr>
          <w:rFonts w:ascii="楷体" w:eastAsia="楷体" w:hAnsi="楷体" w:hint="eastAsia"/>
          <w:b/>
          <w:sz w:val="28"/>
          <w:szCs w:val="28"/>
        </w:rPr>
        <w:t>及停</w:t>
      </w:r>
      <w:r w:rsidR="00782DBD">
        <w:rPr>
          <w:rFonts w:ascii="楷体" w:eastAsia="楷体" w:hAnsi="楷体" w:hint="eastAsia"/>
          <w:b/>
          <w:sz w:val="28"/>
          <w:szCs w:val="28"/>
        </w:rPr>
        <w:t>复</w:t>
      </w:r>
      <w:r w:rsidR="00301591" w:rsidRPr="00301591">
        <w:rPr>
          <w:rFonts w:ascii="楷体" w:eastAsia="楷体" w:hAnsi="楷体" w:hint="eastAsia"/>
          <w:b/>
          <w:sz w:val="28"/>
          <w:szCs w:val="28"/>
        </w:rPr>
        <w:t>牌公告</w:t>
      </w:r>
    </w:p>
    <w:p w:rsidR="00B37FFD" w:rsidRPr="00304D18" w:rsidRDefault="00B37FFD" w:rsidP="0036711D">
      <w:pPr>
        <w:spacing w:after="134" w:line="259" w:lineRule="auto"/>
        <w:ind w:left="0" w:right="185" w:firstLine="0"/>
        <w:rPr>
          <w:rFonts w:ascii="楷体" w:eastAsia="楷体" w:hAnsi="楷体"/>
        </w:rPr>
      </w:pPr>
    </w:p>
    <w:p w:rsidR="00B37FFD" w:rsidRPr="00804EC2" w:rsidRDefault="00C42506" w:rsidP="00FA4FB6">
      <w:pPr>
        <w:spacing w:after="158" w:line="360" w:lineRule="auto"/>
        <w:ind w:right="0" w:firstLineChars="200" w:firstLine="480"/>
        <w:rPr>
          <w:rFonts w:ascii="楷体" w:eastAsia="楷体" w:hAnsi="楷体"/>
        </w:rPr>
      </w:pPr>
      <w:r w:rsidRPr="00804EC2">
        <w:rPr>
          <w:rFonts w:ascii="楷体" w:eastAsia="楷体" w:hAnsi="楷体"/>
        </w:rPr>
        <w:t>近期，</w:t>
      </w:r>
      <w:r w:rsidR="00804EC2" w:rsidRPr="00804EC2">
        <w:rPr>
          <w:rFonts w:ascii="楷体" w:eastAsia="楷体" w:hAnsi="楷体" w:hint="eastAsia"/>
        </w:rPr>
        <w:t>华安</w:t>
      </w:r>
      <w:r w:rsidRPr="00804EC2">
        <w:rPr>
          <w:rFonts w:ascii="楷体" w:eastAsia="楷体" w:hAnsi="楷体"/>
        </w:rPr>
        <w:t>基金管理有限公司（以下简称“本公司”）旗下</w:t>
      </w:r>
      <w:r w:rsidR="00D03C34" w:rsidRPr="00D03C34">
        <w:rPr>
          <w:rFonts w:ascii="楷体" w:eastAsia="楷体" w:hAnsi="楷体" w:hint="eastAsia"/>
        </w:rPr>
        <w:t>华安标普全球石油指数证券投资基金</w:t>
      </w:r>
      <w:r w:rsidR="00D03C34" w:rsidRPr="00D03C34">
        <w:rPr>
          <w:rFonts w:ascii="楷体" w:eastAsia="楷体" w:hAnsi="楷体"/>
        </w:rPr>
        <w:t>(LOF)</w:t>
      </w:r>
      <w:r w:rsidRPr="00804EC2">
        <w:rPr>
          <w:rFonts w:ascii="楷体" w:eastAsia="楷体" w:hAnsi="楷体"/>
        </w:rPr>
        <w:t>（</w:t>
      </w:r>
      <w:r w:rsidR="00D8469F">
        <w:rPr>
          <w:rFonts w:ascii="楷体" w:eastAsia="楷体" w:hAnsi="楷体" w:hint="eastAsia"/>
        </w:rPr>
        <w:t>场内</w:t>
      </w:r>
      <w:r w:rsidRPr="00804EC2">
        <w:rPr>
          <w:rFonts w:ascii="楷体" w:eastAsia="楷体" w:hAnsi="楷体"/>
        </w:rPr>
        <w:t>简称：</w:t>
      </w:r>
      <w:r w:rsidR="00D03C34" w:rsidRPr="00D03C34">
        <w:rPr>
          <w:rFonts w:ascii="楷体" w:eastAsia="楷体" w:hAnsi="楷体" w:hint="eastAsia"/>
        </w:rPr>
        <w:t>石油基金</w:t>
      </w:r>
      <w:r w:rsidR="00D03C34" w:rsidRPr="00D03C34">
        <w:rPr>
          <w:rFonts w:ascii="楷体" w:eastAsia="楷体" w:hAnsi="楷体"/>
        </w:rPr>
        <w:t xml:space="preserve"> LOF</w:t>
      </w:r>
      <w:r w:rsidRPr="00804EC2">
        <w:rPr>
          <w:rFonts w:ascii="楷体" w:eastAsia="楷体" w:hAnsi="楷体"/>
        </w:rPr>
        <w:t>，交易代码：</w:t>
      </w:r>
      <w:r w:rsidR="00D03C34">
        <w:rPr>
          <w:rFonts w:ascii="楷体" w:eastAsia="楷体" w:hAnsi="楷体"/>
        </w:rPr>
        <w:t>160416</w:t>
      </w:r>
      <w:r w:rsidRPr="00804EC2">
        <w:rPr>
          <w:rFonts w:ascii="楷体" w:eastAsia="楷体" w:hAnsi="楷体"/>
        </w:rPr>
        <w:t>，以下简称“本基金”）</w:t>
      </w:r>
      <w:r w:rsidR="00AB1501" w:rsidRPr="00AB1501">
        <w:rPr>
          <w:rFonts w:ascii="楷体" w:eastAsia="楷体" w:hAnsi="楷体" w:hint="eastAsia"/>
        </w:rPr>
        <w:t>在二级市场的交易价格出现较大幅度溢价，交易价格偏离前一估值日的基金份额净值</w:t>
      </w:r>
      <w:r w:rsidR="00FA4FB6">
        <w:rPr>
          <w:rFonts w:ascii="楷体" w:eastAsia="楷体" w:hAnsi="楷体" w:hint="eastAsia"/>
        </w:rPr>
        <w:t>。</w:t>
      </w:r>
      <w:r w:rsidR="0083328B" w:rsidRPr="00FA4FB6">
        <w:rPr>
          <w:rFonts w:ascii="楷体" w:eastAsia="楷体" w:hAnsi="楷体" w:hint="eastAsia"/>
          <w:b/>
        </w:rPr>
        <w:t>特此提示投资者关注二级市场交易价格溢价风险，投资者如果盲目投资，可能遭受重大损失。</w:t>
      </w:r>
      <w:r w:rsidR="00301591" w:rsidRPr="00301591">
        <w:rPr>
          <w:rFonts w:ascii="楷体" w:eastAsia="楷体" w:hAnsi="楷体" w:hint="eastAsia"/>
          <w:b/>
        </w:rPr>
        <w:t>为维护投资者利益，本基金将于</w:t>
      </w:r>
      <w:r w:rsidR="00301591" w:rsidRPr="00301591">
        <w:rPr>
          <w:rFonts w:ascii="楷体" w:eastAsia="楷体" w:hAnsi="楷体"/>
          <w:b/>
        </w:rPr>
        <w:t>202</w:t>
      </w:r>
      <w:r w:rsidR="00301591">
        <w:rPr>
          <w:rFonts w:ascii="楷体" w:eastAsia="楷体" w:hAnsi="楷体"/>
          <w:b/>
        </w:rPr>
        <w:t>6</w:t>
      </w:r>
      <w:r w:rsidR="00301591" w:rsidRPr="00301591">
        <w:rPr>
          <w:rFonts w:ascii="楷体" w:eastAsia="楷体" w:hAnsi="楷体"/>
          <w:b/>
        </w:rPr>
        <w:t>年</w:t>
      </w:r>
      <w:r w:rsidR="004B5C7B">
        <w:rPr>
          <w:rFonts w:ascii="楷体" w:eastAsia="楷体" w:hAnsi="楷体"/>
          <w:b/>
        </w:rPr>
        <w:t>3</w:t>
      </w:r>
      <w:r w:rsidR="00301591" w:rsidRPr="00301591">
        <w:rPr>
          <w:rFonts w:ascii="楷体" w:eastAsia="楷体" w:hAnsi="楷体"/>
          <w:b/>
        </w:rPr>
        <w:t>月</w:t>
      </w:r>
      <w:r w:rsidR="009C7B99">
        <w:rPr>
          <w:rFonts w:ascii="楷体" w:eastAsia="楷体" w:hAnsi="楷体"/>
          <w:b/>
        </w:rPr>
        <w:t>3</w:t>
      </w:r>
      <w:r w:rsidR="00301591" w:rsidRPr="00301591">
        <w:rPr>
          <w:rFonts w:ascii="楷体" w:eastAsia="楷体" w:hAnsi="楷体"/>
          <w:b/>
        </w:rPr>
        <w:t>日开市起至当日10:30停牌</w:t>
      </w:r>
      <w:r w:rsidR="00301591">
        <w:rPr>
          <w:rFonts w:ascii="楷体" w:eastAsia="楷体" w:hAnsi="楷体" w:hint="eastAsia"/>
          <w:b/>
        </w:rPr>
        <w:t>，自2</w:t>
      </w:r>
      <w:r w:rsidR="00301591">
        <w:rPr>
          <w:rFonts w:ascii="楷体" w:eastAsia="楷体" w:hAnsi="楷体"/>
          <w:b/>
        </w:rPr>
        <w:t>026</w:t>
      </w:r>
      <w:r w:rsidR="00301591">
        <w:rPr>
          <w:rFonts w:ascii="楷体" w:eastAsia="楷体" w:hAnsi="楷体" w:hint="eastAsia"/>
          <w:b/>
        </w:rPr>
        <w:t>年</w:t>
      </w:r>
      <w:r w:rsidR="004B5C7B">
        <w:rPr>
          <w:rFonts w:ascii="楷体" w:eastAsia="楷体" w:hAnsi="楷体"/>
          <w:b/>
        </w:rPr>
        <w:t>3</w:t>
      </w:r>
      <w:r w:rsidR="00301591">
        <w:rPr>
          <w:rFonts w:ascii="楷体" w:eastAsia="楷体" w:hAnsi="楷体" w:hint="eastAsia"/>
          <w:b/>
        </w:rPr>
        <w:t>月</w:t>
      </w:r>
      <w:r w:rsidR="009C7B99">
        <w:rPr>
          <w:rFonts w:ascii="楷体" w:eastAsia="楷体" w:hAnsi="楷体"/>
          <w:b/>
        </w:rPr>
        <w:t>3</w:t>
      </w:r>
      <w:r w:rsidR="00301591">
        <w:rPr>
          <w:rFonts w:ascii="楷体" w:eastAsia="楷体" w:hAnsi="楷体" w:hint="eastAsia"/>
          <w:b/>
        </w:rPr>
        <w:t>日1</w:t>
      </w:r>
      <w:r w:rsidR="00301591">
        <w:rPr>
          <w:rFonts w:ascii="楷体" w:eastAsia="楷体" w:hAnsi="楷体"/>
          <w:b/>
        </w:rPr>
        <w:t>0</w:t>
      </w:r>
      <w:r w:rsidR="00301591">
        <w:rPr>
          <w:rFonts w:ascii="楷体" w:eastAsia="楷体" w:hAnsi="楷体" w:hint="eastAsia"/>
          <w:b/>
        </w:rPr>
        <w:t>:3</w:t>
      </w:r>
      <w:r w:rsidR="00301591">
        <w:rPr>
          <w:rFonts w:ascii="楷体" w:eastAsia="楷体" w:hAnsi="楷体"/>
          <w:b/>
        </w:rPr>
        <w:t>0</w:t>
      </w:r>
      <w:r w:rsidR="00301591">
        <w:rPr>
          <w:rFonts w:ascii="楷体" w:eastAsia="楷体" w:hAnsi="楷体" w:hint="eastAsia"/>
          <w:b/>
        </w:rPr>
        <w:t>复牌</w:t>
      </w:r>
      <w:r w:rsidR="00301591" w:rsidRPr="00301591">
        <w:rPr>
          <w:rFonts w:ascii="楷体" w:eastAsia="楷体" w:hAnsi="楷体"/>
          <w:b/>
        </w:rPr>
        <w:t>。若本基金202</w:t>
      </w:r>
      <w:r w:rsidR="00301591">
        <w:rPr>
          <w:rFonts w:ascii="楷体" w:eastAsia="楷体" w:hAnsi="楷体"/>
          <w:b/>
        </w:rPr>
        <w:t>6</w:t>
      </w:r>
      <w:r w:rsidR="00301591" w:rsidRPr="00301591">
        <w:rPr>
          <w:rFonts w:ascii="楷体" w:eastAsia="楷体" w:hAnsi="楷体"/>
          <w:b/>
        </w:rPr>
        <w:t>年</w:t>
      </w:r>
      <w:r w:rsidR="004B5C7B">
        <w:rPr>
          <w:rFonts w:ascii="楷体" w:eastAsia="楷体" w:hAnsi="楷体"/>
          <w:b/>
        </w:rPr>
        <w:t>3</w:t>
      </w:r>
      <w:r w:rsidR="00301591" w:rsidRPr="00301591">
        <w:rPr>
          <w:rFonts w:ascii="楷体" w:eastAsia="楷体" w:hAnsi="楷体"/>
          <w:b/>
        </w:rPr>
        <w:t>月</w:t>
      </w:r>
      <w:r w:rsidR="009C7B99">
        <w:rPr>
          <w:rFonts w:ascii="楷体" w:eastAsia="楷体" w:hAnsi="楷体"/>
          <w:b/>
        </w:rPr>
        <w:t>3</w:t>
      </w:r>
      <w:r w:rsidR="00301591" w:rsidRPr="00301591">
        <w:rPr>
          <w:rFonts w:ascii="楷体" w:eastAsia="楷体" w:hAnsi="楷体"/>
          <w:b/>
        </w:rPr>
        <w:t>日二级市场交易价格溢价幅度未有效回落，本基金有权采取向</w:t>
      </w:r>
      <w:r w:rsidR="00301591">
        <w:rPr>
          <w:rFonts w:ascii="楷体" w:eastAsia="楷体" w:hAnsi="楷体" w:hint="eastAsia"/>
          <w:b/>
        </w:rPr>
        <w:t>深圳</w:t>
      </w:r>
      <w:r w:rsidR="00301591" w:rsidRPr="00301591">
        <w:rPr>
          <w:rFonts w:ascii="楷体" w:eastAsia="楷体" w:hAnsi="楷体"/>
          <w:b/>
        </w:rPr>
        <w:t>证券交易所申请盘中临时停牌、延长停牌时间等措施以向市场警示风险，具体以届时公告为准。</w:t>
      </w:r>
      <w:r w:rsidRPr="00804EC2">
        <w:rPr>
          <w:rFonts w:ascii="楷体" w:eastAsia="楷体" w:hAnsi="楷体"/>
        </w:rPr>
        <w:t>为保护投资者利益，本公司特向投资者提示如下：</w:t>
      </w:r>
      <w:r w:rsidRPr="00804EC2">
        <w:rPr>
          <w:rFonts w:ascii="楷体" w:eastAsia="楷体" w:hAnsi="楷体" w:cs="Times New Roman"/>
        </w:rPr>
        <w:t xml:space="preserve"> </w:t>
      </w:r>
    </w:p>
    <w:p w:rsidR="00B37FFD" w:rsidRPr="00FA4FB6" w:rsidRDefault="002D53CF" w:rsidP="004816DC">
      <w:pPr>
        <w:pStyle w:val="a3"/>
        <w:numPr>
          <w:ilvl w:val="0"/>
          <w:numId w:val="1"/>
        </w:numPr>
        <w:spacing w:line="360" w:lineRule="auto"/>
        <w:ind w:right="0" w:firstLine="480"/>
        <w:rPr>
          <w:rFonts w:ascii="楷体" w:eastAsia="楷体" w:hAnsi="楷体"/>
        </w:rPr>
      </w:pPr>
      <w:r>
        <w:rPr>
          <w:rFonts w:ascii="楷体" w:eastAsia="楷体" w:hAnsi="楷体" w:hint="eastAsia"/>
        </w:rPr>
        <w:t>本基金为上市开放式基金，投资者可在二级市场交易本基金，也可以申购、赎回本基金</w:t>
      </w:r>
      <w:r w:rsidR="0058160B">
        <w:rPr>
          <w:rFonts w:ascii="楷体" w:eastAsia="楷体" w:hAnsi="楷体" w:hint="eastAsia"/>
        </w:rPr>
        <w:t>，实际申赎状态以最新公告为准</w:t>
      </w:r>
      <w:bookmarkStart w:id="0" w:name="_GoBack"/>
      <w:bookmarkEnd w:id="0"/>
      <w:r>
        <w:rPr>
          <w:rFonts w:ascii="楷体" w:eastAsia="楷体" w:hAnsi="楷体" w:hint="eastAsia"/>
        </w:rPr>
        <w:t>。申购、赎回价格以申请当日收市后计算的基金份额净值进行计算，投资者可通过基金管理人网站或交易行情系统查询本基金的最新份额净值。本基金的交易价格，除了有基金份额净值变化的风险外，还会受到市场供求关系、系统性风险、流动性风险等其他因素的影响，可能使投资人面临损失。</w:t>
      </w:r>
      <w:r w:rsidR="004816DC" w:rsidRPr="004816DC">
        <w:rPr>
          <w:rFonts w:ascii="楷体" w:eastAsia="楷体" w:hAnsi="楷体" w:hint="eastAsia"/>
        </w:rPr>
        <w:t>根据相关公告，本基金自</w:t>
      </w:r>
      <w:r w:rsidR="004816DC" w:rsidRPr="004816DC">
        <w:rPr>
          <w:rFonts w:ascii="楷体" w:eastAsia="楷体" w:hAnsi="楷体"/>
        </w:rPr>
        <w:t xml:space="preserve"> 2026 年</w:t>
      </w:r>
      <w:r w:rsidR="004816DC">
        <w:rPr>
          <w:rFonts w:ascii="楷体" w:eastAsia="楷体" w:hAnsi="楷体"/>
        </w:rPr>
        <w:t>2</w:t>
      </w:r>
      <w:r w:rsidR="004816DC" w:rsidRPr="004816DC">
        <w:rPr>
          <w:rFonts w:ascii="楷体" w:eastAsia="楷体" w:hAnsi="楷体"/>
        </w:rPr>
        <w:t xml:space="preserve"> 月 </w:t>
      </w:r>
      <w:r w:rsidR="004816DC">
        <w:rPr>
          <w:rFonts w:ascii="楷体" w:eastAsia="楷体" w:hAnsi="楷体"/>
        </w:rPr>
        <w:t>13</w:t>
      </w:r>
      <w:r w:rsidR="004816DC" w:rsidRPr="004816DC">
        <w:rPr>
          <w:rFonts w:ascii="楷体" w:eastAsia="楷体" w:hAnsi="楷体"/>
        </w:rPr>
        <w:t xml:space="preserve"> 日起暂停申购（含定期定额投资）业务，本基金恢复办理申购（含定期定额投资）业务的时间将另行公告。</w:t>
      </w:r>
    </w:p>
    <w:p w:rsidR="00804EC2" w:rsidRDefault="00FA4FB6" w:rsidP="00804EC2">
      <w:pPr>
        <w:numPr>
          <w:ilvl w:val="0"/>
          <w:numId w:val="1"/>
        </w:numPr>
        <w:spacing w:line="360" w:lineRule="auto"/>
        <w:ind w:right="0" w:firstLine="480"/>
        <w:rPr>
          <w:rFonts w:ascii="楷体" w:eastAsia="楷体" w:hAnsi="楷体"/>
        </w:rPr>
      </w:pPr>
      <w:r w:rsidRPr="00FA4FB6">
        <w:rPr>
          <w:rFonts w:ascii="楷体" w:eastAsia="楷体" w:hAnsi="楷体"/>
        </w:rPr>
        <w:lastRenderedPageBreak/>
        <w:t>截至目前，本基金运作正常且无应披露而未披露的重大信息，基金管理人将严格按照法律法规及基金合同的规定进行投资运作，履行信息披露义务。</w:t>
      </w:r>
    </w:p>
    <w:p w:rsidR="00B37FFD" w:rsidRPr="00804EC2" w:rsidRDefault="00FA4FB6" w:rsidP="00D80B94">
      <w:pPr>
        <w:spacing w:line="360" w:lineRule="auto"/>
        <w:ind w:left="-15" w:right="0" w:firstLine="480"/>
        <w:jc w:val="both"/>
        <w:rPr>
          <w:rFonts w:ascii="楷体" w:eastAsia="楷体" w:hAnsi="楷体"/>
        </w:rPr>
      </w:pPr>
      <w:r w:rsidRPr="00FA4FB6">
        <w:rPr>
          <w:rFonts w:ascii="楷体" w:eastAsia="楷体" w:hAnsi="楷体"/>
        </w:rPr>
        <w:t>风险提示：基金管理人承诺以诚实信用、勤勉尽责的原则管理和运用基金资产，但不保证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投资者在投资基金之前，请仔细阅读本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B37FFD" w:rsidRPr="00804EC2" w:rsidRDefault="00C42506" w:rsidP="00D80B94">
      <w:pPr>
        <w:spacing w:after="92" w:line="360" w:lineRule="auto"/>
        <w:ind w:left="490" w:right="0"/>
        <w:jc w:val="both"/>
        <w:rPr>
          <w:rFonts w:ascii="楷体" w:eastAsia="楷体" w:hAnsi="楷体"/>
        </w:rPr>
      </w:pPr>
      <w:r w:rsidRPr="00804EC2">
        <w:rPr>
          <w:rFonts w:ascii="楷体" w:eastAsia="楷体" w:hAnsi="楷体"/>
        </w:rPr>
        <w:t>特此公告</w:t>
      </w:r>
      <w:r w:rsidRPr="00804EC2">
        <w:rPr>
          <w:rFonts w:ascii="楷体" w:eastAsia="楷体" w:hAnsi="楷体" w:cs="Calibri"/>
        </w:rPr>
        <w:t xml:space="preserve"> </w:t>
      </w:r>
    </w:p>
    <w:p w:rsidR="00804EC2" w:rsidRPr="00804EC2" w:rsidRDefault="00804EC2">
      <w:pPr>
        <w:spacing w:after="123" w:line="259" w:lineRule="auto"/>
        <w:ind w:left="0" w:right="188" w:firstLine="0"/>
        <w:jc w:val="right"/>
        <w:rPr>
          <w:rFonts w:ascii="楷体" w:eastAsia="楷体" w:hAnsi="楷体" w:cs="Calibri"/>
        </w:rPr>
      </w:pPr>
      <w:r w:rsidRPr="00804EC2">
        <w:rPr>
          <w:rFonts w:ascii="楷体" w:eastAsia="楷体" w:hAnsi="楷体" w:cs="Calibri" w:hint="eastAsia"/>
        </w:rPr>
        <w:t>华安基金管理有限公司</w:t>
      </w:r>
    </w:p>
    <w:p w:rsidR="00B37FFD" w:rsidRPr="00804EC2" w:rsidRDefault="00804EC2">
      <w:pPr>
        <w:spacing w:after="123" w:line="259" w:lineRule="auto"/>
        <w:ind w:left="0" w:right="188" w:firstLine="0"/>
        <w:jc w:val="right"/>
        <w:rPr>
          <w:rFonts w:ascii="楷体" w:eastAsia="楷体" w:hAnsi="楷体"/>
        </w:rPr>
      </w:pPr>
      <w:r w:rsidRPr="00804EC2">
        <w:rPr>
          <w:rFonts w:ascii="楷体" w:eastAsia="楷体" w:hAnsi="楷体" w:cs="Calibri" w:hint="eastAsia"/>
        </w:rPr>
        <w:t>二零二</w:t>
      </w:r>
      <w:r w:rsidR="009168D9">
        <w:rPr>
          <w:rFonts w:ascii="楷体" w:eastAsia="楷体" w:hAnsi="楷体" w:cs="Calibri" w:hint="eastAsia"/>
        </w:rPr>
        <w:t>六</w:t>
      </w:r>
      <w:r w:rsidRPr="00804EC2">
        <w:rPr>
          <w:rFonts w:ascii="楷体" w:eastAsia="楷体" w:hAnsi="楷体" w:cs="Calibri" w:hint="eastAsia"/>
        </w:rPr>
        <w:t>年</w:t>
      </w:r>
      <w:r w:rsidR="004B5C7B">
        <w:rPr>
          <w:rFonts w:ascii="楷体" w:eastAsia="楷体" w:hAnsi="楷体" w:cs="Calibri" w:hint="eastAsia"/>
        </w:rPr>
        <w:t>三</w:t>
      </w:r>
      <w:r w:rsidRPr="00804EC2">
        <w:rPr>
          <w:rFonts w:ascii="楷体" w:eastAsia="楷体" w:hAnsi="楷体" w:cs="Calibri" w:hint="eastAsia"/>
        </w:rPr>
        <w:t>月</w:t>
      </w:r>
      <w:r w:rsidR="009C7B99">
        <w:rPr>
          <w:rFonts w:ascii="楷体" w:eastAsia="楷体" w:hAnsi="楷体" w:cs="Calibri" w:hint="eastAsia"/>
        </w:rPr>
        <w:t>三</w:t>
      </w:r>
      <w:r w:rsidRPr="00804EC2">
        <w:rPr>
          <w:rFonts w:ascii="楷体" w:eastAsia="楷体" w:hAnsi="楷体" w:cs="Calibri" w:hint="eastAsia"/>
        </w:rPr>
        <w:t>日</w:t>
      </w:r>
      <w:r w:rsidR="00C42506" w:rsidRPr="00804EC2">
        <w:rPr>
          <w:rFonts w:ascii="楷体" w:eastAsia="楷体" w:hAnsi="楷体" w:cs="Calibri"/>
        </w:rPr>
        <w:t xml:space="preserve"> </w:t>
      </w:r>
    </w:p>
    <w:sectPr w:rsidR="00B37FFD" w:rsidRPr="00804EC2" w:rsidSect="008E5211">
      <w:pgSz w:w="11906" w:h="16838"/>
      <w:pgMar w:top="1440" w:right="1556"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514" w:rsidRDefault="00E67514">
      <w:pPr>
        <w:spacing w:after="0" w:line="240" w:lineRule="auto"/>
      </w:pPr>
    </w:p>
  </w:endnote>
  <w:endnote w:type="continuationSeparator" w:id="0">
    <w:p w:rsidR="00E67514" w:rsidRDefault="00E67514">
      <w:pPr>
        <w:spacing w:after="0" w:line="240" w:lineRule="auto"/>
      </w:pPr>
    </w:p>
  </w:endnote>
</w:endnotes>
</file>

<file path=word/fontTable.xml><?xml version="1.0" encoding="utf-8"?>
<w:fonts xmlns:r="http://schemas.openxmlformats.org/officeDocument/2006/relationships" xmlns:w="http://schemas.openxmlformats.org/wordprocessingml/2006/main">
  <w:font w:name="楷体">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514" w:rsidRDefault="00E67514">
      <w:pPr>
        <w:spacing w:after="0" w:line="240" w:lineRule="auto"/>
      </w:pPr>
    </w:p>
  </w:footnote>
  <w:footnote w:type="continuationSeparator" w:id="0">
    <w:p w:rsidR="00E67514" w:rsidRDefault="00E67514">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3F3B"/>
    <w:multiLevelType w:val="hybridMultilevel"/>
    <w:tmpl w:val="12B6530A"/>
    <w:lvl w:ilvl="0" w:tplc="56E4F38E">
      <w:start w:val="1"/>
      <w:numFmt w:val="decimal"/>
      <w:suff w:val="space"/>
      <w:lvlText w:val="%1、"/>
      <w:lvlJc w:val="left"/>
      <w:pPr>
        <w:ind w:left="0" w:firstLine="0"/>
      </w:pPr>
      <w:rPr>
        <w:rFonts w:ascii="楷体" w:eastAsia="楷体" w:hAnsi="楷体" w:cs="微软雅黑" w:hint="eastAsia"/>
        <w:b w:val="0"/>
        <w:i w:val="0"/>
        <w:strike w:val="0"/>
        <w:dstrike w:val="0"/>
        <w:color w:val="000000"/>
        <w:sz w:val="24"/>
        <w:szCs w:val="24"/>
        <w:u w:val="none" w:color="000000"/>
        <w:bdr w:val="none" w:sz="0" w:space="0" w:color="auto"/>
        <w:shd w:val="clear" w:color="auto" w:fill="auto"/>
        <w:vertAlign w:val="baseline"/>
      </w:rPr>
    </w:lvl>
    <w:lvl w:ilvl="1" w:tplc="8E6AEE86">
      <w:start w:val="1"/>
      <w:numFmt w:val="lowerLetter"/>
      <w:lvlText w:val="%2"/>
      <w:lvlJc w:val="left"/>
      <w:pPr>
        <w:ind w:left="15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2" w:tplc="52FAA386">
      <w:start w:val="1"/>
      <w:numFmt w:val="lowerRoman"/>
      <w:lvlText w:val="%3"/>
      <w:lvlJc w:val="left"/>
      <w:pPr>
        <w:ind w:left="22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3" w:tplc="BFE064AE">
      <w:start w:val="1"/>
      <w:numFmt w:val="decimal"/>
      <w:lvlText w:val="%4"/>
      <w:lvlJc w:val="left"/>
      <w:pPr>
        <w:ind w:left="30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4" w:tplc="E78C7DFC">
      <w:start w:val="1"/>
      <w:numFmt w:val="lowerLetter"/>
      <w:lvlText w:val="%5"/>
      <w:lvlJc w:val="left"/>
      <w:pPr>
        <w:ind w:left="372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5" w:tplc="929CFE6E">
      <w:start w:val="1"/>
      <w:numFmt w:val="lowerRoman"/>
      <w:lvlText w:val="%6"/>
      <w:lvlJc w:val="left"/>
      <w:pPr>
        <w:ind w:left="444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6" w:tplc="879270FA">
      <w:start w:val="1"/>
      <w:numFmt w:val="decimal"/>
      <w:lvlText w:val="%7"/>
      <w:lvlJc w:val="left"/>
      <w:pPr>
        <w:ind w:left="51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7" w:tplc="AC107CB2">
      <w:start w:val="1"/>
      <w:numFmt w:val="lowerLetter"/>
      <w:lvlText w:val="%8"/>
      <w:lvlJc w:val="left"/>
      <w:pPr>
        <w:ind w:left="58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8" w:tplc="4614CE40">
      <w:start w:val="1"/>
      <w:numFmt w:val="lowerRoman"/>
      <w:lvlText w:val="%9"/>
      <w:lvlJc w:val="left"/>
      <w:pPr>
        <w:ind w:left="66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20481"/>
  </w:hdrShapeDefaults>
  <w:footnotePr>
    <w:footnote w:id="-1"/>
    <w:footnote w:id="0"/>
  </w:footnotePr>
  <w:endnotePr>
    <w:endnote w:id="-1"/>
    <w:endnote w:id="0"/>
  </w:endnotePr>
  <w:compat>
    <w:useFELayout/>
  </w:compat>
  <w:rsids>
    <w:rsidRoot w:val="00B37FFD"/>
    <w:rsid w:val="000048C3"/>
    <w:rsid w:val="000C1CD0"/>
    <w:rsid w:val="000D215F"/>
    <w:rsid w:val="001144C6"/>
    <w:rsid w:val="00132DD6"/>
    <w:rsid w:val="001B6425"/>
    <w:rsid w:val="001C0A40"/>
    <w:rsid w:val="001D354D"/>
    <w:rsid w:val="001F5FC6"/>
    <w:rsid w:val="0025519E"/>
    <w:rsid w:val="002A66B0"/>
    <w:rsid w:val="002D0E25"/>
    <w:rsid w:val="002D53CF"/>
    <w:rsid w:val="002E648B"/>
    <w:rsid w:val="00301591"/>
    <w:rsid w:val="00304D18"/>
    <w:rsid w:val="003059C3"/>
    <w:rsid w:val="00335FA5"/>
    <w:rsid w:val="00352F84"/>
    <w:rsid w:val="0036711D"/>
    <w:rsid w:val="00376729"/>
    <w:rsid w:val="003E6FE6"/>
    <w:rsid w:val="00400B57"/>
    <w:rsid w:val="004054F2"/>
    <w:rsid w:val="004121D5"/>
    <w:rsid w:val="004139EF"/>
    <w:rsid w:val="00425F1E"/>
    <w:rsid w:val="00476A45"/>
    <w:rsid w:val="004801BE"/>
    <w:rsid w:val="004816DC"/>
    <w:rsid w:val="004B33B7"/>
    <w:rsid w:val="004B5C7B"/>
    <w:rsid w:val="004E038D"/>
    <w:rsid w:val="00546D9D"/>
    <w:rsid w:val="00580FB7"/>
    <w:rsid w:val="0058160B"/>
    <w:rsid w:val="005C493A"/>
    <w:rsid w:val="005D33AA"/>
    <w:rsid w:val="00607BAC"/>
    <w:rsid w:val="00614FD8"/>
    <w:rsid w:val="00616778"/>
    <w:rsid w:val="00634A11"/>
    <w:rsid w:val="00671406"/>
    <w:rsid w:val="006814D3"/>
    <w:rsid w:val="006B2CA0"/>
    <w:rsid w:val="006D3AC9"/>
    <w:rsid w:val="0073727A"/>
    <w:rsid w:val="00755380"/>
    <w:rsid w:val="00782DBD"/>
    <w:rsid w:val="007F248D"/>
    <w:rsid w:val="00804EC2"/>
    <w:rsid w:val="00811E04"/>
    <w:rsid w:val="0083328B"/>
    <w:rsid w:val="008B019F"/>
    <w:rsid w:val="008E33E4"/>
    <w:rsid w:val="008E5211"/>
    <w:rsid w:val="009168D9"/>
    <w:rsid w:val="00963EE9"/>
    <w:rsid w:val="009700E4"/>
    <w:rsid w:val="00980C80"/>
    <w:rsid w:val="0099467B"/>
    <w:rsid w:val="009B16BA"/>
    <w:rsid w:val="009C7B99"/>
    <w:rsid w:val="00A47669"/>
    <w:rsid w:val="00A864B3"/>
    <w:rsid w:val="00AB0BD8"/>
    <w:rsid w:val="00AB1501"/>
    <w:rsid w:val="00AD0D66"/>
    <w:rsid w:val="00AF4799"/>
    <w:rsid w:val="00B06FDD"/>
    <w:rsid w:val="00B335A0"/>
    <w:rsid w:val="00B37FFD"/>
    <w:rsid w:val="00B54A16"/>
    <w:rsid w:val="00B747CF"/>
    <w:rsid w:val="00B83B7F"/>
    <w:rsid w:val="00B85B83"/>
    <w:rsid w:val="00B90FB8"/>
    <w:rsid w:val="00BB7F55"/>
    <w:rsid w:val="00C228EC"/>
    <w:rsid w:val="00C42506"/>
    <w:rsid w:val="00C524EC"/>
    <w:rsid w:val="00C5445C"/>
    <w:rsid w:val="00D03C34"/>
    <w:rsid w:val="00D12910"/>
    <w:rsid w:val="00D17D30"/>
    <w:rsid w:val="00D77BC7"/>
    <w:rsid w:val="00D80B94"/>
    <w:rsid w:val="00D81FE1"/>
    <w:rsid w:val="00D8469F"/>
    <w:rsid w:val="00DA2637"/>
    <w:rsid w:val="00DA3BC5"/>
    <w:rsid w:val="00DA6341"/>
    <w:rsid w:val="00DC539C"/>
    <w:rsid w:val="00DD65D3"/>
    <w:rsid w:val="00E33794"/>
    <w:rsid w:val="00E517C1"/>
    <w:rsid w:val="00E67514"/>
    <w:rsid w:val="00E82A15"/>
    <w:rsid w:val="00E86387"/>
    <w:rsid w:val="00E95847"/>
    <w:rsid w:val="00EB427F"/>
    <w:rsid w:val="00F7668F"/>
    <w:rsid w:val="00F838E1"/>
    <w:rsid w:val="00FA4FB6"/>
    <w:rsid w:val="00FF7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211"/>
    <w:pPr>
      <w:spacing w:after="2" w:line="394" w:lineRule="auto"/>
      <w:ind w:left="10" w:right="246" w:hanging="10"/>
    </w:pPr>
    <w:rPr>
      <w:rFonts w:ascii="微软雅黑" w:eastAsia="微软雅黑" w:hAnsi="微软雅黑" w:cs="微软雅黑"/>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EC2"/>
    <w:pPr>
      <w:ind w:firstLineChars="200" w:firstLine="420"/>
    </w:pPr>
  </w:style>
  <w:style w:type="paragraph" w:styleId="a4">
    <w:name w:val="header"/>
    <w:basedOn w:val="a"/>
    <w:link w:val="Char"/>
    <w:uiPriority w:val="99"/>
    <w:unhideWhenUsed/>
    <w:rsid w:val="00980C8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980C80"/>
    <w:rPr>
      <w:rFonts w:ascii="微软雅黑" w:eastAsia="微软雅黑" w:hAnsi="微软雅黑" w:cs="微软雅黑"/>
      <w:color w:val="000000"/>
      <w:sz w:val="18"/>
      <w:szCs w:val="18"/>
    </w:rPr>
  </w:style>
  <w:style w:type="paragraph" w:styleId="a5">
    <w:name w:val="footer"/>
    <w:basedOn w:val="a"/>
    <w:link w:val="Char0"/>
    <w:uiPriority w:val="99"/>
    <w:unhideWhenUsed/>
    <w:rsid w:val="00980C80"/>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980C80"/>
    <w:rPr>
      <w:rFonts w:ascii="微软雅黑" w:eastAsia="微软雅黑" w:hAnsi="微软雅黑" w:cs="微软雅黑"/>
      <w:color w:val="000000"/>
      <w:sz w:val="18"/>
      <w:szCs w:val="18"/>
    </w:rPr>
  </w:style>
  <w:style w:type="paragraph" w:styleId="a6">
    <w:name w:val="Balloon Text"/>
    <w:basedOn w:val="a"/>
    <w:link w:val="Char1"/>
    <w:uiPriority w:val="99"/>
    <w:semiHidden/>
    <w:unhideWhenUsed/>
    <w:rsid w:val="00980C80"/>
    <w:pPr>
      <w:spacing w:after="0" w:line="240" w:lineRule="auto"/>
    </w:pPr>
    <w:rPr>
      <w:sz w:val="18"/>
      <w:szCs w:val="18"/>
    </w:rPr>
  </w:style>
  <w:style w:type="character" w:customStyle="1" w:styleId="Char1">
    <w:name w:val="批注框文本 Char"/>
    <w:basedOn w:val="a0"/>
    <w:link w:val="a6"/>
    <w:uiPriority w:val="99"/>
    <w:semiHidden/>
    <w:rsid w:val="00980C80"/>
    <w:rPr>
      <w:rFonts w:ascii="微软雅黑" w:eastAsia="微软雅黑" w:hAnsi="微软雅黑" w:cs="微软雅黑"/>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D14CC-9E21-46D3-AEF7-F9105170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868</Characters>
  <Application>Microsoft Office Word</Application>
  <DocSecurity>4</DocSecurity>
  <Lines>7</Lines>
  <Paragraphs>2</Paragraphs>
  <ScaleCrop>false</ScaleCrop>
  <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qiux</dc:creator>
  <cp:keywords/>
  <cp:lastModifiedBy>ZHONGM</cp:lastModifiedBy>
  <cp:revision>2</cp:revision>
  <dcterms:created xsi:type="dcterms:W3CDTF">2026-03-02T16:01:00Z</dcterms:created>
  <dcterms:modified xsi:type="dcterms:W3CDTF">2026-03-02T16:01:00Z</dcterms:modified>
</cp:coreProperties>
</file>