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052F" w:rsidRDefault="00CD0FF1" w:rsidP="00AC052F">
      <w:pPr>
        <w:pStyle w:val="div"/>
        <w:wordWrap w:val="0"/>
        <w:spacing w:line="360" w:lineRule="auto"/>
        <w:jc w:val="center"/>
        <w:rPr>
          <w:rFonts w:ascii="黑体" w:eastAsia="黑体" w:hAnsi="黑体" w:cs="黑体"/>
          <w:kern w:val="0"/>
          <w:sz w:val="36"/>
          <w:szCs w:val="36"/>
        </w:rPr>
      </w:pPr>
      <w:r w:rsidRPr="00AC052F">
        <w:rPr>
          <w:rFonts w:ascii="黑体" w:eastAsia="黑体" w:hAnsi="黑体" w:cs="黑体"/>
          <w:kern w:val="0"/>
          <w:sz w:val="36"/>
          <w:szCs w:val="36"/>
        </w:rPr>
        <w:t>国联聚商3个月定期开放债券型发起式证券投资</w:t>
      </w:r>
      <w:r w:rsidR="00AC052F">
        <w:rPr>
          <w:rFonts w:ascii="黑体" w:eastAsia="黑体" w:hAnsi="黑体" w:cs="黑体"/>
          <w:kern w:val="0"/>
          <w:sz w:val="36"/>
          <w:szCs w:val="36"/>
        </w:rPr>
        <w:t>基</w:t>
      </w:r>
    </w:p>
    <w:p w:rsidR="00EA10EC" w:rsidRPr="00AC052F" w:rsidRDefault="00CD0FF1" w:rsidP="00AC052F">
      <w:pPr>
        <w:pStyle w:val="div"/>
        <w:wordWrap w:val="0"/>
        <w:spacing w:line="360" w:lineRule="auto"/>
        <w:jc w:val="center"/>
        <w:rPr>
          <w:rFonts w:ascii="黑体" w:eastAsia="黑体" w:hAnsi="黑体" w:cs="黑体"/>
          <w:kern w:val="0"/>
          <w:sz w:val="24"/>
          <w:szCs w:val="24"/>
        </w:rPr>
      </w:pPr>
      <w:r w:rsidRPr="00AC052F">
        <w:rPr>
          <w:rFonts w:ascii="黑体" w:eastAsia="黑体" w:hAnsi="黑体" w:cs="黑体"/>
          <w:kern w:val="0"/>
          <w:sz w:val="36"/>
          <w:szCs w:val="36"/>
        </w:rPr>
        <w:t>第二十九个开放期开放申购、赎回、转换业务的公告</w:t>
      </w:r>
    </w:p>
    <w:p w:rsidR="00EA10EC" w:rsidRPr="00AC052F" w:rsidRDefault="00CD0FF1">
      <w:pPr>
        <w:pStyle w:val="div"/>
        <w:wordWrap w:val="0"/>
        <w:spacing w:line="360" w:lineRule="auto"/>
        <w:jc w:val="center"/>
        <w:rPr>
          <w:rFonts w:ascii="仿宋" w:eastAsia="仿宋" w:hAnsi="仿宋" w:cs="FangSong"/>
          <w:kern w:val="0"/>
          <w:sz w:val="28"/>
          <w:szCs w:val="32"/>
        </w:rPr>
      </w:pPr>
      <w:r w:rsidRPr="00AC052F">
        <w:rPr>
          <w:rFonts w:ascii="仿宋" w:eastAsia="仿宋" w:hAnsi="仿宋" w:cs="FangSong"/>
          <w:kern w:val="0"/>
          <w:sz w:val="28"/>
          <w:szCs w:val="32"/>
        </w:rPr>
        <w:t>公告送出日期：</w:t>
      </w:r>
      <w:r w:rsidRPr="00AC052F">
        <w:rPr>
          <w:rStyle w:val="custom"/>
          <w:rFonts w:ascii="仿宋" w:eastAsia="仿宋" w:hAnsi="仿宋" w:cs="FangSong"/>
          <w:kern w:val="0"/>
          <w:sz w:val="28"/>
          <w:szCs w:val="32"/>
        </w:rPr>
        <w:t>2026年03月03日</w:t>
      </w:r>
    </w:p>
    <w:p w:rsidR="00EA10EC" w:rsidRPr="00AC052F" w:rsidRDefault="00CD0FF1">
      <w:pPr>
        <w:pStyle w:val="div"/>
        <w:widowControl/>
        <w:wordWrap w:val="0"/>
        <w:spacing w:line="360" w:lineRule="auto"/>
        <w:jc w:val="center"/>
        <w:rPr>
          <w:rFonts w:ascii="仿宋" w:eastAsia="仿宋" w:hAnsi="仿宋"/>
          <w:kern w:val="0"/>
          <w:sz w:val="24"/>
          <w:szCs w:val="24"/>
        </w:rPr>
      </w:pPr>
      <w:r w:rsidRPr="00AC052F">
        <w:rPr>
          <w:rFonts w:ascii="仿宋" w:eastAsia="仿宋" w:hAnsi="仿宋" w:cs="FangSong"/>
          <w:b/>
          <w:bCs/>
          <w:kern w:val="0"/>
          <w:sz w:val="36"/>
          <w:szCs w:val="36"/>
        </w:rPr>
        <w:t>（本基金不向个人投资者销售）</w:t>
      </w:r>
    </w:p>
    <w:p w:rsidR="00EA10EC" w:rsidRPr="00AC052F" w:rsidRDefault="00EA10EC">
      <w:pPr>
        <w:wordWrap w:val="0"/>
        <w:autoSpaceDE w:val="0"/>
        <w:autoSpaceDN w:val="0"/>
        <w:adjustRightInd w:val="0"/>
        <w:spacing w:line="360" w:lineRule="auto"/>
        <w:ind w:firstLineChars="200" w:firstLine="480"/>
        <w:jc w:val="center"/>
        <w:rPr>
          <w:rFonts w:ascii="仿宋" w:eastAsia="仿宋" w:hAnsi="仿宋"/>
          <w:sz w:val="24"/>
          <w:szCs w:val="24"/>
        </w:rPr>
      </w:pP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1</w:t>
      </w:r>
      <w:r w:rsidRPr="00AC052F">
        <w:rPr>
          <w:rFonts w:ascii="仿宋" w:eastAsia="仿宋" w:hAnsi="仿宋" w:cs="FangSong"/>
          <w:b/>
          <w:bCs/>
          <w:kern w:val="0"/>
          <w:sz w:val="32"/>
          <w:szCs w:val="32"/>
        </w:rPr>
        <w:t>．公告基本信息</w:t>
      </w:r>
    </w:p>
    <w:tbl>
      <w:tblPr>
        <w:tblStyle w:val="table"/>
        <w:tblW w:w="641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563"/>
        <w:gridCol w:w="7388"/>
      </w:tblGrid>
      <w:tr w:rsidR="00EA10EC" w:rsidRPr="00AC052F" w:rsidTr="00AC052F">
        <w:trPr>
          <w:jc w:val="center"/>
        </w:trPr>
        <w:tc>
          <w:tcPr>
            <w:tcW w:w="3456"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基金名称</w:t>
            </w:r>
          </w:p>
        </w:tc>
        <w:tc>
          <w:tcPr>
            <w:tcW w:w="7166"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国联聚商3个月定期开放债券型发起式证券投资基金</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基金简称</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国联聚商定期开放债券</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基金主代码</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005361</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基金运作方式</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契约型、定期开放式</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基金合同生效日</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2018年03月08日</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基金管理人名称</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国联基金管理有限公司</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基金托管人名称</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浙商银行股份有限公司</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基金注册登记机构名称</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国联基金管理有限公司</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公告依据</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left"/>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中华人民共和国证券投资基金法》、《公开募集证券投资基金运作管理办法》等法律法规以及《国联聚商3个月定期开放债券型发起式证券投资基金基金合同》、《国联聚商3个月定期开放债券型发起式证券投资基金招募说明书》</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申购起始日</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2026年03月04日</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lastRenderedPageBreak/>
              <w:t>赎回起始日</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2026年03月04日</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转换转入起始日</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2026年03月04日</w:t>
            </w:r>
          </w:p>
        </w:tc>
      </w:tr>
      <w:tr w:rsidR="00EA10EC" w:rsidRPr="00AC052F" w:rsidTr="00AC052F">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转换转出起始日</w:t>
            </w:r>
          </w:p>
        </w:tc>
        <w:tc>
          <w:tcPr>
            <w:tcW w:w="7166" w:type="dxa"/>
            <w:tcBorders>
              <w:bottom w:val="single" w:sz="8" w:space="0" w:color="000000"/>
              <w:right w:val="single" w:sz="8" w:space="0" w:color="000000"/>
            </w:tcBorders>
            <w:tcMar>
              <w:top w:w="0" w:type="dxa"/>
              <w:left w:w="113" w:type="dxa"/>
              <w:bottom w:w="0" w:type="dxa"/>
              <w:right w:w="118" w:type="dxa"/>
            </w:tcMar>
            <w:vAlign w:val="center"/>
            <w:hideMark/>
          </w:tcPr>
          <w:p w:rsidR="00EA10EC" w:rsidRPr="00AC052F" w:rsidRDefault="00CD0FF1">
            <w:pPr>
              <w:widowControl/>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2026年03月04日</w:t>
            </w:r>
          </w:p>
        </w:tc>
      </w:tr>
    </w:tbl>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2</w:t>
      </w:r>
      <w:r w:rsidRPr="00AC052F">
        <w:rPr>
          <w:rFonts w:ascii="仿宋" w:eastAsia="仿宋" w:hAnsi="仿宋" w:cs="FangSong"/>
          <w:b/>
          <w:bCs/>
          <w:kern w:val="0"/>
          <w:sz w:val="32"/>
          <w:szCs w:val="32"/>
        </w:rPr>
        <w:t>．日常</w:t>
      </w:r>
      <w:r w:rsidRPr="00AC052F">
        <w:rPr>
          <w:rStyle w:val="custom"/>
          <w:rFonts w:ascii="仿宋" w:eastAsia="仿宋" w:hAnsi="仿宋" w:cs="FangSong"/>
          <w:b/>
          <w:bCs/>
          <w:kern w:val="0"/>
          <w:sz w:val="32"/>
          <w:szCs w:val="32"/>
        </w:rPr>
        <w:t>申购、赎回、转换</w:t>
      </w:r>
      <w:r w:rsidRPr="00AC052F">
        <w:rPr>
          <w:rFonts w:ascii="仿宋" w:eastAsia="仿宋" w:hAnsi="仿宋" w:cs="FangSong"/>
          <w:b/>
          <w:bCs/>
          <w:kern w:val="0"/>
          <w:sz w:val="32"/>
          <w:szCs w:val="32"/>
        </w:rPr>
        <w:t>的办理时间</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2</w:t>
      </w:r>
      <w:r w:rsidRPr="00AC052F">
        <w:rPr>
          <w:rFonts w:ascii="仿宋" w:eastAsia="仿宋" w:hAnsi="仿宋" w:cs="FangSong"/>
          <w:b/>
          <w:bCs/>
          <w:kern w:val="0"/>
          <w:sz w:val="32"/>
          <w:szCs w:val="32"/>
        </w:rPr>
        <w:t>.1开放日及开放时间</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本基金在开放期内接受投资者的</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申请。</w:t>
      </w:r>
      <w:r w:rsidRPr="00AC052F">
        <w:rPr>
          <w:rStyle w:val="custom"/>
          <w:rFonts w:ascii="仿宋" w:eastAsia="仿宋" w:hAnsi="仿宋" w:cs="FangSong"/>
          <w:kern w:val="0"/>
          <w:sz w:val="32"/>
          <w:szCs w:val="32"/>
        </w:rPr>
        <w:t>2026年03月04日</w:t>
      </w:r>
      <w:r w:rsidRPr="00AC052F">
        <w:rPr>
          <w:rFonts w:ascii="仿宋" w:eastAsia="仿宋" w:hAnsi="仿宋" w:cs="FangSong"/>
          <w:kern w:val="0"/>
          <w:sz w:val="32"/>
          <w:szCs w:val="32"/>
        </w:rPr>
        <w:t>为本基金的第</w:t>
      </w:r>
      <w:r w:rsidRPr="00AC052F">
        <w:rPr>
          <w:rStyle w:val="custom"/>
          <w:rFonts w:ascii="仿宋" w:eastAsia="仿宋" w:hAnsi="仿宋" w:cs="FangSong"/>
          <w:kern w:val="0"/>
          <w:sz w:val="32"/>
          <w:szCs w:val="32"/>
        </w:rPr>
        <w:t>二十九</w:t>
      </w:r>
      <w:r w:rsidRPr="00AC052F">
        <w:rPr>
          <w:rFonts w:ascii="仿宋" w:eastAsia="仿宋" w:hAnsi="仿宋" w:cs="FangSong"/>
          <w:kern w:val="0"/>
          <w:sz w:val="32"/>
          <w:szCs w:val="32"/>
        </w:rPr>
        <w:t>个开放期起始日期。</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2</w:t>
      </w:r>
      <w:r w:rsidRPr="00AC052F">
        <w:rPr>
          <w:rFonts w:ascii="仿宋" w:eastAsia="仿宋" w:hAnsi="仿宋" w:cs="FangSong"/>
          <w:b/>
          <w:bCs/>
          <w:kern w:val="0"/>
          <w:sz w:val="32"/>
          <w:szCs w:val="32"/>
        </w:rPr>
        <w:t>.2</w:t>
      </w:r>
      <w:r w:rsidRPr="00AC052F">
        <w:rPr>
          <w:rStyle w:val="custom"/>
          <w:rFonts w:ascii="仿宋" w:eastAsia="仿宋" w:hAnsi="仿宋" w:cs="FangSong"/>
          <w:b/>
          <w:bCs/>
          <w:kern w:val="0"/>
          <w:sz w:val="32"/>
          <w:szCs w:val="32"/>
        </w:rPr>
        <w:t>申购、赎回、转换</w:t>
      </w:r>
      <w:r w:rsidRPr="00AC052F">
        <w:rPr>
          <w:rFonts w:ascii="仿宋" w:eastAsia="仿宋" w:hAnsi="仿宋" w:cs="FangSong"/>
          <w:b/>
          <w:bCs/>
          <w:kern w:val="0"/>
          <w:sz w:val="32"/>
          <w:szCs w:val="32"/>
        </w:rPr>
        <w:t>的开始日及业务办理时间</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根据《</w:t>
      </w:r>
      <w:r w:rsidRPr="00AC052F">
        <w:rPr>
          <w:rStyle w:val="custom"/>
          <w:rFonts w:ascii="仿宋" w:eastAsia="仿宋" w:hAnsi="仿宋" w:cs="FangSong"/>
          <w:kern w:val="0"/>
          <w:sz w:val="32"/>
          <w:szCs w:val="32"/>
        </w:rPr>
        <w:t>国联聚商3个月定期开放债券型发起式证券投资基金</w:t>
      </w:r>
      <w:r w:rsidRPr="00AC052F">
        <w:rPr>
          <w:rFonts w:ascii="仿宋" w:eastAsia="仿宋" w:hAnsi="仿宋" w:cs="FangSong"/>
          <w:kern w:val="0"/>
          <w:sz w:val="32"/>
          <w:szCs w:val="32"/>
        </w:rPr>
        <w:t>基金合同》、《</w:t>
      </w:r>
      <w:r w:rsidRPr="00AC052F">
        <w:rPr>
          <w:rStyle w:val="custom"/>
          <w:rFonts w:ascii="仿宋" w:eastAsia="仿宋" w:hAnsi="仿宋" w:cs="FangSong"/>
          <w:kern w:val="0"/>
          <w:sz w:val="32"/>
          <w:szCs w:val="32"/>
        </w:rPr>
        <w:t>国联聚商3个月定期开放债券型发起式证券投资基金</w:t>
      </w:r>
      <w:r w:rsidRPr="00AC052F">
        <w:rPr>
          <w:rFonts w:ascii="仿宋" w:eastAsia="仿宋" w:hAnsi="仿宋" w:cs="FangSong"/>
          <w:kern w:val="0"/>
          <w:sz w:val="32"/>
          <w:szCs w:val="32"/>
        </w:rPr>
        <w:t>招募说明书》，本基金办理</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业务的开放期为每个封闭期结束之后第一个工作日起（包括该日）原则上不少于2个工作日且不超过10个工作日的期间。</w:t>
      </w:r>
      <w:r w:rsidRPr="00AC052F">
        <w:rPr>
          <w:rStyle w:val="custom"/>
          <w:rFonts w:ascii="仿宋" w:eastAsia="仿宋" w:hAnsi="仿宋" w:cs="FangSong"/>
          <w:kern w:val="0"/>
          <w:sz w:val="32"/>
          <w:szCs w:val="32"/>
        </w:rPr>
        <w:t>国联聚商3个月定期开放债券型发起式证券投资基金</w:t>
      </w:r>
      <w:r w:rsidRPr="00AC052F">
        <w:rPr>
          <w:rFonts w:ascii="仿宋" w:eastAsia="仿宋" w:hAnsi="仿宋" w:cs="FangSong"/>
          <w:kern w:val="0"/>
          <w:sz w:val="32"/>
          <w:szCs w:val="32"/>
        </w:rPr>
        <w:t>本次办理</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业务的开放期为</w:t>
      </w:r>
      <w:r w:rsidRPr="00AC052F">
        <w:rPr>
          <w:rStyle w:val="custom"/>
          <w:rFonts w:ascii="仿宋" w:eastAsia="仿宋" w:hAnsi="仿宋" w:cs="FangSong"/>
          <w:kern w:val="0"/>
          <w:sz w:val="32"/>
          <w:szCs w:val="32"/>
        </w:rPr>
        <w:t>2026年03月04日</w:t>
      </w:r>
      <w:r w:rsidRPr="00AC052F">
        <w:rPr>
          <w:rFonts w:ascii="仿宋" w:eastAsia="仿宋" w:hAnsi="仿宋" w:cs="FangSong"/>
          <w:kern w:val="0"/>
          <w:sz w:val="32"/>
          <w:szCs w:val="32"/>
        </w:rPr>
        <w:t>至</w:t>
      </w:r>
      <w:r w:rsidRPr="00AC052F">
        <w:rPr>
          <w:rStyle w:val="custom"/>
          <w:rFonts w:ascii="仿宋" w:eastAsia="仿宋" w:hAnsi="仿宋" w:cs="FangSong"/>
          <w:kern w:val="0"/>
          <w:sz w:val="32"/>
          <w:szCs w:val="32"/>
        </w:rPr>
        <w:t>2026年03月05日</w:t>
      </w:r>
      <w:r w:rsidRPr="00AC052F">
        <w:rPr>
          <w:rFonts w:ascii="仿宋" w:eastAsia="仿宋" w:hAnsi="仿宋" w:cs="FangSong"/>
          <w:kern w:val="0"/>
          <w:sz w:val="32"/>
          <w:szCs w:val="32"/>
        </w:rPr>
        <w:t>共</w:t>
      </w:r>
      <w:r w:rsidRPr="00AC052F">
        <w:rPr>
          <w:rStyle w:val="custom"/>
          <w:rFonts w:ascii="仿宋" w:eastAsia="仿宋" w:hAnsi="仿宋" w:cs="FangSong"/>
          <w:kern w:val="0"/>
          <w:sz w:val="32"/>
          <w:szCs w:val="32"/>
        </w:rPr>
        <w:t>2</w:t>
      </w:r>
      <w:r w:rsidRPr="00AC052F">
        <w:rPr>
          <w:rFonts w:ascii="仿宋" w:eastAsia="仿宋" w:hAnsi="仿宋" w:cs="FangSong"/>
          <w:kern w:val="0"/>
          <w:sz w:val="32"/>
          <w:szCs w:val="32"/>
        </w:rPr>
        <w:t>个工作日。期间本基金采取开放运作模式，投资人可办理基金份额的</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。管理人有权根据本基金的</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情况调整本次开放期。</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具体办理时间为上海证券交易所、深圳证券交易所的正常交易日的交易时间，但基金管理人根据法律法规、中国证监会的要求或基金合同的规定公告暂停</w:t>
      </w:r>
      <w:r w:rsidRPr="00AC052F">
        <w:rPr>
          <w:rStyle w:val="custom"/>
          <w:rFonts w:ascii="仿宋" w:eastAsia="仿宋" w:hAnsi="仿宋" w:cs="FangSong"/>
          <w:kern w:val="0"/>
          <w:sz w:val="32"/>
          <w:szCs w:val="32"/>
        </w:rPr>
        <w:t>申购、赎回</w:t>
      </w:r>
      <w:bookmarkStart w:id="0" w:name="_GoBack"/>
      <w:bookmarkEnd w:id="0"/>
      <w:r w:rsidRPr="00AC052F">
        <w:rPr>
          <w:rFonts w:ascii="仿宋" w:eastAsia="仿宋" w:hAnsi="仿宋" w:cs="FangSong"/>
          <w:kern w:val="0"/>
          <w:sz w:val="32"/>
          <w:szCs w:val="32"/>
        </w:rPr>
        <w:t>时除外。开放期内因不可抗力或其他情形致使基金无法按时开放</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业务，或依据基金合同需暂停</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业务的，开放期时间中止计算，在不可抗力或其他情形影响因素消除之日起的下一个工作日继续计算该开放期时间，直至满足开放期的时间要求，具体时间以基金管理人届时的公告为准。</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3</w:t>
      </w:r>
      <w:r w:rsidRPr="00AC052F">
        <w:rPr>
          <w:rFonts w:ascii="仿宋" w:eastAsia="仿宋" w:hAnsi="仿宋" w:cs="FangSong"/>
          <w:b/>
          <w:bCs/>
          <w:kern w:val="0"/>
          <w:sz w:val="32"/>
          <w:szCs w:val="32"/>
        </w:rPr>
        <w:t>．日常申购业务</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3</w:t>
      </w:r>
      <w:r w:rsidRPr="00AC052F">
        <w:rPr>
          <w:rFonts w:ascii="仿宋" w:eastAsia="仿宋" w:hAnsi="仿宋" w:cs="FangSong"/>
          <w:b/>
          <w:bCs/>
          <w:kern w:val="0"/>
          <w:sz w:val="32"/>
          <w:szCs w:val="32"/>
        </w:rPr>
        <w:t>.1申购金额限制</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管理人直销机构每个基金账户首次最低申购金额为1元人民币，单笔追加申购最低金额为1元人民币；通过基金管理人网上交易平台申购本基金时，每次最低申购金额为1元人民币。其他销售机构每个基金账户单笔申购最低金额为1元人民币，其他销售机构另有规定的，从其规定。</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3</w:t>
      </w:r>
      <w:r w:rsidRPr="00AC052F">
        <w:rPr>
          <w:rFonts w:ascii="仿宋" w:eastAsia="仿宋" w:hAnsi="仿宋" w:cs="FangSong"/>
          <w:b/>
          <w:bCs/>
          <w:kern w:val="0"/>
          <w:sz w:val="32"/>
          <w:szCs w:val="32"/>
        </w:rPr>
        <w:t>.2申购费用</w:t>
      </w:r>
    </w:p>
    <w:p w:rsidR="00EA10EC" w:rsidRPr="00AC052F" w:rsidRDefault="00CD0FF1">
      <w:pPr>
        <w:pStyle w:val="div"/>
        <w:wordWrap w:val="0"/>
        <w:spacing w:line="360" w:lineRule="auto"/>
        <w:ind w:firstLine="630"/>
        <w:jc w:val="left"/>
        <w:rPr>
          <w:rFonts w:ascii="仿宋" w:eastAsia="仿宋" w:hAnsi="仿宋" w:cs="FangSong"/>
          <w:kern w:val="0"/>
          <w:sz w:val="32"/>
          <w:szCs w:val="32"/>
        </w:rPr>
      </w:pPr>
      <w:r w:rsidRPr="00AC052F">
        <w:rPr>
          <w:rFonts w:ascii="仿宋" w:eastAsia="仿宋" w:hAnsi="仿宋" w:cs="FangSong"/>
          <w:kern w:val="0"/>
          <w:sz w:val="32"/>
          <w:szCs w:val="32"/>
        </w:rPr>
        <w:t>投资人在申购本基金基金份额时，收取申购费用，申购费率随申购金额增加而递减；投资人可以多次申购本基金，申购费率按每日累计申购金额确定，每笔申购费用以每笔申购申请单独计算。</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本基金的申购费率如下表所示：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5311"/>
        <w:gridCol w:w="3217"/>
      </w:tblGrid>
      <w:tr w:rsidR="00EA10EC" w:rsidRPr="00AC052F">
        <w:trPr>
          <w:trHeight w:val="550"/>
          <w:jc w:val="center"/>
        </w:trPr>
        <w:tc>
          <w:tcPr>
            <w:tcW w:w="4896"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EA10EC" w:rsidRPr="00AC052F" w:rsidRDefault="00CD0FF1" w:rsidP="00AC052F">
            <w:pPr>
              <w:pStyle w:val="div"/>
              <w:spacing w:line="360" w:lineRule="auto"/>
              <w:ind w:firstLine="640"/>
              <w:jc w:val="center"/>
              <w:rPr>
                <w:rFonts w:ascii="仿宋" w:eastAsia="仿宋" w:hAnsi="仿宋" w:cs="FangSong"/>
                <w:b/>
                <w:color w:val="000000"/>
                <w:kern w:val="0"/>
                <w:sz w:val="32"/>
                <w:szCs w:val="32"/>
              </w:rPr>
            </w:pPr>
            <w:r w:rsidRPr="00AC052F">
              <w:rPr>
                <w:rFonts w:ascii="仿宋" w:eastAsia="仿宋" w:hAnsi="仿宋" w:cs="FangSong"/>
                <w:b/>
                <w:color w:val="000000"/>
                <w:kern w:val="0"/>
                <w:sz w:val="32"/>
                <w:szCs w:val="32"/>
              </w:rPr>
              <w:t>申购金额（M）</w:t>
            </w:r>
          </w:p>
        </w:tc>
        <w:tc>
          <w:tcPr>
            <w:tcW w:w="2965"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EA10EC" w:rsidRPr="00AC052F" w:rsidRDefault="00CD0FF1" w:rsidP="00AC052F">
            <w:pPr>
              <w:pStyle w:val="div"/>
              <w:spacing w:line="360" w:lineRule="auto"/>
              <w:jc w:val="center"/>
              <w:rPr>
                <w:rFonts w:ascii="仿宋" w:eastAsia="仿宋" w:hAnsi="仿宋" w:cs="FangSong"/>
                <w:b/>
                <w:color w:val="000000"/>
                <w:kern w:val="0"/>
                <w:sz w:val="32"/>
                <w:szCs w:val="32"/>
              </w:rPr>
            </w:pPr>
            <w:r w:rsidRPr="00AC052F">
              <w:rPr>
                <w:rFonts w:ascii="仿宋" w:eastAsia="仿宋" w:hAnsi="仿宋" w:cs="FangSong"/>
                <w:b/>
                <w:color w:val="000000"/>
                <w:kern w:val="0"/>
                <w:sz w:val="32"/>
                <w:szCs w:val="32"/>
              </w:rPr>
              <w:t>申购费率</w:t>
            </w:r>
          </w:p>
        </w:tc>
      </w:tr>
      <w:tr w:rsidR="00EA10EC" w:rsidRPr="00AC052F">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EA10EC" w:rsidRPr="00AC052F" w:rsidRDefault="00AC052F" w:rsidP="00AC052F">
            <w:pPr>
              <w:pStyle w:val="div"/>
              <w:spacing w:line="360" w:lineRule="auto"/>
              <w:ind w:firstLine="640"/>
              <w:jc w:val="center"/>
              <w:rPr>
                <w:rFonts w:ascii="仿宋" w:eastAsia="仿宋" w:hAnsi="仿宋" w:cs="FangSong"/>
                <w:color w:val="000000"/>
                <w:kern w:val="0"/>
                <w:sz w:val="32"/>
                <w:szCs w:val="32"/>
              </w:rPr>
            </w:pPr>
            <w:r>
              <w:rPr>
                <w:rFonts w:ascii="仿宋" w:eastAsia="仿宋" w:hAnsi="仿宋" w:cs="FangSong"/>
                <w:color w:val="000000"/>
                <w:kern w:val="0"/>
                <w:sz w:val="32"/>
                <w:szCs w:val="32"/>
              </w:rPr>
              <w:t>M</w:t>
            </w:r>
            <w:r>
              <w:rPr>
                <w:rFonts w:ascii="仿宋" w:eastAsia="仿宋" w:hAnsi="仿宋" w:cs="FangSong" w:hint="eastAsia"/>
                <w:color w:val="000000"/>
                <w:kern w:val="0"/>
                <w:sz w:val="32"/>
                <w:szCs w:val="32"/>
              </w:rPr>
              <w:t>＜</w:t>
            </w:r>
            <w:r w:rsidR="00CD0FF1" w:rsidRPr="00AC052F">
              <w:rPr>
                <w:rFonts w:ascii="仿宋" w:eastAsia="仿宋" w:hAnsi="仿宋" w:cs="FangSong"/>
                <w:color w:val="000000"/>
                <w:kern w:val="0"/>
                <w:sz w:val="32"/>
                <w:szCs w:val="32"/>
              </w:rPr>
              <w:t>100万元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A10EC" w:rsidRPr="00AC052F" w:rsidRDefault="00CD0FF1" w:rsidP="00AC052F">
            <w:pPr>
              <w:pStyle w:val="div"/>
              <w:spacing w:line="360" w:lineRule="auto"/>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0.60%</w:t>
            </w:r>
          </w:p>
        </w:tc>
      </w:tr>
      <w:tr w:rsidR="00EA10EC" w:rsidRPr="00AC052F">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EA10EC" w:rsidRPr="00AC052F" w:rsidRDefault="00CD0FF1" w:rsidP="00AC052F">
            <w:pPr>
              <w:pStyle w:val="div"/>
              <w:spacing w:line="360" w:lineRule="auto"/>
              <w:ind w:firstLine="640"/>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100万元</w:t>
            </w:r>
            <w:r w:rsidR="00AC052F">
              <w:rPr>
                <w:rFonts w:ascii="仿宋" w:eastAsia="仿宋" w:hAnsi="仿宋" w:cs="FangSong"/>
                <w:color w:val="000000"/>
                <w:kern w:val="0"/>
                <w:sz w:val="32"/>
                <w:szCs w:val="32"/>
              </w:rPr>
              <w:t>≤M</w:t>
            </w:r>
            <w:r w:rsidR="00AC052F">
              <w:rPr>
                <w:rFonts w:ascii="仿宋" w:eastAsia="仿宋" w:hAnsi="仿宋" w:cs="FangSong" w:hint="eastAsia"/>
                <w:color w:val="000000"/>
                <w:kern w:val="0"/>
                <w:sz w:val="32"/>
                <w:szCs w:val="32"/>
              </w:rPr>
              <w:t>＜</w:t>
            </w:r>
            <w:r w:rsidRPr="00AC052F">
              <w:rPr>
                <w:rFonts w:ascii="仿宋" w:eastAsia="仿宋" w:hAnsi="仿宋" w:cs="FangSong"/>
                <w:color w:val="000000"/>
                <w:kern w:val="0"/>
                <w:sz w:val="32"/>
                <w:szCs w:val="32"/>
              </w:rPr>
              <w:t>200万元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A10EC" w:rsidRPr="00AC052F" w:rsidRDefault="00CD0FF1" w:rsidP="00AC052F">
            <w:pPr>
              <w:pStyle w:val="div"/>
              <w:spacing w:line="360" w:lineRule="auto"/>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0.40%</w:t>
            </w:r>
          </w:p>
        </w:tc>
      </w:tr>
      <w:tr w:rsidR="00EA10EC" w:rsidRPr="00AC052F">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EA10EC" w:rsidRPr="00AC052F" w:rsidRDefault="00CD0FF1" w:rsidP="00AC052F">
            <w:pPr>
              <w:pStyle w:val="div"/>
              <w:spacing w:line="360" w:lineRule="auto"/>
              <w:ind w:firstLine="640"/>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200万元</w:t>
            </w:r>
            <w:r w:rsidR="00AC052F">
              <w:rPr>
                <w:rFonts w:ascii="仿宋" w:eastAsia="仿宋" w:hAnsi="仿宋" w:cs="FangSong"/>
                <w:color w:val="000000"/>
                <w:kern w:val="0"/>
                <w:sz w:val="32"/>
                <w:szCs w:val="32"/>
              </w:rPr>
              <w:t>≤M</w:t>
            </w:r>
            <w:r w:rsidR="00AC052F">
              <w:rPr>
                <w:rFonts w:ascii="仿宋" w:eastAsia="仿宋" w:hAnsi="仿宋" w:cs="FangSong" w:hint="eastAsia"/>
                <w:color w:val="000000"/>
                <w:kern w:val="0"/>
                <w:sz w:val="32"/>
                <w:szCs w:val="32"/>
              </w:rPr>
              <w:t>＜</w:t>
            </w:r>
            <w:r w:rsidRPr="00AC052F">
              <w:rPr>
                <w:rFonts w:ascii="仿宋" w:eastAsia="仿宋" w:hAnsi="仿宋" w:cs="FangSong"/>
                <w:color w:val="000000"/>
                <w:kern w:val="0"/>
                <w:sz w:val="32"/>
                <w:szCs w:val="32"/>
              </w:rPr>
              <w:t>500万元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A10EC" w:rsidRPr="00AC052F" w:rsidRDefault="00CD0FF1" w:rsidP="00AC052F">
            <w:pPr>
              <w:pStyle w:val="div"/>
              <w:spacing w:line="360" w:lineRule="auto"/>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0.20%</w:t>
            </w:r>
          </w:p>
        </w:tc>
      </w:tr>
      <w:tr w:rsidR="00EA10EC" w:rsidRPr="00AC052F">
        <w:trPr>
          <w:trHeight w:val="20"/>
          <w:jc w:val="center"/>
        </w:trPr>
        <w:tc>
          <w:tcPr>
            <w:tcW w:w="4896"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hideMark/>
          </w:tcPr>
          <w:p w:rsidR="00EA10EC" w:rsidRPr="00AC052F" w:rsidRDefault="00CD0FF1" w:rsidP="00AC052F">
            <w:pPr>
              <w:pStyle w:val="div"/>
              <w:spacing w:line="360" w:lineRule="auto"/>
              <w:ind w:firstLine="640"/>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M≥500万元</w:t>
            </w:r>
          </w:p>
        </w:tc>
        <w:tc>
          <w:tcPr>
            <w:tcW w:w="2965"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EA10EC" w:rsidRPr="00AC052F" w:rsidRDefault="00CD0FF1" w:rsidP="00AC052F">
            <w:pPr>
              <w:pStyle w:val="div"/>
              <w:spacing w:line="360" w:lineRule="auto"/>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每笔1000元</w:t>
            </w:r>
          </w:p>
        </w:tc>
      </w:tr>
    </w:tbl>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3</w:t>
      </w:r>
      <w:r w:rsidRPr="00AC052F">
        <w:rPr>
          <w:rFonts w:ascii="仿宋" w:eastAsia="仿宋" w:hAnsi="仿宋" w:cs="FangSong"/>
          <w:b/>
          <w:bCs/>
          <w:kern w:val="0"/>
          <w:sz w:val="32"/>
          <w:szCs w:val="32"/>
        </w:rPr>
        <w:t>.3其他与申购相关的事项</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（1）本基金的申购费用应在投资人申购基金份额时收取，不列入基金财产，主要用于本基金的市场推广、销售、注册登记等各项费用。</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（2）基金管理人可在法律法规允许的情况下，调整上述规定申购金额的数量限制。基金管理人必须在调整实施前依照《公开募集证券投资基金信息披露管理办法》的有关规定在指定媒介上公告。</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4）基金管理人可以在不违反法律法规规定及基金合同约定的情形下根据市场情况制定基金促销计划，定期和不定期地开展基金促销活动。在基金促销活动期间，基金管理人可以按中国证监会要求履行必要手续后，对投资人适当调低基金申购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4</w:t>
      </w:r>
      <w:r w:rsidRPr="00AC052F">
        <w:rPr>
          <w:rFonts w:ascii="仿宋" w:eastAsia="仿宋" w:hAnsi="仿宋" w:cs="FangSong"/>
          <w:b/>
          <w:bCs/>
          <w:kern w:val="0"/>
          <w:sz w:val="32"/>
          <w:szCs w:val="32"/>
        </w:rPr>
        <w:t>．日常赎回业务</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4</w:t>
      </w:r>
      <w:r w:rsidRPr="00AC052F">
        <w:rPr>
          <w:rFonts w:ascii="仿宋" w:eastAsia="仿宋" w:hAnsi="仿宋" w:cs="FangSong"/>
          <w:b/>
          <w:bCs/>
          <w:kern w:val="0"/>
          <w:sz w:val="32"/>
          <w:szCs w:val="32"/>
        </w:rPr>
        <w:t>.1赎回份额限制</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基金份额持有人在销售机构赎回时，每次赎回申请不得低于1份基金份额。基金份额持有人赎回时或赎回后在销售机构（网点）保留的基金份额余额不足1份的，在赎回时需一次全部赎回。</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4</w:t>
      </w:r>
      <w:r w:rsidRPr="00AC052F">
        <w:rPr>
          <w:rFonts w:ascii="仿宋" w:eastAsia="仿宋" w:hAnsi="仿宋" w:cs="FangSong"/>
          <w:b/>
          <w:bCs/>
          <w:kern w:val="0"/>
          <w:sz w:val="32"/>
          <w:szCs w:val="32"/>
        </w:rPr>
        <w:t>.2赎回费用</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本基金的赎回费率按照持有时间递减，即基金份额持有时间越长，所适用的赎回费率越低，具体赎回费率如下表所示：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870"/>
        <w:gridCol w:w="3658"/>
      </w:tblGrid>
      <w:tr w:rsidR="00EA10EC" w:rsidRPr="00AC052F">
        <w:trPr>
          <w:trHeight w:val="294"/>
          <w:jc w:val="center"/>
        </w:trPr>
        <w:tc>
          <w:tcPr>
            <w:tcW w:w="4745"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EA10EC" w:rsidRPr="00AC052F" w:rsidRDefault="00CD0FF1">
            <w:pPr>
              <w:pStyle w:val="div"/>
              <w:spacing w:line="360" w:lineRule="auto"/>
              <w:ind w:firstLine="640"/>
              <w:rPr>
                <w:rFonts w:ascii="仿宋" w:eastAsia="仿宋" w:hAnsi="仿宋" w:cs="FangSong"/>
                <w:color w:val="000000"/>
                <w:kern w:val="0"/>
                <w:sz w:val="32"/>
                <w:szCs w:val="32"/>
              </w:rPr>
            </w:pPr>
            <w:r w:rsidRPr="00AC052F">
              <w:rPr>
                <w:rFonts w:ascii="仿宋" w:eastAsia="仿宋" w:hAnsi="仿宋" w:cs="FangSong"/>
                <w:b/>
                <w:bCs/>
                <w:color w:val="000000"/>
                <w:kern w:val="0"/>
                <w:sz w:val="32"/>
                <w:szCs w:val="32"/>
              </w:rPr>
              <w:t>基金份额持有时间（Y）</w:t>
            </w:r>
          </w:p>
        </w:tc>
        <w:tc>
          <w:tcPr>
            <w:tcW w:w="3564"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EA10EC" w:rsidRPr="00AC052F" w:rsidRDefault="00CD0FF1">
            <w:pPr>
              <w:pStyle w:val="div"/>
              <w:spacing w:line="360" w:lineRule="auto"/>
              <w:ind w:firstLine="640"/>
              <w:rPr>
                <w:rFonts w:ascii="仿宋" w:eastAsia="仿宋" w:hAnsi="仿宋" w:cs="FangSong"/>
                <w:color w:val="000000"/>
                <w:kern w:val="0"/>
                <w:sz w:val="32"/>
                <w:szCs w:val="32"/>
              </w:rPr>
            </w:pPr>
            <w:r w:rsidRPr="00AC052F">
              <w:rPr>
                <w:rFonts w:ascii="仿宋" w:eastAsia="仿宋" w:hAnsi="仿宋" w:cs="FangSong"/>
                <w:b/>
                <w:bCs/>
                <w:color w:val="000000"/>
                <w:kern w:val="0"/>
                <w:sz w:val="32"/>
                <w:szCs w:val="32"/>
              </w:rPr>
              <w:t>赎回费率</w:t>
            </w:r>
          </w:p>
        </w:tc>
      </w:tr>
      <w:tr w:rsidR="00EA10EC" w:rsidRPr="00AC052F">
        <w:trPr>
          <w:trHeight w:val="294"/>
          <w:jc w:val="center"/>
        </w:trPr>
        <w:tc>
          <w:tcPr>
            <w:tcW w:w="4745" w:type="dxa"/>
            <w:vMerge w:val="restart"/>
            <w:tcBorders>
              <w:top w:val="single" w:sz="6" w:space="0" w:color="000000"/>
              <w:left w:val="single" w:sz="8" w:space="0" w:color="000000"/>
              <w:right w:val="single" w:sz="6" w:space="0" w:color="000000"/>
            </w:tcBorders>
            <w:tcMar>
              <w:top w:w="134" w:type="dxa"/>
              <w:left w:w="111" w:type="dxa"/>
              <w:bottom w:w="134" w:type="dxa"/>
              <w:right w:w="108" w:type="dxa"/>
            </w:tcMar>
            <w:vAlign w:val="center"/>
            <w:hideMark/>
          </w:tcPr>
          <w:p w:rsidR="00EA10EC" w:rsidRPr="00AC052F" w:rsidRDefault="00CD0FF1">
            <w:pPr>
              <w:pStyle w:val="div"/>
              <w:spacing w:line="360" w:lineRule="auto"/>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在同一开放期内申购后又赎回的</w:t>
            </w: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A10EC" w:rsidRPr="00AC052F" w:rsidRDefault="00CD0FF1">
            <w:pPr>
              <w:pStyle w:val="div"/>
              <w:spacing w:line="360" w:lineRule="auto"/>
              <w:ind w:firstLine="640"/>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Y＜7日 1.50%</w:t>
            </w:r>
          </w:p>
        </w:tc>
      </w:tr>
      <w:tr w:rsidR="00EA10EC" w:rsidRPr="00AC052F">
        <w:trPr>
          <w:trHeight w:val="294"/>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EA10EC" w:rsidRPr="00AC052F" w:rsidRDefault="00EA10EC">
            <w:pPr>
              <w:rPr>
                <w:rFonts w:ascii="仿宋" w:eastAsia="仿宋" w:hAnsi="仿宋"/>
              </w:rPr>
            </w:pP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EA10EC" w:rsidRPr="00AC052F" w:rsidRDefault="00CD0FF1">
            <w:pPr>
              <w:pStyle w:val="div"/>
              <w:spacing w:line="360" w:lineRule="auto"/>
              <w:ind w:firstLine="640"/>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Y≥7日 0.10%</w:t>
            </w:r>
          </w:p>
        </w:tc>
      </w:tr>
      <w:tr w:rsidR="00EA10EC" w:rsidRPr="00AC052F">
        <w:trPr>
          <w:trHeight w:val="294"/>
          <w:jc w:val="center"/>
        </w:trPr>
        <w:tc>
          <w:tcPr>
            <w:tcW w:w="4745"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EA10EC" w:rsidRPr="00AC052F" w:rsidRDefault="00CD0FF1">
            <w:pPr>
              <w:pStyle w:val="div"/>
              <w:spacing w:line="360" w:lineRule="auto"/>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持有一个或一个以上封闭期</w:t>
            </w:r>
          </w:p>
        </w:tc>
        <w:tc>
          <w:tcPr>
            <w:tcW w:w="3564"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EA10EC" w:rsidRPr="00AC052F" w:rsidRDefault="00CD0FF1" w:rsidP="00AC052F">
            <w:pPr>
              <w:pStyle w:val="div"/>
              <w:spacing w:line="360" w:lineRule="auto"/>
              <w:jc w:val="center"/>
              <w:rPr>
                <w:rFonts w:ascii="仿宋" w:eastAsia="仿宋" w:hAnsi="仿宋" w:cs="FangSong"/>
                <w:color w:val="000000"/>
                <w:kern w:val="0"/>
                <w:sz w:val="32"/>
                <w:szCs w:val="32"/>
              </w:rPr>
            </w:pPr>
            <w:r w:rsidRPr="00AC052F">
              <w:rPr>
                <w:rFonts w:ascii="仿宋" w:eastAsia="仿宋" w:hAnsi="仿宋" w:cs="FangSong"/>
                <w:color w:val="000000"/>
                <w:kern w:val="0"/>
                <w:sz w:val="32"/>
                <w:szCs w:val="32"/>
              </w:rPr>
              <w:t>0</w:t>
            </w:r>
          </w:p>
        </w:tc>
      </w:tr>
    </w:tbl>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4</w:t>
      </w:r>
      <w:r w:rsidRPr="00AC052F">
        <w:rPr>
          <w:rFonts w:ascii="仿宋" w:eastAsia="仿宋" w:hAnsi="仿宋" w:cs="FangSong"/>
          <w:b/>
          <w:bCs/>
          <w:kern w:val="0"/>
          <w:sz w:val="32"/>
          <w:szCs w:val="32"/>
        </w:rPr>
        <w:t>.3其他与赎回相关的事项</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1）赎回费用由赎回基金份额的基金份额持有人承担。本基金的赎回费用在投资者赎回本基金份额时收取，扣除用于市场推广、登记费和其他手续费后的余额归基金财产。对于在同一开放期内申购后又赎回的、持有期少于7日的基金份额所收取的赎回费，赎回费用全额计入基金资产。对于在同一开放期内申购后又赎回的、持有期不少于7日的基金份额所收取的赎回费，赎回费归入基金财产的比例不得低于赎回费总额的25%。</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（2）基金管理人可在法律法规允许的情况下，调整上述规定赎回份额的数量限制。基金管理人必须在调整实施前依照《公开募集证券投资基金信息披露管理办法》的有关规定在指定媒介上公告。</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4）基金管理人可以在不违反法律法规规定及基金合同约定的情形下根据市场情况制定基金促销计划，定期和不定期地开展基金促销活动。在基金促销活动期间，基金管理人可以按中国证监会要求履行必要手续后，对投资人适当调低基金赎回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5</w:t>
      </w:r>
      <w:r w:rsidRPr="00AC052F">
        <w:rPr>
          <w:rFonts w:ascii="仿宋" w:eastAsia="仿宋" w:hAnsi="仿宋" w:cs="FangSong"/>
          <w:b/>
          <w:bCs/>
          <w:kern w:val="0"/>
          <w:sz w:val="32"/>
          <w:szCs w:val="32"/>
        </w:rPr>
        <w:t>．日常转换业务</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5</w:t>
      </w:r>
      <w:r w:rsidRPr="00AC052F">
        <w:rPr>
          <w:rFonts w:ascii="仿宋" w:eastAsia="仿宋" w:hAnsi="仿宋" w:cs="FangSong"/>
          <w:b/>
          <w:bCs/>
          <w:kern w:val="0"/>
          <w:sz w:val="32"/>
          <w:szCs w:val="32"/>
        </w:rPr>
        <w:t>.1转换费率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基金转换费用由补差费和转出费两部分构成，具体收取情况视每次转换时两只基金的申购费率差异情况和转出基金的赎回费率而定。</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基金转换费用的具体计算公式如下：</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（1）转换费用=转出费+补差费</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（2）转出费=转出金额×转出基金赎回费率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（3）转出金额=转出基金份额×转出基金当日基金份额净值</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（4）①当转出基金的申购费率＜转入基金的申购费率时，补差费=转出净金额×转入基金的申购费率/（1+转入基金的申购费率）-转出净金额×转出基金的申购费率/（1+转出基金的申购费率）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②当转出基金的申购费率≥转入基金的申购费率时，则补差费为0。</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（5）转入净金额=转出金额-转换费用</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（6）转出净金额=转出基金份额×转出基金当日基金份额净值×（1-转出基金赎回费率）</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（7）转入份额=转入净金额/转入基金当日基金份额净值</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5</w:t>
      </w:r>
      <w:r w:rsidRPr="00AC052F">
        <w:rPr>
          <w:rFonts w:ascii="仿宋" w:eastAsia="仿宋" w:hAnsi="仿宋" w:cs="FangSong"/>
          <w:b/>
          <w:bCs/>
          <w:kern w:val="0"/>
          <w:sz w:val="32"/>
          <w:szCs w:val="32"/>
        </w:rPr>
        <w:t>.2其他与转换相关的事项</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（1）转换业务规则</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本基金可以与本管理人旗下已开通转换业务的基金转换。基金转换只能在同一销售机构办理，转换的两只基金必须都是该销售机构销售的本管理人管理的、在同一注册登记机构注册登记的基金。</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基金转换，以申请当日基金份额净值为基础计算。投资者采用“份额转换”的原则提交申请，基金转换遵循“先进先出”的原则。</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投资者办理基金转换业务时，转出的基金必须处于可赎回状态，转入的基金必须处于可申购状态，已经冻结的基金份额不得申请基金转换。</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（2）办理时间</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转换业务的申请受理时间与基金管理人管理的基金日常申购业务受理时间相同。</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（3）转换限额</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投资者在办理转换业务时，单笔转换基金份额不得低于1份，销售机构有不同规定的，投资者在销售机构办理相关业务时，需遵循该销售机构的相关规定。</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（4）交易确认</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6</w:t>
      </w:r>
      <w:r w:rsidRPr="00AC052F">
        <w:rPr>
          <w:rFonts w:ascii="仿宋" w:eastAsia="仿宋" w:hAnsi="仿宋" w:cs="FangSong"/>
          <w:b/>
          <w:bCs/>
          <w:kern w:val="0"/>
          <w:sz w:val="32"/>
          <w:szCs w:val="32"/>
        </w:rPr>
        <w:t>．基金销售机构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6</w:t>
      </w:r>
      <w:r w:rsidRPr="00AC052F">
        <w:rPr>
          <w:rFonts w:ascii="仿宋" w:eastAsia="仿宋" w:hAnsi="仿宋" w:cs="FangSong"/>
          <w:b/>
          <w:bCs/>
          <w:kern w:val="0"/>
          <w:sz w:val="32"/>
          <w:szCs w:val="32"/>
        </w:rPr>
        <w:t>.1场外销售机构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6</w:t>
      </w:r>
      <w:r w:rsidRPr="00AC052F">
        <w:rPr>
          <w:rFonts w:ascii="仿宋" w:eastAsia="仿宋" w:hAnsi="仿宋" w:cs="FangSong"/>
          <w:b/>
          <w:bCs/>
          <w:kern w:val="0"/>
          <w:sz w:val="32"/>
          <w:szCs w:val="32"/>
        </w:rPr>
        <w:t>.1.1直销机构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本基金直销机构指本公司直销中心以及直销电子交易平台。</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（1）名称：国联基金管理有限公司直销中心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住所：深圳市福田区福田街道岗厦社区金田路3086号大百汇广场31层02-04单元</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办公地址：北京市东城区安定门外大街208号玖安广场A座11层</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法定代表人：王瑶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邮政编码：100011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电话：010-56517002、010-56517003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传真：010-64345889、010-84568832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邮箱：zhixiao@glfund.com</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联系人：秦夏禹、张美婷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网址：www.glfund.com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（2）本基金暂不通过直销电子交易平台办理本基金的销售业务。 </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6</w:t>
      </w:r>
      <w:r w:rsidRPr="00AC052F">
        <w:rPr>
          <w:rFonts w:ascii="仿宋" w:eastAsia="仿宋" w:hAnsi="仿宋" w:cs="FangSong"/>
          <w:b/>
          <w:bCs/>
          <w:kern w:val="0"/>
          <w:sz w:val="32"/>
          <w:szCs w:val="32"/>
        </w:rPr>
        <w:t>.1.2场外非直销机构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（1）名称：中国邮政储蓄银行股份有限公司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住所：北京市西城区金融大街3号</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办公地址：北京市西城区金融大街3号</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法定代表人：郑国雨</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客服电话：95580</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（2）名称：江苏银行股份有限公司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住所：南京市中华路26号</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法定代表人：葛仁余</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客服电话：95319</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（3）名称：招商银行股份有限公司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住所：中国广东省深圳市福田区深南大道7088号</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法定代表人：缪建民</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客服电话：95555</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（4）名称：上海基煜基金销售有限公司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住所：上海市黄浦区广东路500号30层3001单元</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办公地址：上海市浦东新区银城中路488号的太平金融大厦1503-1504室</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法定代表人：王翔</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联系人：俞申莉</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电话：021-65370077-209</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客服电话：400-820-5369</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（5）名称：上海天天基金销售有限公司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住所：上海市徐汇区龙田路190号2号楼二层</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办公地址：上海市徐汇区龙田路190号2号楼二层</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法定代表人：其实</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客服电话：95021</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 xml:space="preserve">（6）名称：上海利得基金销售有限公司 </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住所：中国（上海）自由贸易试验区临港新片区海基六路70弄1号208-36室</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办公地址：上海浦东新区峨山路91弄61号10号楼12楼</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法定代表人：李兴春</w:t>
      </w:r>
    </w:p>
    <w:p w:rsidR="00EA10EC" w:rsidRPr="00AC052F" w:rsidRDefault="00CD0FF1">
      <w:pPr>
        <w:pStyle w:val="div"/>
        <w:wordWrap w:val="0"/>
        <w:spacing w:line="360" w:lineRule="auto"/>
        <w:ind w:firstLine="480"/>
        <w:rPr>
          <w:rFonts w:ascii="仿宋" w:eastAsia="仿宋" w:hAnsi="仿宋" w:cs="FangSong"/>
          <w:kern w:val="0"/>
          <w:sz w:val="32"/>
          <w:szCs w:val="32"/>
        </w:rPr>
      </w:pPr>
      <w:r w:rsidRPr="00AC052F">
        <w:rPr>
          <w:rFonts w:ascii="仿宋" w:eastAsia="仿宋" w:hAnsi="仿宋" w:cs="FangSong"/>
          <w:kern w:val="0"/>
          <w:sz w:val="32"/>
          <w:szCs w:val="32"/>
        </w:rPr>
        <w:t>客服电话：400-032-5885</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基金管理人可以根据相关法律法规要求，选择其他符合要求 的其他机构销售本基金，并在管理人网站上公示。</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custom"/>
          <w:rFonts w:ascii="仿宋" w:eastAsia="仿宋" w:hAnsi="仿宋" w:cs="FangSong"/>
          <w:b/>
          <w:bCs/>
          <w:kern w:val="0"/>
          <w:sz w:val="32"/>
          <w:szCs w:val="32"/>
        </w:rPr>
        <w:t>6</w:t>
      </w:r>
      <w:r w:rsidRPr="00AC052F">
        <w:rPr>
          <w:rFonts w:ascii="仿宋" w:eastAsia="仿宋" w:hAnsi="仿宋" w:cs="FangSong"/>
          <w:b/>
          <w:bCs/>
          <w:kern w:val="0"/>
          <w:sz w:val="32"/>
          <w:szCs w:val="32"/>
        </w:rPr>
        <w:t>.2.场内销售机构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本基金无场内销售机构。</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7</w:t>
      </w:r>
      <w:r w:rsidRPr="00AC052F">
        <w:rPr>
          <w:rFonts w:ascii="仿宋" w:eastAsia="仿宋" w:hAnsi="仿宋" w:cs="FangSong"/>
          <w:b/>
          <w:bCs/>
          <w:kern w:val="0"/>
          <w:sz w:val="32"/>
          <w:szCs w:val="32"/>
        </w:rPr>
        <w:t>．基金份额净值公告的披露安排</w:t>
      </w:r>
    </w:p>
    <w:p w:rsidR="00EA10EC" w:rsidRPr="00AC052F" w:rsidRDefault="00CD0FF1">
      <w:pPr>
        <w:pStyle w:val="div"/>
        <w:wordWrap w:val="0"/>
        <w:spacing w:line="360" w:lineRule="auto"/>
        <w:ind w:firstLine="630"/>
        <w:jc w:val="left"/>
        <w:rPr>
          <w:rFonts w:ascii="仿宋" w:eastAsia="仿宋" w:hAnsi="仿宋" w:cs="FangSong"/>
          <w:kern w:val="0"/>
          <w:sz w:val="32"/>
          <w:szCs w:val="32"/>
        </w:rPr>
      </w:pPr>
      <w:r w:rsidRPr="00AC052F">
        <w:rPr>
          <w:rFonts w:ascii="仿宋" w:eastAsia="仿宋" w:hAnsi="仿宋" w:cs="FangSong"/>
          <w:kern w:val="0"/>
          <w:sz w:val="32"/>
          <w:szCs w:val="32"/>
        </w:rPr>
        <w:t>在本基金的开放期期间，基金管理人应当在不晚于每个开放日的次日，通过指定网站、基金销售机构网站或者营业网点，披露开放日的基金份额净值和基金份额累计净值。</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Style w:val="serial-tag"/>
          <w:rFonts w:ascii="仿宋" w:eastAsia="仿宋" w:hAnsi="仿宋" w:cs="FangSong"/>
          <w:b/>
          <w:bCs/>
          <w:kern w:val="0"/>
          <w:sz w:val="32"/>
          <w:szCs w:val="32"/>
        </w:rPr>
        <w:t>8</w:t>
      </w:r>
      <w:r w:rsidRPr="00AC052F">
        <w:rPr>
          <w:rFonts w:ascii="仿宋" w:eastAsia="仿宋" w:hAnsi="仿宋" w:cs="FangSong"/>
          <w:b/>
          <w:bCs/>
          <w:kern w:val="0"/>
          <w:sz w:val="32"/>
          <w:szCs w:val="32"/>
        </w:rPr>
        <w:t>．其他需要提示的事项</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本公告仅对本基金的开放日常</w:t>
      </w:r>
      <w:r w:rsidRPr="00AC052F">
        <w:rPr>
          <w:rStyle w:val="custom"/>
          <w:rFonts w:ascii="仿宋" w:eastAsia="仿宋" w:hAnsi="仿宋" w:cs="FangSong"/>
          <w:kern w:val="0"/>
          <w:sz w:val="32"/>
          <w:szCs w:val="32"/>
        </w:rPr>
        <w:t>申购、赎回、转换</w:t>
      </w:r>
      <w:r w:rsidRPr="00AC052F">
        <w:rPr>
          <w:rFonts w:ascii="仿宋" w:eastAsia="仿宋" w:hAnsi="仿宋" w:cs="FangSong"/>
          <w:kern w:val="0"/>
          <w:sz w:val="32"/>
          <w:szCs w:val="32"/>
        </w:rPr>
        <w:t>业务事项予以说明，上述业务的办理以销售机构的相关规定为准。投资者欲了解本基金详细情况，请认真阅读本基金的基金招募说明书。</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基金管理人应以交易时间结束前受理有效</w:t>
      </w:r>
      <w:r w:rsidRPr="00AC052F">
        <w:rPr>
          <w:rStyle w:val="custom"/>
          <w:rFonts w:ascii="仿宋" w:eastAsia="仿宋" w:hAnsi="仿宋" w:cs="FangSong"/>
          <w:kern w:val="0"/>
          <w:sz w:val="32"/>
          <w:szCs w:val="32"/>
        </w:rPr>
        <w:t>申购和赎回</w:t>
      </w:r>
      <w:r w:rsidRPr="00AC052F">
        <w:rPr>
          <w:rFonts w:ascii="仿宋" w:eastAsia="仿宋" w:hAnsi="仿宋" w:cs="FangSong"/>
          <w:kern w:val="0"/>
          <w:sz w:val="32"/>
          <w:szCs w:val="32"/>
        </w:rPr>
        <w:t>申请的当天作为</w:t>
      </w:r>
      <w:r w:rsidRPr="00AC052F">
        <w:rPr>
          <w:rStyle w:val="custom"/>
          <w:rFonts w:ascii="仿宋" w:eastAsia="仿宋" w:hAnsi="仿宋" w:cs="FangSong"/>
          <w:kern w:val="0"/>
          <w:sz w:val="32"/>
          <w:szCs w:val="32"/>
        </w:rPr>
        <w:t>申购或赎回</w:t>
      </w:r>
      <w:r w:rsidRPr="00AC052F">
        <w:rPr>
          <w:rFonts w:ascii="仿宋" w:eastAsia="仿宋" w:hAnsi="仿宋" w:cs="FangSong"/>
          <w:kern w:val="0"/>
          <w:sz w:val="32"/>
          <w:szCs w:val="32"/>
        </w:rPr>
        <w:t>申请日（T日），在正常情况下，本基金登记机构在T+1日内对该交易的有效性进行确认。T日提交的有效申请，投资人应在T+2日后（包括该日）及时到销售网点柜台或以销售机构规定的其他方式查询申请的确认情况。</w:t>
      </w:r>
      <w:r w:rsidRPr="00AC052F">
        <w:rPr>
          <w:rStyle w:val="custom"/>
          <w:rFonts w:ascii="仿宋" w:eastAsia="仿宋" w:hAnsi="仿宋" w:cs="FangSong"/>
          <w:kern w:val="0"/>
          <w:sz w:val="32"/>
          <w:szCs w:val="32"/>
        </w:rPr>
        <w:t>若申购不成功或无效，则申购款项本金退还给投资人。</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基金销售机构对</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申请的受理并不代表该申请一定生效，而仅代表销售机构确实接收到</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申请。</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的确认以登记机构的确认结果为准。对于</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申请及</w:t>
      </w:r>
      <w:r w:rsidRPr="00AC052F">
        <w:rPr>
          <w:rStyle w:val="custom"/>
          <w:rFonts w:ascii="仿宋" w:eastAsia="仿宋" w:hAnsi="仿宋" w:cs="FangSong"/>
          <w:kern w:val="0"/>
          <w:sz w:val="32"/>
          <w:szCs w:val="32"/>
        </w:rPr>
        <w:t>申购、赎回</w:t>
      </w:r>
      <w:r w:rsidRPr="00AC052F">
        <w:rPr>
          <w:rFonts w:ascii="仿宋" w:eastAsia="仿宋" w:hAnsi="仿宋" w:cs="FangSong"/>
          <w:kern w:val="0"/>
          <w:sz w:val="32"/>
          <w:szCs w:val="32"/>
        </w:rPr>
        <w:t>份额的确认情况，投资人应及时查询并妥善行使合法权利。</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在法律法规允许的范围内，基金管理人或登记机构可根据相关业务规则，对上述业务办理时间进行调整，本基金管理人将于调整实施前按照有关规定予以公告。</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投资者可登录基金管理人官方网站(www.glfund.com)或拨打基金管理人客户服务电话400-160-6000或010-56517299咨询相关信息。</w:t>
      </w:r>
    </w:p>
    <w:p w:rsidR="00EA10EC" w:rsidRPr="00AC052F" w:rsidRDefault="00CD0FF1">
      <w:pPr>
        <w:pStyle w:val="div"/>
        <w:wordWrap w:val="0"/>
        <w:spacing w:line="360" w:lineRule="auto"/>
        <w:ind w:firstLine="630"/>
        <w:rPr>
          <w:rFonts w:ascii="仿宋" w:eastAsia="仿宋" w:hAnsi="仿宋" w:cs="FangSong"/>
          <w:kern w:val="0"/>
          <w:sz w:val="32"/>
          <w:szCs w:val="32"/>
        </w:rPr>
      </w:pPr>
      <w:r w:rsidRPr="00AC052F">
        <w:rPr>
          <w:rFonts w:ascii="仿宋" w:eastAsia="仿宋" w:hAnsi="仿宋" w:cs="FangSong"/>
          <w:kern w:val="0"/>
          <w:sz w:val="32"/>
          <w:szCs w:val="32"/>
        </w:rPr>
        <w:t>风险提示：基金管理人承诺以诚实信用、勤勉尽责的原则管理和运用基金资产，但不保证基金一定盈利，也不保证最低收益。投资者投资于本基金前应认真阅读本基金的基金合同和招募说明书。敬请投资者留意投资风险。</w:t>
      </w:r>
    </w:p>
    <w:p w:rsidR="00AC052F" w:rsidRDefault="00AC052F">
      <w:pPr>
        <w:pStyle w:val="div"/>
        <w:spacing w:line="360" w:lineRule="auto"/>
        <w:ind w:firstLine="630"/>
        <w:jc w:val="right"/>
        <w:rPr>
          <w:rFonts w:ascii="仿宋" w:eastAsia="仿宋" w:hAnsi="仿宋" w:cs="FangSong"/>
          <w:kern w:val="0"/>
          <w:sz w:val="32"/>
          <w:szCs w:val="32"/>
        </w:rPr>
      </w:pPr>
    </w:p>
    <w:p w:rsidR="00EA10EC" w:rsidRPr="00AC052F" w:rsidRDefault="00CD0FF1">
      <w:pPr>
        <w:pStyle w:val="div"/>
        <w:spacing w:line="360" w:lineRule="auto"/>
        <w:ind w:firstLine="630"/>
        <w:jc w:val="right"/>
        <w:rPr>
          <w:rFonts w:ascii="仿宋" w:eastAsia="仿宋" w:hAnsi="仿宋" w:cs="FangSong"/>
          <w:kern w:val="0"/>
          <w:sz w:val="32"/>
          <w:szCs w:val="32"/>
        </w:rPr>
      </w:pPr>
      <w:r w:rsidRPr="00AC052F">
        <w:rPr>
          <w:rFonts w:ascii="仿宋" w:eastAsia="仿宋" w:hAnsi="仿宋" w:cs="FangSong"/>
          <w:kern w:val="0"/>
          <w:sz w:val="32"/>
          <w:szCs w:val="32"/>
        </w:rPr>
        <w:t xml:space="preserve">国联基金管理有限公司 </w:t>
      </w:r>
    </w:p>
    <w:p w:rsidR="00EA10EC" w:rsidRPr="00AC052F" w:rsidRDefault="00CD0FF1">
      <w:pPr>
        <w:pStyle w:val="div"/>
        <w:spacing w:line="360" w:lineRule="auto"/>
        <w:ind w:firstLine="630"/>
        <w:jc w:val="right"/>
        <w:rPr>
          <w:rFonts w:ascii="仿宋" w:eastAsia="仿宋" w:hAnsi="仿宋" w:cs="FangSong"/>
          <w:kern w:val="0"/>
          <w:sz w:val="32"/>
          <w:szCs w:val="32"/>
        </w:rPr>
      </w:pPr>
      <w:r w:rsidRPr="00AC052F">
        <w:rPr>
          <w:rFonts w:ascii="仿宋" w:eastAsia="仿宋" w:hAnsi="仿宋" w:cs="FangSong"/>
          <w:kern w:val="0"/>
          <w:sz w:val="32"/>
          <w:szCs w:val="32"/>
        </w:rPr>
        <w:t xml:space="preserve">2026年03月03日 </w:t>
      </w:r>
    </w:p>
    <w:sectPr w:rsidR="00EA10EC" w:rsidRPr="00AC052F" w:rsidSect="00D96F1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052F"/>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0FF1"/>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6F1E"/>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46E4"/>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0EC"/>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96F1E"/>
    <w:pPr>
      <w:widowControl w:val="0"/>
      <w:jc w:val="both"/>
    </w:pPr>
    <w:rPr>
      <w:kern w:val="2"/>
      <w:sz w:val="21"/>
      <w:lang w:eastAsia="zh-CN"/>
    </w:rPr>
  </w:style>
  <w:style w:type="paragraph" w:styleId="1">
    <w:name w:val="heading 1"/>
    <w:basedOn w:val="a"/>
    <w:next w:val="a"/>
    <w:link w:val="1Char"/>
    <w:qFormat/>
    <w:rsid w:val="00D96F1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96F1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96F1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96F1E"/>
    <w:pPr>
      <w:ind w:firstLineChars="200" w:firstLine="420"/>
    </w:pPr>
  </w:style>
  <w:style w:type="paragraph" w:styleId="a4">
    <w:name w:val="Document Map"/>
    <w:basedOn w:val="a"/>
    <w:qFormat/>
    <w:rsid w:val="00D96F1E"/>
    <w:pPr>
      <w:shd w:val="clear" w:color="auto" w:fill="000080"/>
    </w:pPr>
  </w:style>
  <w:style w:type="paragraph" w:styleId="a5">
    <w:name w:val="annotation text"/>
    <w:basedOn w:val="a"/>
    <w:link w:val="Char"/>
    <w:qFormat/>
    <w:rsid w:val="00D96F1E"/>
    <w:pPr>
      <w:jc w:val="left"/>
    </w:pPr>
  </w:style>
  <w:style w:type="paragraph" w:styleId="a6">
    <w:name w:val="Body Text"/>
    <w:basedOn w:val="a"/>
    <w:link w:val="Char0"/>
    <w:qFormat/>
    <w:rsid w:val="00D96F1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96F1E"/>
    <w:pPr>
      <w:ind w:leftChars="400" w:left="840"/>
    </w:pPr>
  </w:style>
  <w:style w:type="paragraph" w:styleId="a7">
    <w:name w:val="Plain Text"/>
    <w:basedOn w:val="a"/>
    <w:qFormat/>
    <w:rsid w:val="00D96F1E"/>
    <w:pPr>
      <w:adjustRightInd w:val="0"/>
      <w:spacing w:line="312" w:lineRule="atLeast"/>
      <w:textAlignment w:val="baseline"/>
    </w:pPr>
    <w:rPr>
      <w:rFonts w:ascii="宋体" w:hAnsi="Courier New"/>
      <w:kern w:val="0"/>
    </w:rPr>
  </w:style>
  <w:style w:type="paragraph" w:styleId="20">
    <w:name w:val="Body Text Indent 2"/>
    <w:basedOn w:val="a"/>
    <w:qFormat/>
    <w:rsid w:val="00D96F1E"/>
    <w:pPr>
      <w:spacing w:line="360" w:lineRule="auto"/>
      <w:ind w:firstLine="425"/>
    </w:pPr>
    <w:rPr>
      <w:rFonts w:ascii="仿宋_GB2312" w:eastAsia="仿宋_GB2312"/>
      <w:sz w:val="28"/>
    </w:rPr>
  </w:style>
  <w:style w:type="paragraph" w:styleId="a8">
    <w:name w:val="Balloon Text"/>
    <w:basedOn w:val="a"/>
    <w:qFormat/>
    <w:rsid w:val="00D96F1E"/>
    <w:rPr>
      <w:sz w:val="18"/>
    </w:rPr>
  </w:style>
  <w:style w:type="paragraph" w:styleId="a9">
    <w:name w:val="footer"/>
    <w:basedOn w:val="a"/>
    <w:link w:val="Char1"/>
    <w:uiPriority w:val="99"/>
    <w:qFormat/>
    <w:rsid w:val="00D96F1E"/>
    <w:pPr>
      <w:tabs>
        <w:tab w:val="center" w:pos="4153"/>
        <w:tab w:val="right" w:pos="8306"/>
      </w:tabs>
      <w:snapToGrid w:val="0"/>
      <w:jc w:val="left"/>
    </w:pPr>
    <w:rPr>
      <w:sz w:val="18"/>
    </w:rPr>
  </w:style>
  <w:style w:type="paragraph" w:styleId="aa">
    <w:name w:val="header"/>
    <w:basedOn w:val="a"/>
    <w:link w:val="Char2"/>
    <w:uiPriority w:val="99"/>
    <w:qFormat/>
    <w:rsid w:val="00D96F1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96F1E"/>
    <w:pPr>
      <w:tabs>
        <w:tab w:val="right" w:leader="dot" w:pos="8296"/>
      </w:tabs>
      <w:spacing w:line="360" w:lineRule="auto"/>
    </w:pPr>
  </w:style>
  <w:style w:type="paragraph" w:styleId="ab">
    <w:name w:val="footnote text"/>
    <w:basedOn w:val="a"/>
    <w:qFormat/>
    <w:rsid w:val="00D96F1E"/>
    <w:pPr>
      <w:snapToGrid w:val="0"/>
      <w:jc w:val="left"/>
    </w:pPr>
    <w:rPr>
      <w:sz w:val="18"/>
    </w:rPr>
  </w:style>
  <w:style w:type="paragraph" w:styleId="31">
    <w:name w:val="Body Text Indent 3"/>
    <w:basedOn w:val="a"/>
    <w:qFormat/>
    <w:rsid w:val="00D96F1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96F1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96F1E"/>
    <w:pPr>
      <w:spacing w:before="240" w:after="60"/>
      <w:jc w:val="center"/>
      <w:outlineLvl w:val="0"/>
    </w:pPr>
    <w:rPr>
      <w:rFonts w:ascii="Cambria" w:hAnsi="Cambria"/>
      <w:b/>
      <w:sz w:val="32"/>
      <w:lang w:val="zh-CN"/>
    </w:rPr>
  </w:style>
  <w:style w:type="paragraph" w:styleId="ae">
    <w:name w:val="annotation subject"/>
    <w:basedOn w:val="a5"/>
    <w:next w:val="a5"/>
    <w:qFormat/>
    <w:rsid w:val="00D96F1E"/>
    <w:rPr>
      <w:b/>
    </w:rPr>
  </w:style>
  <w:style w:type="character" w:styleId="af">
    <w:name w:val="page number"/>
    <w:basedOn w:val="a0"/>
    <w:rsid w:val="00D96F1E"/>
  </w:style>
  <w:style w:type="character" w:styleId="af0">
    <w:name w:val="Hyperlink"/>
    <w:qFormat/>
    <w:rsid w:val="00D96F1E"/>
    <w:rPr>
      <w:color w:val="0000FF"/>
      <w:u w:val="single"/>
    </w:rPr>
  </w:style>
  <w:style w:type="character" w:styleId="af1">
    <w:name w:val="annotation reference"/>
    <w:rsid w:val="00D96F1E"/>
    <w:rPr>
      <w:sz w:val="21"/>
    </w:rPr>
  </w:style>
  <w:style w:type="character" w:styleId="af2">
    <w:name w:val="footnote reference"/>
    <w:rsid w:val="00D96F1E"/>
    <w:rPr>
      <w:vertAlign w:val="superscript"/>
    </w:rPr>
  </w:style>
  <w:style w:type="character" w:customStyle="1" w:styleId="Char0">
    <w:name w:val="正文文本 Char"/>
    <w:link w:val="a6"/>
    <w:rsid w:val="00D96F1E"/>
    <w:rPr>
      <w:rFonts w:ascii="宋体"/>
      <w:lang w:val="zh-CN" w:eastAsia="zh-CN"/>
    </w:rPr>
  </w:style>
  <w:style w:type="character" w:customStyle="1" w:styleId="unnamed11">
    <w:name w:val="unnamed11"/>
    <w:rsid w:val="00D96F1E"/>
    <w:rPr>
      <w:rFonts w:ascii="宋体" w:eastAsia="宋体" w:hAnsi="宋体" w:hint="eastAsia"/>
      <w:sz w:val="18"/>
    </w:rPr>
  </w:style>
  <w:style w:type="character" w:customStyle="1" w:styleId="Char3">
    <w:name w:val="标题 Char"/>
    <w:link w:val="ad"/>
    <w:rsid w:val="00D96F1E"/>
    <w:rPr>
      <w:rFonts w:ascii="Cambria" w:hAnsi="Cambria"/>
      <w:b/>
      <w:kern w:val="2"/>
      <w:sz w:val="32"/>
      <w:lang w:val="zh-CN" w:eastAsia="zh-CN"/>
    </w:rPr>
  </w:style>
  <w:style w:type="character" w:customStyle="1" w:styleId="Char2">
    <w:name w:val="页眉 Char"/>
    <w:link w:val="aa"/>
    <w:uiPriority w:val="99"/>
    <w:qFormat/>
    <w:rsid w:val="00D96F1E"/>
    <w:rPr>
      <w:kern w:val="2"/>
      <w:sz w:val="18"/>
    </w:rPr>
  </w:style>
  <w:style w:type="character" w:customStyle="1" w:styleId="read">
    <w:name w:val="read"/>
    <w:basedOn w:val="a0"/>
    <w:qFormat/>
    <w:rsid w:val="00D96F1E"/>
  </w:style>
  <w:style w:type="paragraph" w:customStyle="1" w:styleId="CharChar">
    <w:name w:val="Char Char"/>
    <w:basedOn w:val="a"/>
    <w:qFormat/>
    <w:rsid w:val="00D96F1E"/>
  </w:style>
  <w:style w:type="paragraph" w:customStyle="1" w:styleId="Default">
    <w:name w:val="Default"/>
    <w:qFormat/>
    <w:rsid w:val="00D96F1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96F1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96F1E"/>
    <w:pPr>
      <w:widowControl/>
      <w:numPr>
        <w:numId w:val="1"/>
      </w:numPr>
      <w:jc w:val="left"/>
    </w:pPr>
    <w:rPr>
      <w:kern w:val="0"/>
      <w:sz w:val="24"/>
    </w:rPr>
  </w:style>
  <w:style w:type="paragraph" w:customStyle="1" w:styleId="msonormal1">
    <w:name w:val="msonormal1"/>
    <w:qFormat/>
    <w:rsid w:val="00D96F1E"/>
    <w:pPr>
      <w:widowControl w:val="0"/>
      <w:jc w:val="both"/>
    </w:pPr>
    <w:rPr>
      <w:kern w:val="2"/>
      <w:sz w:val="21"/>
      <w:lang w:eastAsia="zh-CN"/>
    </w:rPr>
  </w:style>
  <w:style w:type="paragraph" w:customStyle="1" w:styleId="af3">
    <w:name w:val="正文正文"/>
    <w:basedOn w:val="a"/>
    <w:qFormat/>
    <w:rsid w:val="00D96F1E"/>
    <w:pPr>
      <w:spacing w:afterLines="25" w:line="360" w:lineRule="auto"/>
      <w:ind w:firstLineChars="200" w:firstLine="200"/>
    </w:pPr>
    <w:rPr>
      <w:sz w:val="24"/>
    </w:rPr>
  </w:style>
  <w:style w:type="paragraph" w:customStyle="1" w:styleId="Char4">
    <w:name w:val="Char"/>
    <w:basedOn w:val="a"/>
    <w:qFormat/>
    <w:rsid w:val="00D96F1E"/>
  </w:style>
  <w:style w:type="paragraph" w:customStyle="1" w:styleId="Char10">
    <w:name w:val="Char1"/>
    <w:basedOn w:val="a"/>
    <w:qFormat/>
    <w:rsid w:val="00D96F1E"/>
  </w:style>
  <w:style w:type="paragraph" w:customStyle="1" w:styleId="CharCharChar">
    <w:name w:val="Char Char Char"/>
    <w:basedOn w:val="a"/>
    <w:qFormat/>
    <w:rsid w:val="00D96F1E"/>
  </w:style>
  <w:style w:type="paragraph" w:customStyle="1" w:styleId="InfoBlue">
    <w:name w:val="InfoBlue"/>
    <w:basedOn w:val="a"/>
    <w:next w:val="a6"/>
    <w:qFormat/>
    <w:rsid w:val="00D96F1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96F1E"/>
    <w:pPr>
      <w:tabs>
        <w:tab w:val="left" w:pos="360"/>
      </w:tabs>
    </w:pPr>
  </w:style>
  <w:style w:type="paragraph" w:customStyle="1" w:styleId="CharChar1">
    <w:name w:val="Char Char1"/>
    <w:basedOn w:val="a"/>
    <w:qFormat/>
    <w:rsid w:val="00D96F1E"/>
  </w:style>
  <w:style w:type="paragraph" w:customStyle="1" w:styleId="af4">
    <w:name w:val="正文所"/>
    <w:basedOn w:val="a"/>
    <w:qFormat/>
    <w:rsid w:val="00D96F1E"/>
    <w:pPr>
      <w:spacing w:line="360" w:lineRule="auto"/>
      <w:ind w:firstLineChars="200" w:firstLine="420"/>
    </w:pPr>
    <w:rPr>
      <w:rFonts w:ascii="宋体"/>
    </w:rPr>
  </w:style>
  <w:style w:type="paragraph" w:customStyle="1" w:styleId="11">
    <w:name w:val="修订1"/>
    <w:hidden/>
    <w:uiPriority w:val="99"/>
    <w:semiHidden/>
    <w:qFormat/>
    <w:rsid w:val="00D96F1E"/>
    <w:rPr>
      <w:kern w:val="2"/>
      <w:sz w:val="21"/>
      <w:lang w:eastAsia="zh-CN"/>
    </w:rPr>
  </w:style>
  <w:style w:type="character" w:customStyle="1" w:styleId="1Char">
    <w:name w:val="标题 1 Char"/>
    <w:link w:val="1"/>
    <w:qFormat/>
    <w:rsid w:val="00D96F1E"/>
    <w:rPr>
      <w:rFonts w:ascii="宋体"/>
      <w:b/>
      <w:color w:val="000000"/>
      <w:sz w:val="24"/>
    </w:rPr>
  </w:style>
  <w:style w:type="character" w:customStyle="1" w:styleId="Char">
    <w:name w:val="批注文字 Char"/>
    <w:link w:val="a5"/>
    <w:qFormat/>
    <w:rsid w:val="00D96F1E"/>
    <w:rPr>
      <w:kern w:val="2"/>
      <w:sz w:val="21"/>
    </w:rPr>
  </w:style>
  <w:style w:type="paragraph" w:customStyle="1" w:styleId="CharChar2">
    <w:name w:val="Char Char2"/>
    <w:basedOn w:val="a"/>
    <w:qFormat/>
    <w:rsid w:val="00D96F1E"/>
  </w:style>
  <w:style w:type="paragraph" w:customStyle="1" w:styleId="CharChar3">
    <w:name w:val="Char Char3"/>
    <w:basedOn w:val="a"/>
    <w:qFormat/>
    <w:rsid w:val="00D96F1E"/>
  </w:style>
  <w:style w:type="paragraph" w:customStyle="1" w:styleId="Char20">
    <w:name w:val="Char2"/>
    <w:basedOn w:val="a"/>
    <w:qFormat/>
    <w:rsid w:val="00D96F1E"/>
  </w:style>
  <w:style w:type="paragraph" w:customStyle="1" w:styleId="CharCharChar1">
    <w:name w:val="Char Char Char1"/>
    <w:basedOn w:val="a"/>
    <w:qFormat/>
    <w:rsid w:val="00D96F1E"/>
  </w:style>
  <w:style w:type="paragraph" w:customStyle="1" w:styleId="CharCharCharChar1">
    <w:name w:val="Char Char Char Char1"/>
    <w:basedOn w:val="a"/>
    <w:qFormat/>
    <w:rsid w:val="00D96F1E"/>
    <w:pPr>
      <w:tabs>
        <w:tab w:val="left" w:pos="360"/>
      </w:tabs>
    </w:pPr>
  </w:style>
  <w:style w:type="paragraph" w:customStyle="1" w:styleId="CharChar11">
    <w:name w:val="Char Char11"/>
    <w:basedOn w:val="a"/>
    <w:qFormat/>
    <w:rsid w:val="00D96F1E"/>
  </w:style>
  <w:style w:type="paragraph" w:customStyle="1" w:styleId="CharChar4">
    <w:name w:val="Char Char4"/>
    <w:basedOn w:val="a"/>
    <w:qFormat/>
    <w:rsid w:val="00D96F1E"/>
  </w:style>
  <w:style w:type="paragraph" w:styleId="af5">
    <w:name w:val="List Paragraph"/>
    <w:basedOn w:val="a"/>
    <w:uiPriority w:val="34"/>
    <w:qFormat/>
    <w:rsid w:val="00D96F1E"/>
    <w:pPr>
      <w:ind w:firstLineChars="200" w:firstLine="420"/>
    </w:pPr>
  </w:style>
  <w:style w:type="paragraph" w:customStyle="1" w:styleId="CharChar12">
    <w:name w:val="Char Char12"/>
    <w:basedOn w:val="a"/>
    <w:qFormat/>
    <w:rsid w:val="00D96F1E"/>
  </w:style>
  <w:style w:type="paragraph" w:customStyle="1" w:styleId="Char30">
    <w:name w:val="Char3"/>
    <w:basedOn w:val="a"/>
    <w:qFormat/>
    <w:rsid w:val="00D96F1E"/>
  </w:style>
  <w:style w:type="paragraph" w:customStyle="1" w:styleId="CharChar13">
    <w:name w:val="Char Char13"/>
    <w:basedOn w:val="a"/>
    <w:qFormat/>
    <w:rsid w:val="00D96F1E"/>
  </w:style>
  <w:style w:type="paragraph" w:customStyle="1" w:styleId="Char40">
    <w:name w:val="Char4"/>
    <w:basedOn w:val="a"/>
    <w:qFormat/>
    <w:rsid w:val="00D96F1E"/>
  </w:style>
  <w:style w:type="paragraph" w:customStyle="1" w:styleId="CharChar14">
    <w:name w:val="Char Char14"/>
    <w:basedOn w:val="a"/>
    <w:qFormat/>
    <w:rsid w:val="00D96F1E"/>
  </w:style>
  <w:style w:type="paragraph" w:customStyle="1" w:styleId="Char5">
    <w:name w:val="Char5"/>
    <w:basedOn w:val="a"/>
    <w:qFormat/>
    <w:rsid w:val="00D96F1E"/>
  </w:style>
  <w:style w:type="paragraph" w:customStyle="1" w:styleId="CharChar5">
    <w:name w:val="Char Char5"/>
    <w:basedOn w:val="a"/>
    <w:qFormat/>
    <w:rsid w:val="00D96F1E"/>
  </w:style>
  <w:style w:type="character" w:customStyle="1" w:styleId="Char1">
    <w:name w:val="页脚 Char"/>
    <w:basedOn w:val="a0"/>
    <w:link w:val="a9"/>
    <w:uiPriority w:val="99"/>
    <w:qFormat/>
    <w:rsid w:val="00D96F1E"/>
    <w:rPr>
      <w:kern w:val="2"/>
      <w:sz w:val="18"/>
    </w:rPr>
  </w:style>
  <w:style w:type="paragraph" w:customStyle="1" w:styleId="div">
    <w:name w:val="div"/>
    <w:basedOn w:val="a"/>
    <w:rsid w:val="00D96F1E"/>
  </w:style>
  <w:style w:type="character" w:customStyle="1" w:styleId="custom">
    <w:name w:val="custom"/>
    <w:basedOn w:val="a0"/>
    <w:rsid w:val="00D96F1E"/>
  </w:style>
  <w:style w:type="character" w:customStyle="1" w:styleId="serial-tag">
    <w:name w:val="serial-tag"/>
    <w:basedOn w:val="a0"/>
    <w:rsid w:val="00D96F1E"/>
  </w:style>
  <w:style w:type="table" w:customStyle="1" w:styleId="table">
    <w:name w:val="table"/>
    <w:basedOn w:val="a1"/>
    <w:rsid w:val="00D96F1E"/>
    <w:tblPr>
      <w:tblInd w:w="0" w:type="dxa"/>
      <w:tblCellMar>
        <w:top w:w="0" w:type="dxa"/>
        <w:left w:w="108" w:type="dxa"/>
        <w:bottom w:w="0" w:type="dxa"/>
        <w:right w:w="108" w:type="dxa"/>
      </w:tblCellMar>
    </w:tblPr>
  </w:style>
  <w:style w:type="paragraph" w:customStyle="1" w:styleId="p">
    <w:name w:val="p"/>
    <w:basedOn w:val="a"/>
    <w:rsid w:val="00D96F1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B11B-5C24-441D-9685-2C90302A4E91}">
  <ds:schemaRefs>
    <ds:schemaRef ds:uri="http://schemas.openxmlformats.org/officeDocument/2006/bibliography"/>
  </ds:schemaRefs>
</ds:datastoreItem>
</file>

<file path=customXml/itemProps2.xml><?xml version="1.0" encoding="utf-8"?>
<ds:datastoreItem xmlns:ds="http://schemas.openxmlformats.org/officeDocument/2006/customXml" ds:itemID="{AB0CF31D-D311-465E-AF16-CD572C38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4235</Characters>
  <Application>Microsoft Office Word</Application>
  <DocSecurity>4</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2026-03-02T16:00:00Z</dcterms:created>
  <dcterms:modified xsi:type="dcterms:W3CDTF">2026-03-02T16:00:00Z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eyAibWFpbEZyb20iOiAieGlueGlwaWx1QGdsZnVuZC5jb20iLCAicmNwdFRvIjogImxrbEBzc25ld3MuY29tLmNuIiwgIm5hbWUiOiAi5Zu96IGU6IGa5ZWGM+S4quaciOWumuacn+W8gOaUvuWAuuWIuOWei+WPkei1t+W8j+ivgeWIuOaKlei1hOWfuumHkeesrOS6jOWNgeS5neS4quW8gOaUvuacn+W8gOaUvueUs+i0reOAgei1juWbnuO</vt:lpwstr>
  </property>
  <property fmtid="{D5CDD505-2E9C-101B-9397-08002B2CF9AE}" pid="5" name="skgMailId">
    <vt:lpwstr>1</vt:lpwstr>
  </property>
</Properties>
</file>