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A9C" w:rsidRPr="00923E00" w:rsidRDefault="006F3404" w:rsidP="00752A9C">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国联安增裕一年定期开放纯债债券型发起式证券投资基金</w:t>
      </w:r>
      <w:r w:rsidR="00752A9C" w:rsidRPr="00923E00">
        <w:rPr>
          <w:rFonts w:asciiTheme="minorEastAsia" w:eastAsiaTheme="minorEastAsia" w:hAnsiTheme="minorEastAsia" w:cs="宋体" w:hint="eastAsia"/>
          <w:b/>
          <w:kern w:val="0"/>
          <w:sz w:val="30"/>
          <w:szCs w:val="30"/>
        </w:rPr>
        <w:t>开放申购、赎回业务公告</w:t>
      </w:r>
    </w:p>
    <w:p w:rsidR="00752A9C" w:rsidRPr="00FF7AA4" w:rsidRDefault="00752A9C" w:rsidP="00752A9C">
      <w:pPr>
        <w:spacing w:line="560" w:lineRule="exact"/>
        <w:jc w:val="center"/>
        <w:rPr>
          <w:rFonts w:asciiTheme="minorEastAsia" w:eastAsiaTheme="minorEastAsia" w:hAnsiTheme="minorEastAsia" w:cs="宋体"/>
          <w:bCs/>
          <w:sz w:val="24"/>
          <w:szCs w:val="24"/>
        </w:rPr>
      </w:pPr>
      <w:r w:rsidRPr="00FF7AA4">
        <w:rPr>
          <w:rFonts w:asciiTheme="minorEastAsia" w:eastAsiaTheme="minorEastAsia" w:hAnsiTheme="minorEastAsia"/>
          <w:color w:val="000000"/>
          <w:sz w:val="24"/>
          <w:szCs w:val="24"/>
        </w:rPr>
        <w:t>公告送出日期：</w:t>
      </w:r>
      <w:r w:rsidR="00C92ED1" w:rsidRPr="00C92ED1">
        <w:rPr>
          <w:rFonts w:asciiTheme="minorEastAsia" w:eastAsiaTheme="minorEastAsia" w:hAnsiTheme="minorEastAsia" w:cs="宋体" w:hint="eastAsia"/>
          <w:bCs/>
          <w:sz w:val="24"/>
          <w:szCs w:val="24"/>
        </w:rPr>
        <w:t>2026年3月3日</w:t>
      </w:r>
    </w:p>
    <w:p w:rsidR="00752A9C" w:rsidRPr="00FF7AA4" w:rsidRDefault="00752A9C" w:rsidP="00752A9C">
      <w:pPr>
        <w:pStyle w:val="2"/>
        <w:spacing w:line="560" w:lineRule="exact"/>
        <w:rPr>
          <w:rFonts w:asciiTheme="minorEastAsia" w:eastAsiaTheme="minorEastAsia" w:hAnsiTheme="minorEastAsia"/>
          <w:bCs w:val="0"/>
          <w:color w:val="000000"/>
          <w:sz w:val="24"/>
          <w:szCs w:val="24"/>
        </w:rPr>
      </w:pPr>
      <w:bookmarkStart w:id="0" w:name="_Toc275961395"/>
      <w:r w:rsidRPr="00FF7AA4">
        <w:rPr>
          <w:rFonts w:asciiTheme="minorEastAsia" w:eastAsiaTheme="minorEastAsia" w:hAnsiTheme="minorEastAsia"/>
          <w:bCs w:val="0"/>
          <w:color w:val="000000"/>
          <w:sz w:val="24"/>
          <w:szCs w:val="24"/>
        </w:rPr>
        <w:t>1 公告基本信息</w:t>
      </w:r>
      <w:bookmarkEnd w:id="0"/>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02"/>
        <w:gridCol w:w="6237"/>
      </w:tblGrid>
      <w:tr w:rsidR="00752A9C" w:rsidRPr="00FF7AA4" w:rsidTr="002121D8">
        <w:trPr>
          <w:trHeight w:val="560"/>
          <w:jc w:val="center"/>
        </w:trPr>
        <w:tc>
          <w:tcPr>
            <w:tcW w:w="3502" w:type="dxa"/>
            <w:vAlign w:val="center"/>
          </w:tcPr>
          <w:p w:rsidR="00752A9C" w:rsidRPr="00FF7AA4" w:rsidRDefault="00752A9C" w:rsidP="00E93AFC">
            <w:pPr>
              <w:spacing w:line="560" w:lineRule="exact"/>
              <w:rPr>
                <w:rFonts w:asciiTheme="minorEastAsia" w:eastAsiaTheme="minorEastAsia" w:hAnsiTheme="minorEastAsia"/>
                <w:color w:val="000000"/>
                <w:sz w:val="24"/>
                <w:szCs w:val="24"/>
              </w:rPr>
            </w:pPr>
            <w:r w:rsidRPr="00FF7AA4">
              <w:rPr>
                <w:rFonts w:asciiTheme="minorEastAsia" w:eastAsiaTheme="minorEastAsia" w:hAnsiTheme="minorEastAsia"/>
                <w:color w:val="000000"/>
                <w:sz w:val="24"/>
                <w:szCs w:val="24"/>
              </w:rPr>
              <w:t>基金名称</w:t>
            </w:r>
          </w:p>
        </w:tc>
        <w:tc>
          <w:tcPr>
            <w:tcW w:w="6237" w:type="dxa"/>
            <w:vAlign w:val="center"/>
          </w:tcPr>
          <w:p w:rsidR="00752A9C" w:rsidRPr="00FF7AA4" w:rsidRDefault="006F3404" w:rsidP="000C6DC9">
            <w:pPr>
              <w:rPr>
                <w:rFonts w:asciiTheme="minorEastAsia" w:eastAsiaTheme="minorEastAsia" w:hAnsiTheme="minorEastAsia"/>
                <w:sz w:val="24"/>
                <w:szCs w:val="24"/>
              </w:rPr>
            </w:pPr>
            <w:r>
              <w:rPr>
                <w:rFonts w:asciiTheme="minorEastAsia" w:eastAsiaTheme="minorEastAsia" w:hAnsiTheme="minorEastAsia" w:hint="eastAsia"/>
                <w:sz w:val="24"/>
                <w:szCs w:val="24"/>
              </w:rPr>
              <w:t>国联安增裕一年定期开放纯债债券型发起式证券投资基金</w:t>
            </w:r>
          </w:p>
        </w:tc>
      </w:tr>
      <w:tr w:rsidR="00752A9C" w:rsidRPr="00FF7AA4" w:rsidTr="002121D8">
        <w:trPr>
          <w:trHeight w:val="560"/>
          <w:jc w:val="center"/>
        </w:trPr>
        <w:tc>
          <w:tcPr>
            <w:tcW w:w="3502" w:type="dxa"/>
            <w:vAlign w:val="center"/>
          </w:tcPr>
          <w:p w:rsidR="00752A9C" w:rsidRPr="00FF7AA4" w:rsidRDefault="00752A9C" w:rsidP="00E93AFC">
            <w:pPr>
              <w:spacing w:line="560" w:lineRule="exact"/>
              <w:rPr>
                <w:rFonts w:asciiTheme="minorEastAsia" w:eastAsiaTheme="minorEastAsia" w:hAnsiTheme="minorEastAsia"/>
                <w:color w:val="000000"/>
                <w:sz w:val="24"/>
                <w:szCs w:val="24"/>
              </w:rPr>
            </w:pPr>
            <w:r w:rsidRPr="00FF7AA4">
              <w:rPr>
                <w:rFonts w:asciiTheme="minorEastAsia" w:eastAsiaTheme="minorEastAsia" w:hAnsiTheme="minorEastAsia"/>
                <w:color w:val="000000"/>
                <w:sz w:val="24"/>
                <w:szCs w:val="24"/>
              </w:rPr>
              <w:t>基金简称</w:t>
            </w:r>
          </w:p>
        </w:tc>
        <w:tc>
          <w:tcPr>
            <w:tcW w:w="6237" w:type="dxa"/>
            <w:vAlign w:val="center"/>
          </w:tcPr>
          <w:p w:rsidR="00752A9C" w:rsidRPr="00FF7AA4" w:rsidRDefault="006F3404" w:rsidP="0082483B">
            <w:pPr>
              <w:rPr>
                <w:rFonts w:asciiTheme="minorEastAsia" w:eastAsiaTheme="minorEastAsia" w:hAnsiTheme="minorEastAsia"/>
                <w:sz w:val="24"/>
                <w:szCs w:val="24"/>
              </w:rPr>
            </w:pPr>
            <w:r w:rsidRPr="006F3404">
              <w:rPr>
                <w:rFonts w:asciiTheme="minorEastAsia" w:eastAsiaTheme="minorEastAsia" w:hAnsiTheme="minorEastAsia" w:hint="eastAsia"/>
                <w:sz w:val="24"/>
                <w:szCs w:val="24"/>
              </w:rPr>
              <w:t>国联安增裕一年定开债券发起式</w:t>
            </w:r>
          </w:p>
        </w:tc>
      </w:tr>
      <w:tr w:rsidR="00DA79B5" w:rsidRPr="00FF7AA4" w:rsidTr="002121D8">
        <w:trPr>
          <w:trHeight w:val="345"/>
          <w:jc w:val="center"/>
        </w:trPr>
        <w:tc>
          <w:tcPr>
            <w:tcW w:w="3502" w:type="dxa"/>
            <w:vAlign w:val="center"/>
          </w:tcPr>
          <w:p w:rsidR="00DA79B5" w:rsidRPr="00FF7AA4" w:rsidRDefault="00DA79B5" w:rsidP="00FB02B7">
            <w:pPr>
              <w:spacing w:line="560" w:lineRule="exact"/>
              <w:rPr>
                <w:rFonts w:asciiTheme="minorEastAsia" w:eastAsiaTheme="minorEastAsia" w:hAnsiTheme="minorEastAsia"/>
                <w:color w:val="000000"/>
                <w:sz w:val="24"/>
                <w:szCs w:val="24"/>
              </w:rPr>
            </w:pPr>
            <w:r w:rsidRPr="00FF7AA4">
              <w:rPr>
                <w:rFonts w:asciiTheme="minorEastAsia" w:eastAsiaTheme="minorEastAsia" w:hAnsiTheme="minorEastAsia"/>
                <w:color w:val="000000"/>
                <w:sz w:val="24"/>
                <w:szCs w:val="24"/>
              </w:rPr>
              <w:t>基金主代码</w:t>
            </w:r>
          </w:p>
        </w:tc>
        <w:tc>
          <w:tcPr>
            <w:tcW w:w="6237" w:type="dxa"/>
            <w:vAlign w:val="center"/>
          </w:tcPr>
          <w:p w:rsidR="00DA79B5" w:rsidRPr="00FF7AA4" w:rsidRDefault="00D4790B" w:rsidP="0082483B">
            <w:pPr>
              <w:spacing w:line="560" w:lineRule="exact"/>
              <w:rPr>
                <w:rFonts w:asciiTheme="minorEastAsia" w:eastAsiaTheme="minorEastAsia" w:hAnsiTheme="minorEastAsia"/>
                <w:sz w:val="24"/>
                <w:szCs w:val="24"/>
              </w:rPr>
            </w:pPr>
            <w:r w:rsidRPr="00D4790B">
              <w:rPr>
                <w:rFonts w:asciiTheme="minorEastAsia" w:eastAsiaTheme="minorEastAsia" w:hAnsiTheme="minorEastAsia"/>
                <w:sz w:val="24"/>
                <w:szCs w:val="24"/>
              </w:rPr>
              <w:t>006508</w:t>
            </w:r>
          </w:p>
        </w:tc>
      </w:tr>
      <w:tr w:rsidR="00DA79B5" w:rsidRPr="00FF7AA4" w:rsidTr="002121D8">
        <w:trPr>
          <w:trHeight w:val="560"/>
          <w:jc w:val="center"/>
        </w:trPr>
        <w:tc>
          <w:tcPr>
            <w:tcW w:w="3502" w:type="dxa"/>
            <w:vAlign w:val="center"/>
          </w:tcPr>
          <w:p w:rsidR="00DA79B5" w:rsidRPr="00FF7AA4" w:rsidRDefault="00DA79B5" w:rsidP="00E93AFC">
            <w:pPr>
              <w:spacing w:line="560" w:lineRule="exact"/>
              <w:rPr>
                <w:rFonts w:asciiTheme="minorEastAsia" w:eastAsiaTheme="minorEastAsia" w:hAnsiTheme="minorEastAsia"/>
                <w:color w:val="000000"/>
                <w:sz w:val="24"/>
                <w:szCs w:val="24"/>
              </w:rPr>
            </w:pPr>
            <w:r w:rsidRPr="00FF7AA4">
              <w:rPr>
                <w:rFonts w:asciiTheme="minorEastAsia" w:eastAsiaTheme="minorEastAsia" w:hAnsiTheme="minorEastAsia"/>
                <w:color w:val="000000"/>
                <w:sz w:val="24"/>
                <w:szCs w:val="24"/>
              </w:rPr>
              <w:t>基金运作方式</w:t>
            </w:r>
          </w:p>
        </w:tc>
        <w:tc>
          <w:tcPr>
            <w:tcW w:w="6237" w:type="dxa"/>
            <w:vAlign w:val="center"/>
          </w:tcPr>
          <w:p w:rsidR="00DA79B5" w:rsidRPr="00FF7AA4" w:rsidRDefault="00DA79B5" w:rsidP="0082483B">
            <w:pPr>
              <w:rPr>
                <w:rFonts w:asciiTheme="minorEastAsia" w:eastAsiaTheme="minorEastAsia" w:hAnsiTheme="minorEastAsia"/>
                <w:sz w:val="24"/>
                <w:szCs w:val="24"/>
              </w:rPr>
            </w:pPr>
            <w:r w:rsidRPr="00FF7AA4">
              <w:rPr>
                <w:rFonts w:asciiTheme="minorEastAsia" w:eastAsiaTheme="minorEastAsia" w:hAnsiTheme="minorEastAsia"/>
                <w:sz w:val="24"/>
                <w:szCs w:val="24"/>
              </w:rPr>
              <w:t>契约型开放式</w:t>
            </w:r>
          </w:p>
        </w:tc>
      </w:tr>
      <w:tr w:rsidR="00D4790B" w:rsidRPr="00FF7AA4" w:rsidTr="002121D8">
        <w:trPr>
          <w:trHeight w:val="560"/>
          <w:jc w:val="center"/>
        </w:trPr>
        <w:tc>
          <w:tcPr>
            <w:tcW w:w="3502" w:type="dxa"/>
          </w:tcPr>
          <w:p w:rsidR="00D4790B" w:rsidRPr="00FF7AA4" w:rsidRDefault="00D4790B" w:rsidP="00D4790B">
            <w:pPr>
              <w:spacing w:line="560" w:lineRule="exact"/>
              <w:rPr>
                <w:rFonts w:asciiTheme="minorEastAsia" w:eastAsiaTheme="minorEastAsia" w:hAnsiTheme="minorEastAsia"/>
                <w:color w:val="000000"/>
                <w:sz w:val="24"/>
                <w:szCs w:val="24"/>
              </w:rPr>
            </w:pPr>
            <w:r w:rsidRPr="00FF7AA4">
              <w:rPr>
                <w:rFonts w:asciiTheme="minorEastAsia" w:eastAsiaTheme="minorEastAsia" w:hAnsiTheme="minorEastAsia"/>
                <w:color w:val="000000"/>
                <w:sz w:val="24"/>
                <w:szCs w:val="24"/>
              </w:rPr>
              <w:t>基金合同生效日</w:t>
            </w:r>
          </w:p>
        </w:tc>
        <w:tc>
          <w:tcPr>
            <w:tcW w:w="6237" w:type="dxa"/>
            <w:vAlign w:val="center"/>
          </w:tcPr>
          <w:p w:rsidR="00D4790B" w:rsidRPr="00FF7AA4" w:rsidRDefault="00D4790B" w:rsidP="00D4790B">
            <w:pPr>
              <w:rPr>
                <w:rFonts w:asciiTheme="minorEastAsia" w:eastAsiaTheme="minorEastAsia" w:hAnsiTheme="minorEastAsia"/>
                <w:sz w:val="24"/>
                <w:szCs w:val="24"/>
              </w:rPr>
            </w:pPr>
            <w:r w:rsidRPr="00D728BC">
              <w:rPr>
                <w:rFonts w:asciiTheme="minorEastAsia" w:eastAsiaTheme="minorEastAsia" w:hAnsiTheme="minorEastAsia" w:hint="eastAsia"/>
                <w:sz w:val="24"/>
                <w:szCs w:val="24"/>
              </w:rPr>
              <w:t>2018年11月22日</w:t>
            </w:r>
          </w:p>
        </w:tc>
      </w:tr>
      <w:tr w:rsidR="00D4790B" w:rsidRPr="00FF7AA4" w:rsidTr="002121D8">
        <w:trPr>
          <w:trHeight w:val="560"/>
          <w:jc w:val="center"/>
        </w:trPr>
        <w:tc>
          <w:tcPr>
            <w:tcW w:w="3502" w:type="dxa"/>
          </w:tcPr>
          <w:p w:rsidR="00D4790B" w:rsidRPr="00FF7AA4" w:rsidRDefault="00D4790B" w:rsidP="00D4790B">
            <w:pPr>
              <w:spacing w:line="560" w:lineRule="exact"/>
              <w:rPr>
                <w:rFonts w:asciiTheme="minorEastAsia" w:eastAsiaTheme="minorEastAsia" w:hAnsiTheme="minorEastAsia"/>
                <w:color w:val="000000"/>
                <w:sz w:val="24"/>
                <w:szCs w:val="24"/>
              </w:rPr>
            </w:pPr>
            <w:r w:rsidRPr="00FF7AA4">
              <w:rPr>
                <w:rFonts w:asciiTheme="minorEastAsia" w:eastAsiaTheme="minorEastAsia" w:hAnsiTheme="minorEastAsia"/>
                <w:color w:val="000000"/>
                <w:sz w:val="24"/>
                <w:szCs w:val="24"/>
              </w:rPr>
              <w:t>基金管理人名称</w:t>
            </w:r>
          </w:p>
        </w:tc>
        <w:tc>
          <w:tcPr>
            <w:tcW w:w="6237" w:type="dxa"/>
            <w:vAlign w:val="center"/>
          </w:tcPr>
          <w:p w:rsidR="00D4790B" w:rsidRPr="00FF7AA4" w:rsidRDefault="00D4790B" w:rsidP="00D4790B">
            <w:pPr>
              <w:rPr>
                <w:rFonts w:asciiTheme="minorEastAsia" w:eastAsiaTheme="minorEastAsia" w:hAnsiTheme="minorEastAsia"/>
                <w:sz w:val="24"/>
                <w:szCs w:val="24"/>
              </w:rPr>
            </w:pPr>
            <w:r w:rsidRPr="00FF7AA4">
              <w:rPr>
                <w:rFonts w:asciiTheme="minorEastAsia" w:eastAsiaTheme="minorEastAsia" w:hAnsiTheme="minorEastAsia"/>
                <w:sz w:val="24"/>
                <w:szCs w:val="24"/>
              </w:rPr>
              <w:t>国联安基金管理有限公司</w:t>
            </w:r>
          </w:p>
        </w:tc>
      </w:tr>
      <w:tr w:rsidR="00D4790B" w:rsidRPr="00FF7AA4" w:rsidTr="002121D8">
        <w:trPr>
          <w:trHeight w:val="560"/>
          <w:jc w:val="center"/>
        </w:trPr>
        <w:tc>
          <w:tcPr>
            <w:tcW w:w="3502" w:type="dxa"/>
          </w:tcPr>
          <w:p w:rsidR="00D4790B" w:rsidRPr="00FF7AA4" w:rsidRDefault="00D4790B" w:rsidP="00D4790B">
            <w:pPr>
              <w:spacing w:line="560" w:lineRule="exact"/>
              <w:rPr>
                <w:rFonts w:asciiTheme="minorEastAsia" w:eastAsiaTheme="minorEastAsia" w:hAnsiTheme="minorEastAsia"/>
                <w:color w:val="000000"/>
                <w:sz w:val="24"/>
                <w:szCs w:val="24"/>
              </w:rPr>
            </w:pPr>
            <w:r w:rsidRPr="00FF7AA4">
              <w:rPr>
                <w:rFonts w:asciiTheme="minorEastAsia" w:eastAsiaTheme="minorEastAsia" w:hAnsiTheme="minorEastAsia"/>
                <w:color w:val="000000"/>
                <w:sz w:val="24"/>
                <w:szCs w:val="24"/>
              </w:rPr>
              <w:t>基金托管人名称</w:t>
            </w:r>
          </w:p>
        </w:tc>
        <w:tc>
          <w:tcPr>
            <w:tcW w:w="6237" w:type="dxa"/>
            <w:vAlign w:val="center"/>
          </w:tcPr>
          <w:p w:rsidR="00D4790B" w:rsidRPr="00FF7AA4" w:rsidRDefault="00D4790B" w:rsidP="00D4790B">
            <w:pPr>
              <w:rPr>
                <w:rFonts w:asciiTheme="minorEastAsia" w:eastAsiaTheme="minorEastAsia" w:hAnsiTheme="minorEastAsia"/>
                <w:sz w:val="24"/>
                <w:szCs w:val="24"/>
              </w:rPr>
            </w:pPr>
            <w:r w:rsidRPr="00D728BC">
              <w:rPr>
                <w:rFonts w:asciiTheme="minorEastAsia" w:eastAsiaTheme="minorEastAsia" w:hAnsiTheme="minorEastAsia" w:hint="eastAsia"/>
                <w:sz w:val="24"/>
                <w:szCs w:val="24"/>
              </w:rPr>
              <w:t>中国光大银行股份有限公司</w:t>
            </w:r>
          </w:p>
        </w:tc>
      </w:tr>
      <w:tr w:rsidR="00DA79B5" w:rsidRPr="00FF7AA4" w:rsidTr="002121D8">
        <w:trPr>
          <w:trHeight w:val="560"/>
          <w:jc w:val="center"/>
        </w:trPr>
        <w:tc>
          <w:tcPr>
            <w:tcW w:w="3502" w:type="dxa"/>
          </w:tcPr>
          <w:p w:rsidR="00DA79B5" w:rsidRPr="00FF7AA4" w:rsidRDefault="00DA79B5" w:rsidP="00E93AFC">
            <w:pPr>
              <w:spacing w:line="560" w:lineRule="exact"/>
              <w:rPr>
                <w:rFonts w:asciiTheme="minorEastAsia" w:eastAsiaTheme="minorEastAsia" w:hAnsiTheme="minorEastAsia"/>
                <w:color w:val="000000"/>
                <w:sz w:val="24"/>
                <w:szCs w:val="24"/>
              </w:rPr>
            </w:pPr>
            <w:r w:rsidRPr="00FF7AA4">
              <w:rPr>
                <w:rFonts w:asciiTheme="minorEastAsia" w:eastAsiaTheme="minorEastAsia" w:hAnsiTheme="minorEastAsia"/>
                <w:color w:val="000000"/>
                <w:sz w:val="24"/>
                <w:szCs w:val="24"/>
              </w:rPr>
              <w:t>基金注册登记机构名称</w:t>
            </w:r>
          </w:p>
        </w:tc>
        <w:tc>
          <w:tcPr>
            <w:tcW w:w="6237" w:type="dxa"/>
            <w:vAlign w:val="center"/>
          </w:tcPr>
          <w:p w:rsidR="00DA79B5" w:rsidRPr="00FF7AA4" w:rsidRDefault="00DA79B5" w:rsidP="0082483B">
            <w:pPr>
              <w:rPr>
                <w:rFonts w:asciiTheme="minorEastAsia" w:eastAsiaTheme="minorEastAsia" w:hAnsiTheme="minorEastAsia"/>
                <w:sz w:val="24"/>
                <w:szCs w:val="24"/>
              </w:rPr>
            </w:pPr>
            <w:r w:rsidRPr="00FF7AA4">
              <w:rPr>
                <w:rFonts w:asciiTheme="minorEastAsia" w:eastAsiaTheme="minorEastAsia" w:hAnsiTheme="minorEastAsia" w:hint="eastAsia"/>
                <w:sz w:val="24"/>
                <w:szCs w:val="24"/>
              </w:rPr>
              <w:t>国联安基金管理有限公司</w:t>
            </w:r>
          </w:p>
        </w:tc>
      </w:tr>
      <w:tr w:rsidR="00DA79B5" w:rsidRPr="00FF7AA4" w:rsidTr="000C6DC9">
        <w:trPr>
          <w:jc w:val="center"/>
        </w:trPr>
        <w:tc>
          <w:tcPr>
            <w:tcW w:w="3502" w:type="dxa"/>
          </w:tcPr>
          <w:p w:rsidR="00DA79B5" w:rsidRPr="00FF7AA4" w:rsidRDefault="00DA79B5" w:rsidP="00E93AFC">
            <w:pPr>
              <w:spacing w:line="560" w:lineRule="exact"/>
              <w:rPr>
                <w:rFonts w:asciiTheme="minorEastAsia" w:eastAsiaTheme="minorEastAsia" w:hAnsiTheme="minorEastAsia"/>
                <w:color w:val="000000"/>
                <w:sz w:val="24"/>
                <w:szCs w:val="24"/>
              </w:rPr>
            </w:pPr>
            <w:r w:rsidRPr="00FF7AA4">
              <w:rPr>
                <w:rFonts w:asciiTheme="minorEastAsia" w:eastAsiaTheme="minorEastAsia" w:hAnsiTheme="minorEastAsia"/>
                <w:color w:val="000000"/>
                <w:sz w:val="24"/>
                <w:szCs w:val="24"/>
              </w:rPr>
              <w:t>公告依据</w:t>
            </w:r>
          </w:p>
        </w:tc>
        <w:tc>
          <w:tcPr>
            <w:tcW w:w="6237" w:type="dxa"/>
            <w:vAlign w:val="center"/>
          </w:tcPr>
          <w:p w:rsidR="00DA79B5" w:rsidRPr="00FF7AA4" w:rsidRDefault="00DA79B5" w:rsidP="004C1700">
            <w:pPr>
              <w:spacing w:line="360" w:lineRule="auto"/>
              <w:rPr>
                <w:rFonts w:asciiTheme="minorEastAsia" w:eastAsiaTheme="minorEastAsia" w:hAnsiTheme="minorEastAsia"/>
                <w:sz w:val="24"/>
                <w:szCs w:val="24"/>
              </w:rPr>
            </w:pPr>
            <w:r w:rsidRPr="00FF7AA4">
              <w:rPr>
                <w:rFonts w:asciiTheme="minorEastAsia" w:eastAsiaTheme="minorEastAsia" w:hAnsiTheme="minorEastAsia"/>
                <w:sz w:val="24"/>
                <w:szCs w:val="24"/>
              </w:rPr>
              <w:t>《中华人民共和国证券投资基金法》、《</w:t>
            </w:r>
            <w:r w:rsidR="00480B44">
              <w:rPr>
                <w:rFonts w:asciiTheme="minorEastAsia" w:eastAsiaTheme="minorEastAsia" w:hAnsiTheme="minorEastAsia" w:hint="eastAsia"/>
                <w:sz w:val="24"/>
                <w:szCs w:val="24"/>
              </w:rPr>
              <w:t>公开募集</w:t>
            </w:r>
            <w:r w:rsidRPr="00FF7AA4">
              <w:rPr>
                <w:rFonts w:asciiTheme="minorEastAsia" w:eastAsiaTheme="minorEastAsia" w:hAnsiTheme="minorEastAsia"/>
                <w:sz w:val="24"/>
                <w:szCs w:val="24"/>
              </w:rPr>
              <w:t>证券投资基金运作管理办法》</w:t>
            </w:r>
            <w:r w:rsidR="000C6DC9">
              <w:rPr>
                <w:rFonts w:asciiTheme="minorEastAsia" w:eastAsiaTheme="minorEastAsia" w:hAnsiTheme="minorEastAsia"/>
                <w:sz w:val="24"/>
                <w:szCs w:val="24"/>
              </w:rPr>
              <w:t>等</w:t>
            </w:r>
            <w:r w:rsidRPr="00FF7AA4">
              <w:rPr>
                <w:rFonts w:asciiTheme="minorEastAsia" w:eastAsiaTheme="minorEastAsia" w:hAnsiTheme="minorEastAsia"/>
                <w:sz w:val="24"/>
                <w:szCs w:val="24"/>
              </w:rPr>
              <w:t>法律法规以及《</w:t>
            </w:r>
            <w:r w:rsidR="006F3404">
              <w:rPr>
                <w:rFonts w:asciiTheme="minorEastAsia" w:eastAsiaTheme="minorEastAsia" w:hAnsiTheme="minorEastAsia" w:hint="eastAsia"/>
                <w:sz w:val="24"/>
                <w:szCs w:val="24"/>
              </w:rPr>
              <w:t>国联安增裕一年定期开放纯债债券型发起式证券投资基金</w:t>
            </w:r>
            <w:r w:rsidRPr="00FF7AA4">
              <w:rPr>
                <w:rFonts w:asciiTheme="minorEastAsia" w:eastAsiaTheme="minorEastAsia" w:hAnsiTheme="minorEastAsia"/>
                <w:sz w:val="24"/>
                <w:szCs w:val="24"/>
              </w:rPr>
              <w:t>基金合同》（以下简称“基金合同”）</w:t>
            </w:r>
            <w:r w:rsidR="000C6DC9">
              <w:rPr>
                <w:rFonts w:asciiTheme="minorEastAsia" w:eastAsiaTheme="minorEastAsia" w:hAnsiTheme="minorEastAsia" w:hint="eastAsia"/>
                <w:sz w:val="24"/>
                <w:szCs w:val="24"/>
              </w:rPr>
              <w:t>和</w:t>
            </w:r>
            <w:r w:rsidRPr="00FF7AA4">
              <w:rPr>
                <w:rFonts w:asciiTheme="minorEastAsia" w:eastAsiaTheme="minorEastAsia" w:hAnsiTheme="minorEastAsia"/>
                <w:sz w:val="24"/>
                <w:szCs w:val="24"/>
              </w:rPr>
              <w:t>《</w:t>
            </w:r>
            <w:r w:rsidR="006F3404">
              <w:rPr>
                <w:rFonts w:asciiTheme="minorEastAsia" w:eastAsiaTheme="minorEastAsia" w:hAnsiTheme="minorEastAsia" w:hint="eastAsia"/>
                <w:sz w:val="24"/>
                <w:szCs w:val="24"/>
              </w:rPr>
              <w:t>国联安增裕一年定期开放纯债债券型发起式证券投资基金</w:t>
            </w:r>
            <w:r w:rsidRPr="00FF7AA4">
              <w:rPr>
                <w:rFonts w:asciiTheme="minorEastAsia" w:eastAsiaTheme="minorEastAsia" w:hAnsiTheme="minorEastAsia"/>
                <w:sz w:val="24"/>
                <w:szCs w:val="24"/>
              </w:rPr>
              <w:t>招募说明书》（以下简称“招募说明书”）</w:t>
            </w:r>
            <w:r w:rsidR="000C6DC9" w:rsidRPr="00FF7AA4">
              <w:rPr>
                <w:rFonts w:asciiTheme="minorEastAsia" w:eastAsiaTheme="minorEastAsia" w:hAnsiTheme="minorEastAsia"/>
                <w:sz w:val="24"/>
                <w:szCs w:val="24"/>
              </w:rPr>
              <w:t xml:space="preserve"> </w:t>
            </w:r>
          </w:p>
        </w:tc>
      </w:tr>
      <w:tr w:rsidR="00C92ED1" w:rsidRPr="00FF7AA4" w:rsidTr="000C6DC9">
        <w:trPr>
          <w:jc w:val="center"/>
        </w:trPr>
        <w:tc>
          <w:tcPr>
            <w:tcW w:w="3502" w:type="dxa"/>
          </w:tcPr>
          <w:p w:rsidR="00C92ED1" w:rsidRPr="00181ECE" w:rsidRDefault="00C92ED1" w:rsidP="00C92ED1">
            <w:pPr>
              <w:spacing w:line="560" w:lineRule="exact"/>
              <w:rPr>
                <w:rFonts w:asciiTheme="minorEastAsia" w:eastAsiaTheme="minorEastAsia" w:hAnsiTheme="minorEastAsia"/>
                <w:color w:val="000000"/>
                <w:sz w:val="24"/>
                <w:szCs w:val="24"/>
              </w:rPr>
            </w:pPr>
            <w:r w:rsidRPr="00181ECE">
              <w:rPr>
                <w:rFonts w:asciiTheme="minorEastAsia" w:eastAsiaTheme="minorEastAsia" w:hAnsiTheme="minorEastAsia"/>
                <w:color w:val="000000"/>
                <w:sz w:val="24"/>
                <w:szCs w:val="24"/>
              </w:rPr>
              <w:t>申购起始日</w:t>
            </w:r>
          </w:p>
        </w:tc>
        <w:tc>
          <w:tcPr>
            <w:tcW w:w="6237" w:type="dxa"/>
            <w:vAlign w:val="center"/>
          </w:tcPr>
          <w:p w:rsidR="00C92ED1" w:rsidRPr="00181ECE" w:rsidRDefault="00C92ED1" w:rsidP="00C92ED1">
            <w:pPr>
              <w:rPr>
                <w:rFonts w:asciiTheme="minorEastAsia" w:eastAsiaTheme="minorEastAsia" w:hAnsiTheme="minorEastAsia"/>
                <w:sz w:val="24"/>
                <w:szCs w:val="24"/>
              </w:rPr>
            </w:pPr>
            <w:r w:rsidRPr="00FF7AA4">
              <w:rPr>
                <w:rFonts w:asciiTheme="minorEastAsia" w:eastAsiaTheme="minorEastAsia" w:hAnsiTheme="minorEastAsia" w:hint="eastAsia"/>
                <w:sz w:val="24"/>
                <w:szCs w:val="24"/>
              </w:rPr>
              <w:t>20</w:t>
            </w:r>
            <w:r>
              <w:rPr>
                <w:rFonts w:asciiTheme="minorEastAsia" w:eastAsiaTheme="minorEastAsia" w:hAnsiTheme="minorEastAsia"/>
                <w:sz w:val="24"/>
                <w:szCs w:val="24"/>
              </w:rPr>
              <w:t>26</w:t>
            </w:r>
            <w:r w:rsidRPr="00FF7AA4">
              <w:rPr>
                <w:rFonts w:asciiTheme="minorEastAsia" w:eastAsiaTheme="minorEastAsia" w:hAnsiTheme="minorEastAsia" w:hint="eastAsia"/>
                <w:sz w:val="24"/>
                <w:szCs w:val="24"/>
              </w:rPr>
              <w:t>年</w:t>
            </w:r>
            <w:r>
              <w:rPr>
                <w:rFonts w:asciiTheme="minorEastAsia" w:eastAsiaTheme="minorEastAsia" w:hAnsiTheme="minorEastAsia"/>
                <w:sz w:val="24"/>
                <w:szCs w:val="24"/>
              </w:rPr>
              <w:t>3</w:t>
            </w:r>
            <w:r w:rsidRPr="00FF7AA4">
              <w:rPr>
                <w:rFonts w:asciiTheme="minorEastAsia" w:eastAsiaTheme="minorEastAsia" w:hAnsiTheme="minorEastAsia" w:hint="eastAsia"/>
                <w:sz w:val="24"/>
                <w:szCs w:val="24"/>
              </w:rPr>
              <w:t>月</w:t>
            </w:r>
            <w:r>
              <w:rPr>
                <w:rFonts w:asciiTheme="minorEastAsia" w:eastAsiaTheme="minorEastAsia" w:hAnsiTheme="minorEastAsia"/>
                <w:sz w:val="24"/>
                <w:szCs w:val="24"/>
              </w:rPr>
              <w:t>4</w:t>
            </w:r>
            <w:r w:rsidRPr="00FF7AA4">
              <w:rPr>
                <w:rFonts w:asciiTheme="minorEastAsia" w:eastAsiaTheme="minorEastAsia" w:hAnsiTheme="minorEastAsia" w:hint="eastAsia"/>
                <w:sz w:val="24"/>
                <w:szCs w:val="24"/>
              </w:rPr>
              <w:t>日</w:t>
            </w:r>
          </w:p>
        </w:tc>
      </w:tr>
      <w:tr w:rsidR="00C92ED1" w:rsidRPr="00FF7AA4" w:rsidTr="000C6DC9">
        <w:trPr>
          <w:jc w:val="center"/>
        </w:trPr>
        <w:tc>
          <w:tcPr>
            <w:tcW w:w="3502" w:type="dxa"/>
          </w:tcPr>
          <w:p w:rsidR="00C92ED1" w:rsidRPr="00181ECE" w:rsidRDefault="00C92ED1" w:rsidP="00C92ED1">
            <w:pPr>
              <w:spacing w:line="560" w:lineRule="exact"/>
              <w:rPr>
                <w:rFonts w:asciiTheme="minorEastAsia" w:eastAsiaTheme="minorEastAsia" w:hAnsiTheme="minorEastAsia"/>
                <w:color w:val="000000"/>
                <w:sz w:val="24"/>
                <w:szCs w:val="24"/>
              </w:rPr>
            </w:pPr>
            <w:r w:rsidRPr="00181ECE">
              <w:rPr>
                <w:rFonts w:asciiTheme="minorEastAsia" w:eastAsiaTheme="minorEastAsia" w:hAnsiTheme="minorEastAsia"/>
                <w:color w:val="000000"/>
                <w:sz w:val="24"/>
                <w:szCs w:val="24"/>
              </w:rPr>
              <w:t>赎回起始日</w:t>
            </w:r>
          </w:p>
        </w:tc>
        <w:tc>
          <w:tcPr>
            <w:tcW w:w="6237" w:type="dxa"/>
            <w:vAlign w:val="center"/>
          </w:tcPr>
          <w:p w:rsidR="00C92ED1" w:rsidRPr="00181ECE" w:rsidRDefault="00C92ED1" w:rsidP="00C92ED1">
            <w:pPr>
              <w:rPr>
                <w:rFonts w:asciiTheme="minorEastAsia" w:eastAsiaTheme="minorEastAsia" w:hAnsiTheme="minorEastAsia"/>
                <w:sz w:val="24"/>
                <w:szCs w:val="24"/>
              </w:rPr>
            </w:pPr>
            <w:r w:rsidRPr="00FF7AA4">
              <w:rPr>
                <w:rFonts w:asciiTheme="minorEastAsia" w:eastAsiaTheme="minorEastAsia" w:hAnsiTheme="minorEastAsia" w:hint="eastAsia"/>
                <w:sz w:val="24"/>
                <w:szCs w:val="24"/>
              </w:rPr>
              <w:t>20</w:t>
            </w:r>
            <w:r>
              <w:rPr>
                <w:rFonts w:asciiTheme="minorEastAsia" w:eastAsiaTheme="minorEastAsia" w:hAnsiTheme="minorEastAsia"/>
                <w:sz w:val="24"/>
                <w:szCs w:val="24"/>
              </w:rPr>
              <w:t>26</w:t>
            </w:r>
            <w:r w:rsidRPr="00FF7AA4">
              <w:rPr>
                <w:rFonts w:asciiTheme="minorEastAsia" w:eastAsiaTheme="minorEastAsia" w:hAnsiTheme="minorEastAsia" w:hint="eastAsia"/>
                <w:sz w:val="24"/>
                <w:szCs w:val="24"/>
              </w:rPr>
              <w:t>年</w:t>
            </w:r>
            <w:r>
              <w:rPr>
                <w:rFonts w:asciiTheme="minorEastAsia" w:eastAsiaTheme="minorEastAsia" w:hAnsiTheme="minorEastAsia"/>
                <w:sz w:val="24"/>
                <w:szCs w:val="24"/>
              </w:rPr>
              <w:t>3</w:t>
            </w:r>
            <w:r w:rsidRPr="00FF7AA4">
              <w:rPr>
                <w:rFonts w:asciiTheme="minorEastAsia" w:eastAsiaTheme="minorEastAsia" w:hAnsiTheme="minorEastAsia" w:hint="eastAsia"/>
                <w:sz w:val="24"/>
                <w:szCs w:val="24"/>
              </w:rPr>
              <w:t>月</w:t>
            </w:r>
            <w:r>
              <w:rPr>
                <w:rFonts w:asciiTheme="minorEastAsia" w:eastAsiaTheme="minorEastAsia" w:hAnsiTheme="minorEastAsia"/>
                <w:sz w:val="24"/>
                <w:szCs w:val="24"/>
              </w:rPr>
              <w:t>4</w:t>
            </w:r>
            <w:r w:rsidRPr="00FF7AA4">
              <w:rPr>
                <w:rFonts w:asciiTheme="minorEastAsia" w:eastAsiaTheme="minorEastAsia" w:hAnsiTheme="minorEastAsia" w:hint="eastAsia"/>
                <w:sz w:val="24"/>
                <w:szCs w:val="24"/>
              </w:rPr>
              <w:t>日</w:t>
            </w:r>
          </w:p>
        </w:tc>
      </w:tr>
    </w:tbl>
    <w:p w:rsidR="006D17B8" w:rsidRPr="009636BB" w:rsidRDefault="006D17B8" w:rsidP="006D17B8">
      <w:pPr>
        <w:spacing w:line="360" w:lineRule="auto"/>
        <w:rPr>
          <w:rFonts w:asciiTheme="minorEastAsia" w:eastAsiaTheme="minorEastAsia" w:hAnsiTheme="minorEastAsia"/>
          <w:sz w:val="24"/>
          <w:szCs w:val="24"/>
        </w:rPr>
      </w:pPr>
      <w:bookmarkStart w:id="1" w:name="_Toc275961396"/>
      <w:r w:rsidRPr="009636BB">
        <w:rPr>
          <w:rFonts w:asciiTheme="minorEastAsia" w:eastAsiaTheme="minorEastAsia" w:hAnsiTheme="minorEastAsia" w:hint="eastAsia"/>
          <w:sz w:val="24"/>
          <w:szCs w:val="24"/>
        </w:rPr>
        <w:t>注：</w:t>
      </w:r>
      <w:r w:rsidR="00A27173" w:rsidRPr="009636BB">
        <w:rPr>
          <w:rFonts w:asciiTheme="minorEastAsia" w:eastAsiaTheme="minorEastAsia" w:hAnsiTheme="minorEastAsia" w:hint="eastAsia"/>
          <w:sz w:val="24"/>
          <w:szCs w:val="24"/>
        </w:rPr>
        <w:t>本基金单一投资者持有的基金份额或者构成一致行动人的多个投资者持有的基金份额比例可达到或者超过50%，且本基金不向个人投资者公开销售。</w:t>
      </w:r>
    </w:p>
    <w:p w:rsidR="00752A9C" w:rsidRPr="00FF7AA4" w:rsidRDefault="00752A9C" w:rsidP="00752A9C">
      <w:pPr>
        <w:pStyle w:val="2"/>
        <w:spacing w:line="560" w:lineRule="exact"/>
        <w:rPr>
          <w:rFonts w:asciiTheme="minorEastAsia" w:eastAsiaTheme="minorEastAsia" w:hAnsiTheme="minorEastAsia"/>
          <w:bCs w:val="0"/>
          <w:color w:val="000000"/>
          <w:sz w:val="24"/>
          <w:szCs w:val="24"/>
        </w:rPr>
      </w:pPr>
      <w:r w:rsidRPr="00FF7AA4">
        <w:rPr>
          <w:rFonts w:asciiTheme="minorEastAsia" w:eastAsiaTheme="minorEastAsia" w:hAnsiTheme="minorEastAsia"/>
          <w:bCs w:val="0"/>
          <w:color w:val="000000"/>
          <w:sz w:val="24"/>
          <w:szCs w:val="24"/>
        </w:rPr>
        <w:t>2 申购、赎回</w:t>
      </w:r>
      <w:r w:rsidR="0081443F">
        <w:rPr>
          <w:rFonts w:asciiTheme="minorEastAsia" w:eastAsiaTheme="minorEastAsia" w:hAnsiTheme="minorEastAsia" w:hint="eastAsia"/>
          <w:bCs w:val="0"/>
          <w:color w:val="000000"/>
          <w:sz w:val="24"/>
          <w:szCs w:val="24"/>
        </w:rPr>
        <w:t>业务</w:t>
      </w:r>
      <w:r w:rsidRPr="00FF7AA4">
        <w:rPr>
          <w:rFonts w:asciiTheme="minorEastAsia" w:eastAsiaTheme="minorEastAsia" w:hAnsiTheme="minorEastAsia"/>
          <w:bCs w:val="0"/>
          <w:color w:val="000000"/>
          <w:sz w:val="24"/>
          <w:szCs w:val="24"/>
        </w:rPr>
        <w:t>的办理时间</w:t>
      </w:r>
      <w:bookmarkEnd w:id="1"/>
    </w:p>
    <w:p w:rsidR="00083906" w:rsidRDefault="00FE5F12" w:rsidP="000266B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根据基金合同及招募说明书约定，</w:t>
      </w:r>
      <w:r w:rsidR="006F3404">
        <w:rPr>
          <w:rFonts w:asciiTheme="minorEastAsia" w:eastAsiaTheme="minorEastAsia" w:hAnsiTheme="minorEastAsia" w:hint="eastAsia"/>
          <w:sz w:val="24"/>
          <w:szCs w:val="24"/>
        </w:rPr>
        <w:t>国联安增裕一年定期开放纯债债券型发起</w:t>
      </w:r>
      <w:r w:rsidR="006F3404">
        <w:rPr>
          <w:rFonts w:asciiTheme="minorEastAsia" w:eastAsiaTheme="minorEastAsia" w:hAnsiTheme="minorEastAsia" w:hint="eastAsia"/>
          <w:sz w:val="24"/>
          <w:szCs w:val="24"/>
        </w:rPr>
        <w:lastRenderedPageBreak/>
        <w:t>式证券投资基金</w:t>
      </w:r>
      <w:r w:rsidR="000D65E7">
        <w:rPr>
          <w:rFonts w:asciiTheme="minorEastAsia" w:eastAsiaTheme="minorEastAsia" w:hAnsiTheme="minorEastAsia" w:hint="eastAsia"/>
          <w:sz w:val="24"/>
          <w:szCs w:val="24"/>
        </w:rPr>
        <w:t>（以下简称“本基金”）</w:t>
      </w:r>
      <w:r w:rsidR="000D65E7" w:rsidRPr="000266B5">
        <w:rPr>
          <w:rFonts w:asciiTheme="minorEastAsia" w:eastAsiaTheme="minorEastAsia" w:hAnsiTheme="minorEastAsia" w:hint="eastAsia"/>
          <w:sz w:val="24"/>
          <w:szCs w:val="24"/>
        </w:rPr>
        <w:t>的首个封闭期为自基金合同生效之日起（包括基金合同生效之日）一年的期间，如果封闭期到期日的次日为非工作日的，封闭期相应顺延</w:t>
      </w:r>
      <w:r w:rsidRPr="000266B5">
        <w:rPr>
          <w:rFonts w:asciiTheme="minorEastAsia" w:eastAsiaTheme="minorEastAsia" w:hAnsiTheme="minorEastAsia" w:hint="eastAsia"/>
          <w:sz w:val="24"/>
          <w:szCs w:val="24"/>
        </w:rPr>
        <w:t>。</w:t>
      </w:r>
      <w:r w:rsidR="000D65E7" w:rsidRPr="000266B5">
        <w:rPr>
          <w:rFonts w:asciiTheme="minorEastAsia" w:eastAsiaTheme="minorEastAsia" w:hAnsiTheme="minorEastAsia" w:hint="eastAsia"/>
          <w:sz w:val="24"/>
          <w:szCs w:val="24"/>
        </w:rPr>
        <w:t>首个封闭期结束之后第一个工作日起（包括该日）进入首个开放期，第二个封闭期为首个开放期结束之日次日起（包括该日）一年的期间，如果封闭期到期日的次日为非工作日的，封闭期相应顺延，以此类推。本基金封闭期内不办理申购与赎回业务，也不上市交易。</w:t>
      </w:r>
    </w:p>
    <w:p w:rsidR="00747A19" w:rsidRDefault="00FE5F12" w:rsidP="000266B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本</w:t>
      </w:r>
      <w:r w:rsidR="00747A19">
        <w:rPr>
          <w:rFonts w:asciiTheme="minorEastAsia" w:eastAsiaTheme="minorEastAsia" w:hAnsiTheme="minorEastAsia" w:hint="eastAsia"/>
          <w:color w:val="000000"/>
          <w:sz w:val="24"/>
          <w:szCs w:val="24"/>
        </w:rPr>
        <w:t>基金每个封闭期结束之后第一个工作日起（含该日）进入下一个开放期</w:t>
      </w:r>
      <w:r w:rsidR="000E18D3">
        <w:rPr>
          <w:rFonts w:asciiTheme="minorEastAsia" w:eastAsiaTheme="minorEastAsia" w:hAnsiTheme="minorEastAsia" w:hint="eastAsia"/>
          <w:color w:val="000000"/>
          <w:sz w:val="24"/>
          <w:szCs w:val="24"/>
        </w:rPr>
        <w:t>，</w:t>
      </w:r>
      <w:r w:rsidR="00747A19" w:rsidRPr="00747A19">
        <w:rPr>
          <w:rFonts w:asciiTheme="minorEastAsia" w:eastAsiaTheme="minorEastAsia" w:hAnsiTheme="minorEastAsia" w:hint="eastAsia"/>
          <w:color w:val="000000"/>
          <w:sz w:val="24"/>
          <w:szCs w:val="24"/>
        </w:rPr>
        <w:t>开放期内，本基金采取开放运作模式，</w:t>
      </w:r>
      <w:r w:rsidR="00482DFB">
        <w:rPr>
          <w:rFonts w:asciiTheme="minorEastAsia" w:eastAsiaTheme="minorEastAsia" w:hAnsiTheme="minorEastAsia" w:hint="eastAsia"/>
          <w:color w:val="000000"/>
          <w:sz w:val="24"/>
          <w:szCs w:val="24"/>
        </w:rPr>
        <w:t>投资者</w:t>
      </w:r>
      <w:r w:rsidR="00747A19" w:rsidRPr="00747A19">
        <w:rPr>
          <w:rFonts w:asciiTheme="minorEastAsia" w:eastAsiaTheme="minorEastAsia" w:hAnsiTheme="minorEastAsia" w:hint="eastAsia"/>
          <w:color w:val="000000"/>
          <w:sz w:val="24"/>
          <w:szCs w:val="24"/>
        </w:rPr>
        <w:t>可办理基金份额申购、赎回或其他业务，开放期未赎回的份额将自动转入下一个封闭期。</w:t>
      </w:r>
      <w:r w:rsidR="00747A19">
        <w:rPr>
          <w:rFonts w:asciiTheme="minorEastAsia" w:eastAsiaTheme="minorEastAsia" w:hAnsiTheme="minorEastAsia" w:hint="eastAsia"/>
          <w:color w:val="000000"/>
          <w:sz w:val="24"/>
          <w:szCs w:val="24"/>
        </w:rPr>
        <w:t>如在开放期内发生不可抗力或其他情形致使基金无法按时开放或需依据基金合同</w:t>
      </w:r>
      <w:r w:rsidR="00747A19" w:rsidRPr="00747A19">
        <w:rPr>
          <w:rFonts w:asciiTheme="minorEastAsia" w:eastAsiaTheme="minorEastAsia" w:hAnsiTheme="minorEastAsia" w:hint="eastAsia"/>
          <w:color w:val="000000"/>
          <w:sz w:val="24"/>
          <w:szCs w:val="24"/>
        </w:rPr>
        <w:t>暂停申购与赎回业务的，开放期时间顺延，直到满足开放期的时间要求。</w:t>
      </w:r>
    </w:p>
    <w:p w:rsidR="001F6AAD" w:rsidRDefault="00733D7D" w:rsidP="000266B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本基金的第七个封闭期为202</w:t>
      </w:r>
      <w:r>
        <w:rPr>
          <w:rFonts w:asciiTheme="minorEastAsia" w:eastAsiaTheme="minorEastAsia" w:hAnsiTheme="minorEastAsia"/>
          <w:color w:val="000000"/>
          <w:sz w:val="24"/>
          <w:szCs w:val="24"/>
        </w:rPr>
        <w:t>5</w:t>
      </w:r>
      <w:r>
        <w:rPr>
          <w:rFonts w:asciiTheme="minorEastAsia" w:eastAsiaTheme="minorEastAsia" w:hAnsiTheme="minorEastAsia" w:hint="eastAsia"/>
          <w:color w:val="000000"/>
          <w:sz w:val="24"/>
          <w:szCs w:val="24"/>
        </w:rPr>
        <w:t>年</w:t>
      </w:r>
      <w:r>
        <w:rPr>
          <w:rFonts w:asciiTheme="minorEastAsia" w:eastAsiaTheme="minorEastAsia" w:hAnsiTheme="minorEastAsia"/>
          <w:color w:val="000000"/>
          <w:sz w:val="24"/>
          <w:szCs w:val="24"/>
        </w:rPr>
        <w:t>3</w:t>
      </w:r>
      <w:r>
        <w:rPr>
          <w:rFonts w:asciiTheme="minorEastAsia" w:eastAsiaTheme="minorEastAsia" w:hAnsiTheme="minorEastAsia" w:hint="eastAsia"/>
          <w:color w:val="000000"/>
          <w:sz w:val="24"/>
          <w:szCs w:val="24"/>
        </w:rPr>
        <w:t>月</w:t>
      </w:r>
      <w:r>
        <w:rPr>
          <w:rFonts w:asciiTheme="minorEastAsia" w:eastAsiaTheme="minorEastAsia" w:hAnsiTheme="minorEastAsia"/>
          <w:color w:val="000000"/>
          <w:sz w:val="24"/>
          <w:szCs w:val="24"/>
        </w:rPr>
        <w:t>4</w:t>
      </w:r>
      <w:r>
        <w:rPr>
          <w:rFonts w:asciiTheme="minorEastAsia" w:eastAsiaTheme="minorEastAsia" w:hAnsiTheme="minorEastAsia" w:hint="eastAsia"/>
          <w:color w:val="000000"/>
          <w:sz w:val="24"/>
          <w:szCs w:val="24"/>
        </w:rPr>
        <w:t>日（含该日）至202</w:t>
      </w:r>
      <w:r>
        <w:rPr>
          <w:rFonts w:asciiTheme="minorEastAsia" w:eastAsiaTheme="minorEastAsia" w:hAnsiTheme="minorEastAsia"/>
          <w:color w:val="000000"/>
          <w:sz w:val="24"/>
          <w:szCs w:val="24"/>
        </w:rPr>
        <w:t>6</w:t>
      </w:r>
      <w:r>
        <w:rPr>
          <w:rFonts w:asciiTheme="minorEastAsia" w:eastAsiaTheme="minorEastAsia" w:hAnsiTheme="minorEastAsia" w:hint="eastAsia"/>
          <w:color w:val="000000"/>
          <w:sz w:val="24"/>
          <w:szCs w:val="24"/>
        </w:rPr>
        <w:t>年</w:t>
      </w:r>
      <w:r>
        <w:rPr>
          <w:rFonts w:asciiTheme="minorEastAsia" w:eastAsiaTheme="minorEastAsia" w:hAnsiTheme="minorEastAsia"/>
          <w:color w:val="000000"/>
          <w:sz w:val="24"/>
          <w:szCs w:val="24"/>
        </w:rPr>
        <w:t>3</w:t>
      </w:r>
      <w:r>
        <w:rPr>
          <w:rFonts w:asciiTheme="minorEastAsia" w:eastAsiaTheme="minorEastAsia" w:hAnsiTheme="minorEastAsia" w:hint="eastAsia"/>
          <w:color w:val="000000"/>
          <w:sz w:val="24"/>
          <w:szCs w:val="24"/>
        </w:rPr>
        <w:t>月</w:t>
      </w:r>
      <w:r>
        <w:rPr>
          <w:rFonts w:asciiTheme="minorEastAsia" w:eastAsiaTheme="minorEastAsia" w:hAnsiTheme="minorEastAsia"/>
          <w:color w:val="000000"/>
          <w:sz w:val="24"/>
          <w:szCs w:val="24"/>
        </w:rPr>
        <w:t>3</w:t>
      </w:r>
      <w:r>
        <w:rPr>
          <w:rFonts w:asciiTheme="minorEastAsia" w:eastAsiaTheme="minorEastAsia" w:hAnsiTheme="minorEastAsia" w:hint="eastAsia"/>
          <w:color w:val="000000"/>
          <w:sz w:val="24"/>
          <w:szCs w:val="24"/>
        </w:rPr>
        <w:t>日（含该日）。本基金第七次办理申购与赎回业务的开放期为202</w:t>
      </w:r>
      <w:r>
        <w:rPr>
          <w:rFonts w:asciiTheme="minorEastAsia" w:eastAsiaTheme="minorEastAsia" w:hAnsiTheme="minorEastAsia"/>
          <w:color w:val="000000"/>
          <w:sz w:val="24"/>
          <w:szCs w:val="24"/>
        </w:rPr>
        <w:t>6</w:t>
      </w:r>
      <w:r>
        <w:rPr>
          <w:rFonts w:asciiTheme="minorEastAsia" w:eastAsiaTheme="minorEastAsia" w:hAnsiTheme="minorEastAsia" w:hint="eastAsia"/>
          <w:color w:val="000000"/>
          <w:sz w:val="24"/>
          <w:szCs w:val="24"/>
        </w:rPr>
        <w:t>年</w:t>
      </w:r>
      <w:r>
        <w:rPr>
          <w:rFonts w:asciiTheme="minorEastAsia" w:eastAsiaTheme="minorEastAsia" w:hAnsiTheme="minorEastAsia"/>
          <w:color w:val="000000"/>
          <w:sz w:val="24"/>
          <w:szCs w:val="24"/>
        </w:rPr>
        <w:t>3</w:t>
      </w:r>
      <w:r>
        <w:rPr>
          <w:rFonts w:asciiTheme="minorEastAsia" w:eastAsiaTheme="minorEastAsia" w:hAnsiTheme="minorEastAsia" w:hint="eastAsia"/>
          <w:color w:val="000000"/>
          <w:sz w:val="24"/>
          <w:szCs w:val="24"/>
        </w:rPr>
        <w:t>月</w:t>
      </w:r>
      <w:r>
        <w:rPr>
          <w:rFonts w:asciiTheme="minorEastAsia" w:eastAsiaTheme="minorEastAsia" w:hAnsiTheme="minorEastAsia"/>
          <w:color w:val="000000"/>
          <w:sz w:val="24"/>
          <w:szCs w:val="24"/>
        </w:rPr>
        <w:t>4</w:t>
      </w:r>
      <w:r>
        <w:rPr>
          <w:rFonts w:asciiTheme="minorEastAsia" w:eastAsiaTheme="minorEastAsia" w:hAnsiTheme="minorEastAsia" w:hint="eastAsia"/>
          <w:color w:val="000000"/>
          <w:sz w:val="24"/>
          <w:szCs w:val="24"/>
        </w:rPr>
        <w:t>日（含该日）至202</w:t>
      </w:r>
      <w:r>
        <w:rPr>
          <w:rFonts w:asciiTheme="minorEastAsia" w:eastAsiaTheme="minorEastAsia" w:hAnsiTheme="minorEastAsia"/>
          <w:color w:val="000000"/>
          <w:sz w:val="24"/>
          <w:szCs w:val="24"/>
        </w:rPr>
        <w:t>6</w:t>
      </w:r>
      <w:r>
        <w:rPr>
          <w:rFonts w:asciiTheme="minorEastAsia" w:eastAsiaTheme="minorEastAsia" w:hAnsiTheme="minorEastAsia" w:hint="eastAsia"/>
          <w:color w:val="000000"/>
          <w:sz w:val="24"/>
          <w:szCs w:val="24"/>
        </w:rPr>
        <w:t>年</w:t>
      </w:r>
      <w:r>
        <w:rPr>
          <w:rFonts w:asciiTheme="minorEastAsia" w:eastAsiaTheme="minorEastAsia" w:hAnsiTheme="minorEastAsia"/>
          <w:color w:val="000000"/>
          <w:sz w:val="24"/>
          <w:szCs w:val="24"/>
        </w:rPr>
        <w:t>3</w:t>
      </w:r>
      <w:r>
        <w:rPr>
          <w:rFonts w:asciiTheme="minorEastAsia" w:eastAsiaTheme="minorEastAsia" w:hAnsiTheme="minorEastAsia" w:hint="eastAsia"/>
          <w:color w:val="000000"/>
          <w:sz w:val="24"/>
          <w:szCs w:val="24"/>
        </w:rPr>
        <w:t>月</w:t>
      </w:r>
      <w:r>
        <w:rPr>
          <w:rFonts w:asciiTheme="minorEastAsia" w:eastAsiaTheme="minorEastAsia" w:hAnsiTheme="minorEastAsia"/>
          <w:color w:val="000000"/>
          <w:sz w:val="24"/>
          <w:szCs w:val="24"/>
        </w:rPr>
        <w:t>31</w:t>
      </w:r>
      <w:r>
        <w:rPr>
          <w:rFonts w:asciiTheme="minorEastAsia" w:eastAsiaTheme="minorEastAsia" w:hAnsiTheme="minorEastAsia" w:hint="eastAsia"/>
          <w:color w:val="000000"/>
          <w:sz w:val="24"/>
          <w:szCs w:val="24"/>
        </w:rPr>
        <w:t>日（含该日），共</w:t>
      </w:r>
      <w:r>
        <w:rPr>
          <w:rFonts w:asciiTheme="minorEastAsia" w:eastAsiaTheme="minorEastAsia" w:hAnsiTheme="minorEastAsia"/>
          <w:color w:val="000000"/>
          <w:sz w:val="24"/>
          <w:szCs w:val="24"/>
        </w:rPr>
        <w:t>20</w:t>
      </w:r>
      <w:r>
        <w:rPr>
          <w:rFonts w:asciiTheme="minorEastAsia" w:eastAsiaTheme="minorEastAsia" w:hAnsiTheme="minorEastAsia" w:hint="eastAsia"/>
          <w:color w:val="000000"/>
          <w:sz w:val="24"/>
          <w:szCs w:val="24"/>
        </w:rPr>
        <w:t>个工作日，</w:t>
      </w:r>
      <w:r w:rsidRPr="0013521D">
        <w:rPr>
          <w:rFonts w:asciiTheme="minorEastAsia" w:eastAsiaTheme="minorEastAsia" w:hAnsiTheme="minorEastAsia" w:hint="eastAsia"/>
          <w:color w:val="000000"/>
          <w:sz w:val="24"/>
          <w:szCs w:val="24"/>
        </w:rPr>
        <w:t>基金管理人可以根据情况提前结束本次开放期</w:t>
      </w:r>
      <w:r w:rsidRPr="00A62B36">
        <w:rPr>
          <w:rFonts w:asciiTheme="minorEastAsia" w:eastAsiaTheme="minorEastAsia" w:hAnsiTheme="minorEastAsia" w:hint="eastAsia"/>
          <w:color w:val="000000"/>
          <w:sz w:val="24"/>
          <w:szCs w:val="24"/>
        </w:rPr>
        <w:t>。</w:t>
      </w:r>
      <w:r w:rsidR="001F6AAD" w:rsidRPr="00A62B36">
        <w:rPr>
          <w:rFonts w:asciiTheme="minorEastAsia" w:eastAsiaTheme="minorEastAsia" w:hAnsiTheme="minorEastAsia" w:hint="eastAsia"/>
          <w:color w:val="000000"/>
          <w:sz w:val="24"/>
          <w:szCs w:val="24"/>
        </w:rPr>
        <w:t>本基金自开放期结束之日次日（</w:t>
      </w:r>
      <w:r w:rsidR="001F6AAD" w:rsidRPr="00553376">
        <w:rPr>
          <w:rFonts w:asciiTheme="minorEastAsia" w:eastAsiaTheme="minorEastAsia" w:hAnsiTheme="minorEastAsia" w:hint="eastAsia"/>
          <w:color w:val="000000"/>
          <w:sz w:val="24"/>
          <w:szCs w:val="24"/>
        </w:rPr>
        <w:t>包括该日）起进入下一个封闭期，届时不再另行公告。</w:t>
      </w:r>
    </w:p>
    <w:p w:rsidR="000A6031" w:rsidRDefault="00482DFB" w:rsidP="000266B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投资者</w:t>
      </w:r>
      <w:r w:rsidR="000A6031" w:rsidRPr="000A6031">
        <w:rPr>
          <w:rFonts w:asciiTheme="minorEastAsia" w:eastAsiaTheme="minorEastAsia" w:hAnsiTheme="minorEastAsia" w:hint="eastAsia"/>
          <w:color w:val="000000"/>
          <w:sz w:val="24"/>
          <w:szCs w:val="24"/>
        </w:rPr>
        <w:t>在开放期内的开放日办理基金份额的申购和赎回，具体办理时间为上海证券交易所、深圳证券交易所的正常交易日的交易时间，但基金管理人根据法律法规、中国证监会的要求或基金合同的规定公告暂停申购、赎回时除外。封闭期内，本基金不办理申购与赎回业务，也不上市交易。基金合同生效后，若出现新的证券/期货交易市场、证券/期货交易所交易时间变更或其他特殊情况，基金管理人将视情况对前述开放日及开放时间进行相应的调整，但应在实施日前依照《公开募集证券投资基金信息披露管理办法》</w:t>
      </w:r>
      <w:r w:rsidR="00F3557E">
        <w:rPr>
          <w:rFonts w:asciiTheme="minorEastAsia" w:eastAsiaTheme="minorEastAsia" w:hAnsiTheme="minorEastAsia" w:hint="eastAsia"/>
          <w:color w:val="000000"/>
          <w:sz w:val="24"/>
          <w:szCs w:val="24"/>
        </w:rPr>
        <w:t>（以下简称</w:t>
      </w:r>
      <w:r w:rsidR="00F3557E">
        <w:rPr>
          <w:rFonts w:asciiTheme="minorEastAsia" w:eastAsiaTheme="minorEastAsia" w:hAnsiTheme="minorEastAsia"/>
          <w:color w:val="000000"/>
          <w:sz w:val="24"/>
          <w:szCs w:val="24"/>
        </w:rPr>
        <w:t>“《</w:t>
      </w:r>
      <w:r w:rsidR="00F3557E" w:rsidRPr="000A6031">
        <w:rPr>
          <w:rFonts w:asciiTheme="minorEastAsia" w:eastAsiaTheme="minorEastAsia" w:hAnsiTheme="minorEastAsia" w:hint="eastAsia"/>
          <w:color w:val="000000"/>
          <w:sz w:val="24"/>
          <w:szCs w:val="24"/>
        </w:rPr>
        <w:t>信息披露办法》</w:t>
      </w:r>
      <w:r w:rsidR="00F3557E">
        <w:rPr>
          <w:rFonts w:asciiTheme="minorEastAsia" w:eastAsiaTheme="minorEastAsia" w:hAnsiTheme="minorEastAsia"/>
          <w:color w:val="000000"/>
          <w:sz w:val="24"/>
          <w:szCs w:val="24"/>
        </w:rPr>
        <w:t>”</w:t>
      </w:r>
      <w:r w:rsidR="00F3557E">
        <w:rPr>
          <w:rFonts w:asciiTheme="minorEastAsia" w:eastAsiaTheme="minorEastAsia" w:hAnsiTheme="minorEastAsia" w:hint="eastAsia"/>
          <w:color w:val="000000"/>
          <w:sz w:val="24"/>
          <w:szCs w:val="24"/>
        </w:rPr>
        <w:t>）</w:t>
      </w:r>
      <w:r w:rsidR="000A6031" w:rsidRPr="000A6031">
        <w:rPr>
          <w:rFonts w:asciiTheme="minorEastAsia" w:eastAsiaTheme="minorEastAsia" w:hAnsiTheme="minorEastAsia" w:hint="eastAsia"/>
          <w:color w:val="000000"/>
          <w:sz w:val="24"/>
          <w:szCs w:val="24"/>
        </w:rPr>
        <w:t>的有关规定在</w:t>
      </w:r>
      <w:r w:rsidR="00744359">
        <w:rPr>
          <w:rFonts w:asciiTheme="minorEastAsia" w:eastAsiaTheme="minorEastAsia" w:hAnsiTheme="minorEastAsia" w:hint="eastAsia"/>
          <w:color w:val="000000"/>
          <w:sz w:val="24"/>
          <w:szCs w:val="24"/>
        </w:rPr>
        <w:t>规定</w:t>
      </w:r>
      <w:r w:rsidR="000A6031" w:rsidRPr="000A6031">
        <w:rPr>
          <w:rFonts w:asciiTheme="minorEastAsia" w:eastAsiaTheme="minorEastAsia" w:hAnsiTheme="minorEastAsia" w:hint="eastAsia"/>
          <w:color w:val="000000"/>
          <w:sz w:val="24"/>
          <w:szCs w:val="24"/>
        </w:rPr>
        <w:t>媒介上公告。</w:t>
      </w:r>
    </w:p>
    <w:p w:rsidR="000A6031" w:rsidRPr="000A6031" w:rsidRDefault="00083906" w:rsidP="000A6031">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基</w:t>
      </w:r>
      <w:r w:rsidR="000A6031" w:rsidRPr="000A6031">
        <w:rPr>
          <w:rFonts w:asciiTheme="minorEastAsia" w:eastAsiaTheme="minorEastAsia" w:hAnsiTheme="minorEastAsia" w:hint="eastAsia"/>
          <w:color w:val="000000"/>
          <w:sz w:val="24"/>
          <w:szCs w:val="24"/>
        </w:rPr>
        <w:t>金管理人不得在基金合同约定之外的日期或者时间办理基金份额的申购、赎回。在开放期内，</w:t>
      </w:r>
      <w:r w:rsidR="00482DFB">
        <w:rPr>
          <w:rFonts w:asciiTheme="minorEastAsia" w:eastAsiaTheme="minorEastAsia" w:hAnsiTheme="minorEastAsia" w:hint="eastAsia"/>
          <w:color w:val="000000"/>
          <w:sz w:val="24"/>
          <w:szCs w:val="24"/>
        </w:rPr>
        <w:t>投资者</w:t>
      </w:r>
      <w:r w:rsidR="000A6031" w:rsidRPr="000A6031">
        <w:rPr>
          <w:rFonts w:asciiTheme="minorEastAsia" w:eastAsiaTheme="minorEastAsia" w:hAnsiTheme="minorEastAsia" w:hint="eastAsia"/>
          <w:color w:val="000000"/>
          <w:sz w:val="24"/>
          <w:szCs w:val="24"/>
        </w:rPr>
        <w:t>在基金合同约定之外的日期和时间提出申购、赎回申请且基金份额登记机构确认接受的，其基金份额申购、赎回价格为下一开放日基金份额申购、赎回的价格。在开放期最后一个开放日，</w:t>
      </w:r>
      <w:r w:rsidR="00482DFB">
        <w:rPr>
          <w:rFonts w:asciiTheme="minorEastAsia" w:eastAsiaTheme="minorEastAsia" w:hAnsiTheme="minorEastAsia" w:hint="eastAsia"/>
          <w:color w:val="000000"/>
          <w:sz w:val="24"/>
          <w:szCs w:val="24"/>
        </w:rPr>
        <w:t>投资者</w:t>
      </w:r>
      <w:r w:rsidR="000A6031" w:rsidRPr="000A6031">
        <w:rPr>
          <w:rFonts w:asciiTheme="minorEastAsia" w:eastAsiaTheme="minorEastAsia" w:hAnsiTheme="minorEastAsia" w:hint="eastAsia"/>
          <w:color w:val="000000"/>
          <w:sz w:val="24"/>
          <w:szCs w:val="24"/>
        </w:rPr>
        <w:t>在业务办理时间结束后提出申购、赎回申请的，视为无效申请。</w:t>
      </w:r>
    </w:p>
    <w:p w:rsidR="00752A9C" w:rsidRPr="00FF7AA4" w:rsidRDefault="00752A9C" w:rsidP="00752A9C">
      <w:pPr>
        <w:pStyle w:val="2"/>
        <w:spacing w:line="560" w:lineRule="exact"/>
        <w:rPr>
          <w:rFonts w:asciiTheme="minorEastAsia" w:eastAsiaTheme="minorEastAsia" w:hAnsiTheme="minorEastAsia"/>
          <w:bCs w:val="0"/>
          <w:color w:val="000000"/>
          <w:sz w:val="24"/>
          <w:szCs w:val="24"/>
        </w:rPr>
      </w:pPr>
      <w:bookmarkStart w:id="2" w:name="_Toc275961397"/>
      <w:r w:rsidRPr="00FF7AA4">
        <w:rPr>
          <w:rFonts w:asciiTheme="minorEastAsia" w:eastAsiaTheme="minorEastAsia" w:hAnsiTheme="minorEastAsia"/>
          <w:bCs w:val="0"/>
          <w:color w:val="000000"/>
          <w:sz w:val="24"/>
          <w:szCs w:val="24"/>
        </w:rPr>
        <w:t>3 申购业务</w:t>
      </w:r>
      <w:bookmarkEnd w:id="2"/>
    </w:p>
    <w:p w:rsidR="00752A9C" w:rsidRPr="00FF7AA4" w:rsidRDefault="00752A9C" w:rsidP="00752A9C">
      <w:pPr>
        <w:spacing w:line="560" w:lineRule="exact"/>
        <w:rPr>
          <w:rFonts w:asciiTheme="minorEastAsia" w:eastAsiaTheme="minorEastAsia" w:hAnsiTheme="minorEastAsia"/>
          <w:b/>
          <w:color w:val="000000"/>
          <w:sz w:val="24"/>
          <w:szCs w:val="24"/>
        </w:rPr>
      </w:pPr>
      <w:r w:rsidRPr="00FF7AA4">
        <w:rPr>
          <w:rFonts w:asciiTheme="minorEastAsia" w:eastAsiaTheme="minorEastAsia" w:hAnsiTheme="minorEastAsia"/>
          <w:b/>
          <w:color w:val="000000"/>
          <w:sz w:val="24"/>
          <w:szCs w:val="24"/>
        </w:rPr>
        <w:t>3.1 申购金额限制</w:t>
      </w:r>
    </w:p>
    <w:p w:rsidR="000A6031" w:rsidRDefault="000A6031" w:rsidP="000A6031">
      <w:pPr>
        <w:spacing w:line="360" w:lineRule="auto"/>
        <w:ind w:firstLineChars="200" w:firstLine="480"/>
        <w:rPr>
          <w:rFonts w:asciiTheme="minorEastAsia" w:eastAsiaTheme="minorEastAsia" w:hAnsiTheme="minorEastAsia"/>
          <w:color w:val="000000"/>
          <w:sz w:val="24"/>
          <w:szCs w:val="24"/>
        </w:rPr>
      </w:pPr>
      <w:r w:rsidRPr="000A6031">
        <w:rPr>
          <w:rFonts w:asciiTheme="minorEastAsia" w:eastAsiaTheme="minorEastAsia" w:hAnsiTheme="minorEastAsia" w:hint="eastAsia"/>
          <w:color w:val="000000"/>
          <w:sz w:val="24"/>
          <w:szCs w:val="24"/>
        </w:rPr>
        <w:t>通过</w:t>
      </w:r>
      <w:r w:rsidR="00F3557E" w:rsidRPr="00A7478B">
        <w:rPr>
          <w:rFonts w:asciiTheme="minorEastAsia" w:eastAsiaTheme="minorEastAsia" w:hAnsiTheme="minorEastAsia" w:hint="eastAsia"/>
          <w:color w:val="000000"/>
          <w:sz w:val="24"/>
          <w:szCs w:val="24"/>
        </w:rPr>
        <w:t>国联安基金管理有限公司（以下简称“本公司”、“基金管理人”）</w:t>
      </w:r>
      <w:r w:rsidRPr="000A6031">
        <w:rPr>
          <w:rFonts w:asciiTheme="minorEastAsia" w:eastAsiaTheme="minorEastAsia" w:hAnsiTheme="minorEastAsia" w:hint="eastAsia"/>
          <w:color w:val="000000"/>
          <w:sz w:val="24"/>
          <w:szCs w:val="24"/>
        </w:rPr>
        <w:t>或其他销售机构申购本基金的，每个基金账户每次单笔申购金额不得低于</w:t>
      </w:r>
      <w:r w:rsidR="001F6AAD">
        <w:rPr>
          <w:rFonts w:asciiTheme="minorEastAsia" w:eastAsiaTheme="minorEastAsia" w:hAnsiTheme="minorEastAsia"/>
          <w:color w:val="000000"/>
          <w:sz w:val="24"/>
          <w:szCs w:val="24"/>
        </w:rPr>
        <w:t>1</w:t>
      </w:r>
      <w:r w:rsidRPr="000A6031">
        <w:rPr>
          <w:rFonts w:asciiTheme="minorEastAsia" w:eastAsiaTheme="minorEastAsia" w:hAnsiTheme="minorEastAsia" w:hint="eastAsia"/>
          <w:color w:val="000000"/>
          <w:sz w:val="24"/>
          <w:szCs w:val="24"/>
        </w:rPr>
        <w:t>元（含申购费），</w:t>
      </w:r>
      <w:r w:rsidR="001F6AAD" w:rsidRPr="001F6AAD">
        <w:rPr>
          <w:rFonts w:asciiTheme="minorEastAsia" w:eastAsiaTheme="minorEastAsia" w:hAnsiTheme="minorEastAsia" w:hint="eastAsia"/>
          <w:color w:val="000000"/>
          <w:sz w:val="24"/>
          <w:szCs w:val="24"/>
        </w:rPr>
        <w:t>单笔追加申购最低金额为0.1元（含申购费）</w:t>
      </w:r>
      <w:r w:rsidR="001F6AAD">
        <w:rPr>
          <w:rFonts w:asciiTheme="minorEastAsia" w:eastAsiaTheme="minorEastAsia" w:hAnsiTheme="minorEastAsia" w:hint="eastAsia"/>
          <w:color w:val="000000"/>
          <w:sz w:val="24"/>
          <w:szCs w:val="24"/>
        </w:rPr>
        <w:t>。</w:t>
      </w:r>
      <w:r w:rsidRPr="000A6031">
        <w:rPr>
          <w:rFonts w:asciiTheme="minorEastAsia" w:eastAsiaTheme="minorEastAsia" w:hAnsiTheme="minorEastAsia" w:hint="eastAsia"/>
          <w:color w:val="000000"/>
          <w:sz w:val="24"/>
          <w:szCs w:val="24"/>
        </w:rPr>
        <w:t>销售机构另有规定的，从其规定。</w:t>
      </w:r>
      <w:r w:rsidR="00DA6477">
        <w:rPr>
          <w:rFonts w:asciiTheme="minorEastAsia" w:eastAsiaTheme="minorEastAsia" w:hAnsiTheme="minorEastAsia" w:hint="eastAsia"/>
          <w:color w:val="000000"/>
          <w:sz w:val="24"/>
          <w:szCs w:val="24"/>
        </w:rPr>
        <w:t>其中，</w:t>
      </w:r>
      <w:r w:rsidRPr="000A6031">
        <w:rPr>
          <w:rFonts w:asciiTheme="minorEastAsia" w:eastAsiaTheme="minorEastAsia" w:hAnsiTheme="minorEastAsia" w:hint="eastAsia"/>
          <w:color w:val="000000"/>
          <w:sz w:val="24"/>
          <w:szCs w:val="24"/>
        </w:rPr>
        <w:t>通过直销柜台申购本基金的，每个基金账户首次申购金额不得低于1万元（含申购费），已在直销机构有申购本基金记录的投资者不受上述首次申购最低金额的限制，单笔追加申购最低金额为</w:t>
      </w:r>
      <w:r w:rsidR="008E5C7D">
        <w:rPr>
          <w:rFonts w:asciiTheme="minorEastAsia" w:eastAsiaTheme="minorEastAsia" w:hAnsiTheme="minorEastAsia"/>
          <w:color w:val="000000"/>
          <w:sz w:val="24"/>
          <w:szCs w:val="24"/>
        </w:rPr>
        <w:t>10</w:t>
      </w:r>
      <w:r w:rsidRPr="000A6031">
        <w:rPr>
          <w:rFonts w:asciiTheme="minorEastAsia" w:eastAsiaTheme="minorEastAsia" w:hAnsiTheme="minorEastAsia" w:hint="eastAsia"/>
          <w:color w:val="000000"/>
          <w:sz w:val="24"/>
          <w:szCs w:val="24"/>
        </w:rPr>
        <w:t>元（含申购费）。</w:t>
      </w:r>
    </w:p>
    <w:p w:rsidR="00956228" w:rsidRPr="00956228" w:rsidRDefault="00956228" w:rsidP="000A6031">
      <w:pPr>
        <w:spacing w:line="360" w:lineRule="auto"/>
        <w:ind w:firstLineChars="200" w:firstLine="480"/>
        <w:rPr>
          <w:rFonts w:asciiTheme="minorEastAsia" w:eastAsiaTheme="minorEastAsia" w:hAnsiTheme="minorEastAsia"/>
          <w:color w:val="000000"/>
          <w:sz w:val="24"/>
          <w:szCs w:val="24"/>
        </w:rPr>
      </w:pPr>
      <w:r w:rsidRPr="00956228">
        <w:rPr>
          <w:rFonts w:asciiTheme="minorEastAsia" w:eastAsiaTheme="minorEastAsia" w:hAnsiTheme="minorEastAsia" w:hint="eastAsia"/>
          <w:color w:val="000000"/>
          <w:sz w:val="24"/>
          <w:szCs w:val="24"/>
        </w:rPr>
        <w:t>投资者当期分配的基金收益，通过红利再投资方式转入持有本基金基金份额的，不受最低申购金额的限制。</w:t>
      </w:r>
    </w:p>
    <w:p w:rsidR="00752A9C" w:rsidRPr="00FF7AA4" w:rsidRDefault="008E273C" w:rsidP="00752A9C">
      <w:pPr>
        <w:spacing w:line="560" w:lineRule="exact"/>
        <w:rPr>
          <w:rFonts w:asciiTheme="minorEastAsia" w:eastAsiaTheme="minorEastAsia" w:hAnsiTheme="minorEastAsia"/>
          <w:b/>
          <w:color w:val="000000"/>
          <w:sz w:val="24"/>
          <w:szCs w:val="24"/>
        </w:rPr>
      </w:pPr>
      <w:r w:rsidRPr="00FF7AA4">
        <w:rPr>
          <w:rFonts w:asciiTheme="minorEastAsia" w:eastAsiaTheme="minorEastAsia" w:hAnsiTheme="minorEastAsia" w:hint="eastAsia"/>
          <w:b/>
          <w:color w:val="000000"/>
          <w:sz w:val="24"/>
          <w:szCs w:val="24"/>
        </w:rPr>
        <w:t>3</w:t>
      </w:r>
      <w:r w:rsidR="00752A9C" w:rsidRPr="00FF7AA4">
        <w:rPr>
          <w:rFonts w:asciiTheme="minorEastAsia" w:eastAsiaTheme="minorEastAsia" w:hAnsiTheme="minorEastAsia"/>
          <w:b/>
          <w:color w:val="000000"/>
          <w:sz w:val="24"/>
          <w:szCs w:val="24"/>
        </w:rPr>
        <w:t>.</w:t>
      </w:r>
      <w:r w:rsidRPr="00FF7AA4">
        <w:rPr>
          <w:rFonts w:asciiTheme="minorEastAsia" w:eastAsiaTheme="minorEastAsia" w:hAnsiTheme="minorEastAsia" w:hint="eastAsia"/>
          <w:b/>
          <w:color w:val="000000"/>
          <w:sz w:val="24"/>
          <w:szCs w:val="24"/>
        </w:rPr>
        <w:t>2</w:t>
      </w:r>
      <w:r w:rsidR="00752A9C" w:rsidRPr="00FF7AA4">
        <w:rPr>
          <w:rFonts w:asciiTheme="minorEastAsia" w:eastAsiaTheme="minorEastAsia" w:hAnsiTheme="minorEastAsia"/>
          <w:b/>
          <w:color w:val="000000"/>
          <w:sz w:val="24"/>
          <w:szCs w:val="24"/>
        </w:rPr>
        <w:t xml:space="preserve"> 申购费率</w:t>
      </w:r>
    </w:p>
    <w:p w:rsidR="00F3557E" w:rsidRPr="00F3557E" w:rsidRDefault="00F3557E" w:rsidP="00F3557E">
      <w:pPr>
        <w:spacing w:line="360" w:lineRule="auto"/>
        <w:ind w:firstLineChars="200" w:firstLine="480"/>
        <w:rPr>
          <w:rFonts w:asciiTheme="minorEastAsia" w:eastAsiaTheme="minorEastAsia" w:hAnsiTheme="minorEastAsia"/>
          <w:color w:val="000000"/>
          <w:sz w:val="24"/>
          <w:szCs w:val="24"/>
        </w:rPr>
      </w:pPr>
      <w:r w:rsidRPr="00F3557E">
        <w:rPr>
          <w:rFonts w:asciiTheme="minorEastAsia" w:eastAsiaTheme="minorEastAsia" w:hAnsiTheme="minorEastAsia" w:hint="eastAsia"/>
          <w:color w:val="000000"/>
          <w:sz w:val="24"/>
          <w:szCs w:val="24"/>
        </w:rPr>
        <w:t>申购费用由</w:t>
      </w:r>
      <w:r w:rsidR="00482DFB">
        <w:rPr>
          <w:rFonts w:asciiTheme="minorEastAsia" w:eastAsiaTheme="minorEastAsia" w:hAnsiTheme="minorEastAsia" w:hint="eastAsia"/>
          <w:color w:val="000000"/>
          <w:sz w:val="24"/>
          <w:szCs w:val="24"/>
        </w:rPr>
        <w:t>投资者</w:t>
      </w:r>
      <w:r w:rsidRPr="00F3557E">
        <w:rPr>
          <w:rFonts w:asciiTheme="minorEastAsia" w:eastAsiaTheme="minorEastAsia" w:hAnsiTheme="minorEastAsia" w:hint="eastAsia"/>
          <w:color w:val="000000"/>
          <w:sz w:val="24"/>
          <w:szCs w:val="24"/>
        </w:rPr>
        <w:t>承担，不列入基金财产。</w:t>
      </w:r>
      <w:r w:rsidR="00482DFB">
        <w:rPr>
          <w:rFonts w:asciiTheme="minorEastAsia" w:eastAsiaTheme="minorEastAsia" w:hAnsiTheme="minorEastAsia" w:hint="eastAsia"/>
          <w:color w:val="000000"/>
          <w:sz w:val="24"/>
          <w:szCs w:val="24"/>
        </w:rPr>
        <w:t>投资者</w:t>
      </w:r>
      <w:r w:rsidRPr="00F3557E">
        <w:rPr>
          <w:rFonts w:asciiTheme="minorEastAsia" w:eastAsiaTheme="minorEastAsia" w:hAnsiTheme="minorEastAsia" w:hint="eastAsia"/>
          <w:color w:val="000000"/>
          <w:sz w:val="24"/>
          <w:szCs w:val="24"/>
        </w:rPr>
        <w:t>在申购时支付申购费用。</w:t>
      </w:r>
    </w:p>
    <w:p w:rsidR="00F3557E" w:rsidRDefault="00F3557E" w:rsidP="00F3557E">
      <w:pPr>
        <w:spacing w:line="360" w:lineRule="auto"/>
        <w:ind w:firstLineChars="200" w:firstLine="480"/>
        <w:rPr>
          <w:rFonts w:asciiTheme="minorEastAsia" w:eastAsiaTheme="minorEastAsia" w:hAnsiTheme="minorEastAsia"/>
          <w:color w:val="000000"/>
          <w:sz w:val="24"/>
          <w:szCs w:val="24"/>
        </w:rPr>
      </w:pPr>
      <w:r w:rsidRPr="00F3557E">
        <w:rPr>
          <w:rFonts w:asciiTheme="minorEastAsia" w:eastAsiaTheme="minorEastAsia" w:hAnsiTheme="minorEastAsia" w:hint="eastAsia"/>
          <w:color w:val="000000"/>
          <w:sz w:val="24"/>
          <w:szCs w:val="24"/>
        </w:rPr>
        <w:t>本基金的申购费率如下：</w:t>
      </w:r>
    </w:p>
    <w:p w:rsidR="00F3557E" w:rsidRDefault="00F3557E" w:rsidP="00F3557E">
      <w:pPr>
        <w:spacing w:line="240" w:lineRule="exact"/>
        <w:ind w:firstLineChars="200" w:firstLine="480"/>
        <w:rPr>
          <w:rFonts w:asciiTheme="minorEastAsia" w:eastAsiaTheme="minorEastAsia" w:hAnsiTheme="minorEastAsia"/>
          <w:color w:val="000000"/>
          <w:sz w:val="24"/>
          <w:szCs w:val="24"/>
        </w:rPr>
      </w:pP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8"/>
        <w:gridCol w:w="2863"/>
      </w:tblGrid>
      <w:tr w:rsidR="00F3557E" w:rsidRPr="005F6724" w:rsidTr="001526A7">
        <w:trPr>
          <w:jc w:val="center"/>
        </w:trPr>
        <w:tc>
          <w:tcPr>
            <w:tcW w:w="3228" w:type="dxa"/>
            <w:tcBorders>
              <w:top w:val="single" w:sz="4" w:space="0" w:color="auto"/>
              <w:left w:val="single" w:sz="4" w:space="0" w:color="auto"/>
              <w:bottom w:val="single" w:sz="4" w:space="0" w:color="auto"/>
              <w:right w:val="single" w:sz="4" w:space="0" w:color="auto"/>
            </w:tcBorders>
            <w:shd w:val="clear" w:color="auto" w:fill="auto"/>
            <w:vAlign w:val="center"/>
          </w:tcPr>
          <w:p w:rsidR="00F3557E" w:rsidRPr="009636BB" w:rsidRDefault="00F3557E" w:rsidP="00437C06">
            <w:pPr>
              <w:spacing w:line="360" w:lineRule="auto"/>
              <w:jc w:val="center"/>
              <w:rPr>
                <w:rFonts w:asciiTheme="minorEastAsia" w:eastAsiaTheme="minorEastAsia" w:hAnsiTheme="minorEastAsia"/>
                <w:color w:val="000000"/>
                <w:sz w:val="24"/>
                <w:szCs w:val="24"/>
              </w:rPr>
            </w:pPr>
            <w:r w:rsidRPr="009636BB">
              <w:rPr>
                <w:rFonts w:asciiTheme="minorEastAsia" w:eastAsiaTheme="minorEastAsia" w:hAnsiTheme="minorEastAsia" w:hint="eastAsia"/>
                <w:color w:val="000000"/>
                <w:sz w:val="24"/>
                <w:szCs w:val="24"/>
              </w:rPr>
              <w:t>申购金额（M，含申购费）</w:t>
            </w:r>
          </w:p>
        </w:tc>
        <w:tc>
          <w:tcPr>
            <w:tcW w:w="2863" w:type="dxa"/>
            <w:tcBorders>
              <w:top w:val="single" w:sz="4" w:space="0" w:color="auto"/>
              <w:left w:val="single" w:sz="4" w:space="0" w:color="auto"/>
              <w:bottom w:val="single" w:sz="4" w:space="0" w:color="auto"/>
              <w:right w:val="single" w:sz="4" w:space="0" w:color="auto"/>
            </w:tcBorders>
            <w:shd w:val="clear" w:color="auto" w:fill="auto"/>
            <w:vAlign w:val="center"/>
          </w:tcPr>
          <w:p w:rsidR="00F3557E" w:rsidRPr="009636BB" w:rsidRDefault="00F3557E" w:rsidP="00437C06">
            <w:pPr>
              <w:spacing w:line="360" w:lineRule="auto"/>
              <w:jc w:val="center"/>
              <w:rPr>
                <w:rFonts w:asciiTheme="minorEastAsia" w:eastAsiaTheme="minorEastAsia" w:hAnsiTheme="minorEastAsia"/>
                <w:color w:val="000000"/>
                <w:sz w:val="24"/>
                <w:szCs w:val="24"/>
              </w:rPr>
            </w:pPr>
            <w:r w:rsidRPr="009636BB">
              <w:rPr>
                <w:rFonts w:asciiTheme="minorEastAsia" w:eastAsiaTheme="minorEastAsia" w:hAnsiTheme="minorEastAsia" w:hint="eastAsia"/>
                <w:color w:val="000000"/>
                <w:sz w:val="24"/>
                <w:szCs w:val="24"/>
              </w:rPr>
              <w:t>申购费率</w:t>
            </w:r>
          </w:p>
        </w:tc>
      </w:tr>
      <w:tr w:rsidR="00F3557E" w:rsidRPr="005F6724" w:rsidTr="001526A7">
        <w:trPr>
          <w:jc w:val="center"/>
        </w:trPr>
        <w:tc>
          <w:tcPr>
            <w:tcW w:w="3228" w:type="dxa"/>
            <w:tcBorders>
              <w:top w:val="single" w:sz="4" w:space="0" w:color="auto"/>
              <w:left w:val="single" w:sz="4" w:space="0" w:color="auto"/>
              <w:bottom w:val="single" w:sz="4" w:space="0" w:color="auto"/>
              <w:right w:val="single" w:sz="4" w:space="0" w:color="auto"/>
            </w:tcBorders>
            <w:shd w:val="clear" w:color="auto" w:fill="auto"/>
            <w:vAlign w:val="center"/>
          </w:tcPr>
          <w:p w:rsidR="00F3557E" w:rsidRPr="009636BB" w:rsidRDefault="00F3557E" w:rsidP="00437C06">
            <w:pPr>
              <w:spacing w:line="360" w:lineRule="auto"/>
              <w:jc w:val="center"/>
              <w:rPr>
                <w:rFonts w:asciiTheme="minorEastAsia" w:eastAsiaTheme="minorEastAsia" w:hAnsiTheme="minorEastAsia"/>
                <w:color w:val="000000"/>
                <w:sz w:val="24"/>
                <w:szCs w:val="24"/>
              </w:rPr>
            </w:pPr>
            <w:r w:rsidRPr="009636BB">
              <w:rPr>
                <w:rFonts w:asciiTheme="minorEastAsia" w:eastAsiaTheme="minorEastAsia" w:hAnsiTheme="minorEastAsia" w:hint="eastAsia"/>
                <w:color w:val="000000"/>
                <w:sz w:val="24"/>
                <w:szCs w:val="24"/>
              </w:rPr>
              <w:t>M＜100万</w:t>
            </w:r>
          </w:p>
        </w:tc>
        <w:tc>
          <w:tcPr>
            <w:tcW w:w="2863" w:type="dxa"/>
            <w:tcBorders>
              <w:top w:val="single" w:sz="4" w:space="0" w:color="auto"/>
              <w:left w:val="single" w:sz="4" w:space="0" w:color="auto"/>
              <w:bottom w:val="single" w:sz="4" w:space="0" w:color="auto"/>
              <w:right w:val="single" w:sz="4" w:space="0" w:color="auto"/>
            </w:tcBorders>
            <w:shd w:val="clear" w:color="auto" w:fill="auto"/>
            <w:vAlign w:val="center"/>
          </w:tcPr>
          <w:p w:rsidR="00F3557E" w:rsidRPr="009636BB" w:rsidRDefault="00F3557E" w:rsidP="00437C06">
            <w:pPr>
              <w:spacing w:line="360" w:lineRule="auto"/>
              <w:jc w:val="center"/>
              <w:rPr>
                <w:rFonts w:asciiTheme="minorEastAsia" w:eastAsiaTheme="minorEastAsia" w:hAnsiTheme="minorEastAsia"/>
                <w:color w:val="000000"/>
                <w:sz w:val="24"/>
                <w:szCs w:val="24"/>
              </w:rPr>
            </w:pPr>
            <w:r w:rsidRPr="009636BB">
              <w:rPr>
                <w:rFonts w:asciiTheme="minorEastAsia" w:eastAsiaTheme="minorEastAsia" w:hAnsiTheme="minorEastAsia" w:hint="eastAsia"/>
                <w:color w:val="000000"/>
                <w:sz w:val="24"/>
                <w:szCs w:val="24"/>
              </w:rPr>
              <w:t>0</w:t>
            </w:r>
            <w:r w:rsidRPr="009636BB">
              <w:rPr>
                <w:rFonts w:asciiTheme="minorEastAsia" w:eastAsiaTheme="minorEastAsia" w:hAnsiTheme="minorEastAsia"/>
                <w:color w:val="000000"/>
                <w:sz w:val="24"/>
                <w:szCs w:val="24"/>
              </w:rPr>
              <w:t>.</w:t>
            </w:r>
            <w:r w:rsidRPr="009636BB">
              <w:rPr>
                <w:rFonts w:asciiTheme="minorEastAsia" w:eastAsiaTheme="minorEastAsia" w:hAnsiTheme="minorEastAsia" w:hint="eastAsia"/>
                <w:color w:val="000000"/>
                <w:sz w:val="24"/>
                <w:szCs w:val="24"/>
              </w:rPr>
              <w:t>6</w:t>
            </w:r>
            <w:r w:rsidRPr="009636BB">
              <w:rPr>
                <w:rFonts w:asciiTheme="minorEastAsia" w:eastAsiaTheme="minorEastAsia" w:hAnsiTheme="minorEastAsia"/>
                <w:color w:val="000000"/>
                <w:sz w:val="24"/>
                <w:szCs w:val="24"/>
              </w:rPr>
              <w:t>0%</w:t>
            </w:r>
          </w:p>
        </w:tc>
      </w:tr>
      <w:tr w:rsidR="00F3557E" w:rsidRPr="005F6724" w:rsidTr="001526A7">
        <w:trPr>
          <w:jc w:val="center"/>
        </w:trPr>
        <w:tc>
          <w:tcPr>
            <w:tcW w:w="3228" w:type="dxa"/>
            <w:tcBorders>
              <w:top w:val="single" w:sz="4" w:space="0" w:color="auto"/>
              <w:left w:val="single" w:sz="4" w:space="0" w:color="auto"/>
              <w:bottom w:val="single" w:sz="4" w:space="0" w:color="auto"/>
              <w:right w:val="single" w:sz="4" w:space="0" w:color="auto"/>
            </w:tcBorders>
            <w:shd w:val="clear" w:color="auto" w:fill="auto"/>
            <w:vAlign w:val="center"/>
          </w:tcPr>
          <w:p w:rsidR="00F3557E" w:rsidRPr="009636BB" w:rsidRDefault="00F3557E" w:rsidP="00437C06">
            <w:pPr>
              <w:spacing w:line="360" w:lineRule="auto"/>
              <w:jc w:val="center"/>
              <w:rPr>
                <w:rFonts w:asciiTheme="minorEastAsia" w:eastAsiaTheme="minorEastAsia" w:hAnsiTheme="minorEastAsia"/>
                <w:color w:val="000000"/>
                <w:sz w:val="24"/>
                <w:szCs w:val="24"/>
              </w:rPr>
            </w:pPr>
            <w:r w:rsidRPr="009636BB">
              <w:rPr>
                <w:rFonts w:asciiTheme="minorEastAsia" w:eastAsiaTheme="minorEastAsia" w:hAnsiTheme="minorEastAsia" w:hint="eastAsia"/>
                <w:color w:val="000000"/>
                <w:sz w:val="24"/>
                <w:szCs w:val="24"/>
              </w:rPr>
              <w:t>100万≤M＜300万</w:t>
            </w:r>
          </w:p>
        </w:tc>
        <w:tc>
          <w:tcPr>
            <w:tcW w:w="2863" w:type="dxa"/>
            <w:tcBorders>
              <w:top w:val="single" w:sz="4" w:space="0" w:color="auto"/>
              <w:left w:val="single" w:sz="4" w:space="0" w:color="auto"/>
              <w:bottom w:val="single" w:sz="4" w:space="0" w:color="auto"/>
              <w:right w:val="single" w:sz="4" w:space="0" w:color="auto"/>
            </w:tcBorders>
            <w:shd w:val="clear" w:color="auto" w:fill="auto"/>
            <w:vAlign w:val="center"/>
          </w:tcPr>
          <w:p w:rsidR="00F3557E" w:rsidRPr="009636BB" w:rsidRDefault="00F3557E" w:rsidP="00437C06">
            <w:pPr>
              <w:spacing w:line="360" w:lineRule="auto"/>
              <w:jc w:val="center"/>
              <w:rPr>
                <w:rFonts w:asciiTheme="minorEastAsia" w:eastAsiaTheme="minorEastAsia" w:hAnsiTheme="minorEastAsia"/>
                <w:color w:val="000000"/>
                <w:sz w:val="24"/>
                <w:szCs w:val="24"/>
              </w:rPr>
            </w:pPr>
            <w:r w:rsidRPr="009636BB">
              <w:rPr>
                <w:rFonts w:asciiTheme="minorEastAsia" w:eastAsiaTheme="minorEastAsia" w:hAnsiTheme="minorEastAsia"/>
                <w:color w:val="000000"/>
                <w:sz w:val="24"/>
                <w:szCs w:val="24"/>
              </w:rPr>
              <w:t>0.</w:t>
            </w:r>
            <w:r w:rsidRPr="009636BB">
              <w:rPr>
                <w:rFonts w:asciiTheme="minorEastAsia" w:eastAsiaTheme="minorEastAsia" w:hAnsiTheme="minorEastAsia" w:hint="eastAsia"/>
                <w:color w:val="000000"/>
                <w:sz w:val="24"/>
                <w:szCs w:val="24"/>
              </w:rPr>
              <w:t>4</w:t>
            </w:r>
            <w:r w:rsidRPr="009636BB">
              <w:rPr>
                <w:rFonts w:asciiTheme="minorEastAsia" w:eastAsiaTheme="minorEastAsia" w:hAnsiTheme="minorEastAsia"/>
                <w:color w:val="000000"/>
                <w:sz w:val="24"/>
                <w:szCs w:val="24"/>
              </w:rPr>
              <w:t>0%</w:t>
            </w:r>
          </w:p>
        </w:tc>
      </w:tr>
      <w:tr w:rsidR="00F3557E" w:rsidRPr="005F6724" w:rsidTr="001526A7">
        <w:trPr>
          <w:jc w:val="center"/>
        </w:trPr>
        <w:tc>
          <w:tcPr>
            <w:tcW w:w="3228" w:type="dxa"/>
            <w:tcBorders>
              <w:top w:val="single" w:sz="4" w:space="0" w:color="auto"/>
              <w:left w:val="single" w:sz="4" w:space="0" w:color="auto"/>
              <w:bottom w:val="single" w:sz="4" w:space="0" w:color="auto"/>
              <w:right w:val="single" w:sz="4" w:space="0" w:color="auto"/>
            </w:tcBorders>
            <w:shd w:val="clear" w:color="auto" w:fill="auto"/>
            <w:vAlign w:val="center"/>
          </w:tcPr>
          <w:p w:rsidR="00F3557E" w:rsidRPr="009636BB" w:rsidRDefault="00F3557E" w:rsidP="00437C06">
            <w:pPr>
              <w:spacing w:line="360" w:lineRule="auto"/>
              <w:jc w:val="center"/>
              <w:rPr>
                <w:rFonts w:asciiTheme="minorEastAsia" w:eastAsiaTheme="minorEastAsia" w:hAnsiTheme="minorEastAsia"/>
                <w:color w:val="000000"/>
                <w:sz w:val="24"/>
                <w:szCs w:val="24"/>
              </w:rPr>
            </w:pPr>
            <w:r w:rsidRPr="009636BB">
              <w:rPr>
                <w:rFonts w:asciiTheme="minorEastAsia" w:eastAsiaTheme="minorEastAsia" w:hAnsiTheme="minorEastAsia" w:hint="eastAsia"/>
                <w:color w:val="000000"/>
                <w:sz w:val="24"/>
                <w:szCs w:val="24"/>
              </w:rPr>
              <w:t>300万≤M＜500万</w:t>
            </w:r>
          </w:p>
        </w:tc>
        <w:tc>
          <w:tcPr>
            <w:tcW w:w="2863" w:type="dxa"/>
            <w:tcBorders>
              <w:top w:val="single" w:sz="4" w:space="0" w:color="auto"/>
              <w:left w:val="single" w:sz="4" w:space="0" w:color="auto"/>
              <w:bottom w:val="single" w:sz="4" w:space="0" w:color="auto"/>
              <w:right w:val="single" w:sz="4" w:space="0" w:color="auto"/>
            </w:tcBorders>
            <w:shd w:val="clear" w:color="auto" w:fill="auto"/>
            <w:vAlign w:val="center"/>
          </w:tcPr>
          <w:p w:rsidR="00F3557E" w:rsidRPr="009636BB" w:rsidRDefault="00F3557E" w:rsidP="00437C06">
            <w:pPr>
              <w:spacing w:line="360" w:lineRule="auto"/>
              <w:jc w:val="center"/>
              <w:rPr>
                <w:rFonts w:asciiTheme="minorEastAsia" w:eastAsiaTheme="minorEastAsia" w:hAnsiTheme="minorEastAsia"/>
                <w:color w:val="000000"/>
                <w:sz w:val="24"/>
                <w:szCs w:val="24"/>
              </w:rPr>
            </w:pPr>
            <w:r w:rsidRPr="009636BB">
              <w:rPr>
                <w:rFonts w:asciiTheme="minorEastAsia" w:eastAsiaTheme="minorEastAsia" w:hAnsiTheme="minorEastAsia" w:hint="eastAsia"/>
                <w:color w:val="000000"/>
                <w:sz w:val="24"/>
                <w:szCs w:val="24"/>
              </w:rPr>
              <w:t>0.20%</w:t>
            </w:r>
          </w:p>
        </w:tc>
      </w:tr>
      <w:tr w:rsidR="00F3557E" w:rsidRPr="005F6724" w:rsidTr="001526A7">
        <w:trPr>
          <w:jc w:val="center"/>
        </w:trPr>
        <w:tc>
          <w:tcPr>
            <w:tcW w:w="3228" w:type="dxa"/>
            <w:tcBorders>
              <w:top w:val="single" w:sz="4" w:space="0" w:color="auto"/>
              <w:left w:val="single" w:sz="4" w:space="0" w:color="auto"/>
              <w:bottom w:val="single" w:sz="4" w:space="0" w:color="auto"/>
              <w:right w:val="single" w:sz="4" w:space="0" w:color="auto"/>
            </w:tcBorders>
            <w:shd w:val="clear" w:color="auto" w:fill="auto"/>
            <w:vAlign w:val="center"/>
          </w:tcPr>
          <w:p w:rsidR="00F3557E" w:rsidRPr="009636BB" w:rsidRDefault="00F3557E" w:rsidP="00437C06">
            <w:pPr>
              <w:spacing w:line="360" w:lineRule="auto"/>
              <w:jc w:val="center"/>
              <w:rPr>
                <w:rFonts w:asciiTheme="minorEastAsia" w:eastAsiaTheme="minorEastAsia" w:hAnsiTheme="minorEastAsia"/>
                <w:color w:val="000000"/>
                <w:sz w:val="24"/>
                <w:szCs w:val="24"/>
              </w:rPr>
            </w:pPr>
            <w:r w:rsidRPr="009636BB">
              <w:rPr>
                <w:rFonts w:asciiTheme="minorEastAsia" w:eastAsiaTheme="minorEastAsia" w:hAnsiTheme="minorEastAsia" w:hint="eastAsia"/>
                <w:color w:val="000000"/>
                <w:sz w:val="24"/>
                <w:szCs w:val="24"/>
              </w:rPr>
              <w:t>M≥500万</w:t>
            </w:r>
          </w:p>
        </w:tc>
        <w:tc>
          <w:tcPr>
            <w:tcW w:w="2863" w:type="dxa"/>
            <w:tcBorders>
              <w:top w:val="single" w:sz="4" w:space="0" w:color="auto"/>
              <w:left w:val="single" w:sz="4" w:space="0" w:color="auto"/>
              <w:bottom w:val="single" w:sz="4" w:space="0" w:color="auto"/>
              <w:right w:val="single" w:sz="4" w:space="0" w:color="auto"/>
            </w:tcBorders>
            <w:shd w:val="clear" w:color="auto" w:fill="auto"/>
            <w:vAlign w:val="center"/>
          </w:tcPr>
          <w:p w:rsidR="00F3557E" w:rsidRPr="009636BB" w:rsidRDefault="00F3557E" w:rsidP="00437C06">
            <w:pPr>
              <w:spacing w:line="360" w:lineRule="auto"/>
              <w:jc w:val="center"/>
              <w:rPr>
                <w:rFonts w:asciiTheme="minorEastAsia" w:eastAsiaTheme="minorEastAsia" w:hAnsiTheme="minorEastAsia"/>
                <w:color w:val="000000"/>
                <w:sz w:val="24"/>
                <w:szCs w:val="24"/>
              </w:rPr>
            </w:pPr>
            <w:r w:rsidRPr="009636BB">
              <w:rPr>
                <w:rFonts w:asciiTheme="minorEastAsia" w:eastAsiaTheme="minorEastAsia" w:hAnsiTheme="minorEastAsia" w:hint="eastAsia"/>
                <w:color w:val="000000"/>
                <w:sz w:val="24"/>
                <w:szCs w:val="24"/>
              </w:rPr>
              <w:t>每笔1,000元</w:t>
            </w:r>
          </w:p>
        </w:tc>
      </w:tr>
    </w:tbl>
    <w:p w:rsidR="00752A9C" w:rsidRDefault="000B693A" w:rsidP="00F3557E">
      <w:pPr>
        <w:spacing w:line="560" w:lineRule="exact"/>
        <w:rPr>
          <w:rFonts w:asciiTheme="minorEastAsia" w:eastAsiaTheme="minorEastAsia" w:hAnsiTheme="minorEastAsia"/>
          <w:b/>
          <w:color w:val="000000"/>
          <w:sz w:val="24"/>
          <w:szCs w:val="24"/>
        </w:rPr>
      </w:pPr>
      <w:r w:rsidRPr="00FF7AA4">
        <w:rPr>
          <w:rFonts w:asciiTheme="minorEastAsia" w:eastAsiaTheme="minorEastAsia" w:hAnsiTheme="minorEastAsia" w:hint="eastAsia"/>
          <w:b/>
          <w:color w:val="000000"/>
          <w:sz w:val="24"/>
          <w:szCs w:val="24"/>
        </w:rPr>
        <w:t>3</w:t>
      </w:r>
      <w:r w:rsidR="00752A9C" w:rsidRPr="00FF7AA4">
        <w:rPr>
          <w:rFonts w:asciiTheme="minorEastAsia" w:eastAsiaTheme="minorEastAsia" w:hAnsiTheme="minorEastAsia"/>
          <w:b/>
          <w:color w:val="000000"/>
          <w:sz w:val="24"/>
          <w:szCs w:val="24"/>
        </w:rPr>
        <w:t>.</w:t>
      </w:r>
      <w:r w:rsidRPr="00FF7AA4">
        <w:rPr>
          <w:rFonts w:asciiTheme="minorEastAsia" w:eastAsiaTheme="minorEastAsia" w:hAnsiTheme="minorEastAsia" w:hint="eastAsia"/>
          <w:b/>
          <w:color w:val="000000"/>
          <w:sz w:val="24"/>
          <w:szCs w:val="24"/>
        </w:rPr>
        <w:t>3</w:t>
      </w:r>
      <w:r w:rsidR="00752A9C" w:rsidRPr="00FF7AA4">
        <w:rPr>
          <w:rFonts w:asciiTheme="minorEastAsia" w:eastAsiaTheme="minorEastAsia" w:hAnsiTheme="minorEastAsia"/>
          <w:b/>
          <w:color w:val="000000"/>
          <w:sz w:val="24"/>
          <w:szCs w:val="24"/>
        </w:rPr>
        <w:t xml:space="preserve"> 其他与申购相关的事项</w:t>
      </w:r>
    </w:p>
    <w:p w:rsidR="000250BE" w:rsidRDefault="000250BE" w:rsidP="000250BE">
      <w:pPr>
        <w:spacing w:line="360" w:lineRule="auto"/>
        <w:ind w:firstLineChars="200" w:firstLine="480"/>
        <w:rPr>
          <w:rFonts w:asciiTheme="minorEastAsia" w:eastAsiaTheme="minorEastAsia" w:hAnsiTheme="minorEastAsia"/>
          <w:color w:val="000000"/>
          <w:sz w:val="24"/>
          <w:szCs w:val="24"/>
        </w:rPr>
      </w:pPr>
      <w:bookmarkStart w:id="3" w:name="_Toc275961398"/>
      <w:r>
        <w:rPr>
          <w:rFonts w:asciiTheme="minorEastAsia" w:eastAsiaTheme="minorEastAsia" w:hAnsiTheme="minorEastAsia" w:hint="eastAsia"/>
          <w:color w:val="000000"/>
          <w:sz w:val="24"/>
          <w:szCs w:val="24"/>
        </w:rPr>
        <w:t>基金管理人可根据具体业务以及市场等情况，在法律法规允许的情况下，在基金合同约定的范围内调整上述申购费率或收费方式，并应于新的费率或收费方式实施日前依照</w:t>
      </w:r>
      <w:r>
        <w:rPr>
          <w:rFonts w:asciiTheme="minorEastAsia" w:eastAsiaTheme="minorEastAsia" w:hAnsiTheme="minorEastAsia"/>
          <w:color w:val="000000"/>
          <w:sz w:val="24"/>
          <w:szCs w:val="24"/>
        </w:rPr>
        <w:t>《</w:t>
      </w:r>
      <w:r w:rsidRPr="000A6031">
        <w:rPr>
          <w:rFonts w:asciiTheme="minorEastAsia" w:eastAsiaTheme="minorEastAsia" w:hAnsiTheme="minorEastAsia" w:hint="eastAsia"/>
          <w:color w:val="000000"/>
          <w:sz w:val="24"/>
          <w:szCs w:val="24"/>
        </w:rPr>
        <w:t>信息披露办法》</w:t>
      </w:r>
      <w:r>
        <w:rPr>
          <w:rFonts w:asciiTheme="minorEastAsia" w:eastAsiaTheme="minorEastAsia" w:hAnsiTheme="minorEastAsia" w:hint="eastAsia"/>
          <w:color w:val="000000"/>
          <w:sz w:val="24"/>
          <w:szCs w:val="24"/>
        </w:rPr>
        <w:t>的有关规定在</w:t>
      </w:r>
      <w:r w:rsidR="00744359">
        <w:rPr>
          <w:rFonts w:asciiTheme="minorEastAsia" w:eastAsiaTheme="minorEastAsia" w:hAnsiTheme="minorEastAsia" w:hint="eastAsia"/>
          <w:color w:val="000000"/>
          <w:sz w:val="24"/>
          <w:szCs w:val="24"/>
        </w:rPr>
        <w:t>规定</w:t>
      </w:r>
      <w:r>
        <w:rPr>
          <w:rFonts w:asciiTheme="minorEastAsia" w:eastAsiaTheme="minorEastAsia" w:hAnsiTheme="minorEastAsia" w:hint="eastAsia"/>
          <w:color w:val="000000"/>
          <w:sz w:val="24"/>
          <w:szCs w:val="24"/>
        </w:rPr>
        <w:t>媒介上公告，届时以基金管理人最新披露的公告为准。</w:t>
      </w:r>
    </w:p>
    <w:p w:rsidR="00752A9C" w:rsidRPr="00FF7AA4" w:rsidRDefault="000B693A" w:rsidP="00752A9C">
      <w:pPr>
        <w:pStyle w:val="2"/>
        <w:spacing w:line="560" w:lineRule="exact"/>
        <w:rPr>
          <w:rFonts w:asciiTheme="minorEastAsia" w:eastAsiaTheme="minorEastAsia" w:hAnsiTheme="minorEastAsia"/>
          <w:bCs w:val="0"/>
          <w:color w:val="000000"/>
          <w:sz w:val="24"/>
          <w:szCs w:val="24"/>
        </w:rPr>
      </w:pPr>
      <w:r w:rsidRPr="00FF7AA4">
        <w:rPr>
          <w:rFonts w:asciiTheme="minorEastAsia" w:eastAsiaTheme="minorEastAsia" w:hAnsiTheme="minorEastAsia" w:hint="eastAsia"/>
          <w:bCs w:val="0"/>
          <w:color w:val="000000"/>
          <w:sz w:val="24"/>
          <w:szCs w:val="24"/>
        </w:rPr>
        <w:t>4</w:t>
      </w:r>
      <w:r w:rsidR="00752A9C" w:rsidRPr="00FF7AA4">
        <w:rPr>
          <w:rFonts w:asciiTheme="minorEastAsia" w:eastAsiaTheme="minorEastAsia" w:hAnsiTheme="minorEastAsia"/>
          <w:bCs w:val="0"/>
          <w:color w:val="000000"/>
          <w:sz w:val="24"/>
          <w:szCs w:val="24"/>
        </w:rPr>
        <w:t xml:space="preserve"> 赎回业务</w:t>
      </w:r>
      <w:bookmarkEnd w:id="3"/>
    </w:p>
    <w:p w:rsidR="00752A9C" w:rsidRPr="00FF7AA4" w:rsidRDefault="000B693A" w:rsidP="00752A9C">
      <w:pPr>
        <w:spacing w:line="560" w:lineRule="exact"/>
        <w:rPr>
          <w:rFonts w:asciiTheme="minorEastAsia" w:eastAsiaTheme="minorEastAsia" w:hAnsiTheme="minorEastAsia"/>
          <w:b/>
          <w:color w:val="000000"/>
          <w:sz w:val="24"/>
          <w:szCs w:val="24"/>
        </w:rPr>
      </w:pPr>
      <w:r w:rsidRPr="00FF7AA4">
        <w:rPr>
          <w:rFonts w:asciiTheme="minorEastAsia" w:eastAsiaTheme="minorEastAsia" w:hAnsiTheme="minorEastAsia" w:hint="eastAsia"/>
          <w:b/>
          <w:color w:val="000000"/>
          <w:sz w:val="24"/>
          <w:szCs w:val="24"/>
        </w:rPr>
        <w:t>4</w:t>
      </w:r>
      <w:r w:rsidRPr="00FF7AA4">
        <w:rPr>
          <w:rFonts w:asciiTheme="minorEastAsia" w:eastAsiaTheme="minorEastAsia" w:hAnsiTheme="minorEastAsia"/>
          <w:b/>
          <w:color w:val="000000"/>
          <w:sz w:val="24"/>
          <w:szCs w:val="24"/>
        </w:rPr>
        <w:t>.</w:t>
      </w:r>
      <w:r w:rsidRPr="00FF7AA4">
        <w:rPr>
          <w:rFonts w:asciiTheme="minorEastAsia" w:eastAsiaTheme="minorEastAsia" w:hAnsiTheme="minorEastAsia" w:hint="eastAsia"/>
          <w:b/>
          <w:color w:val="000000"/>
          <w:sz w:val="24"/>
          <w:szCs w:val="24"/>
        </w:rPr>
        <w:t>1</w:t>
      </w:r>
      <w:r w:rsidR="00752A9C" w:rsidRPr="00FF7AA4">
        <w:rPr>
          <w:rFonts w:asciiTheme="minorEastAsia" w:eastAsiaTheme="minorEastAsia" w:hAnsiTheme="minorEastAsia"/>
          <w:b/>
          <w:color w:val="000000"/>
          <w:sz w:val="24"/>
          <w:szCs w:val="24"/>
        </w:rPr>
        <w:t xml:space="preserve"> 赎回份额限制</w:t>
      </w:r>
    </w:p>
    <w:p w:rsidR="00F3557E" w:rsidRDefault="00F3557E" w:rsidP="00F3557E">
      <w:pPr>
        <w:spacing w:line="360" w:lineRule="auto"/>
        <w:ind w:firstLineChars="200" w:firstLine="480"/>
        <w:rPr>
          <w:rFonts w:asciiTheme="minorEastAsia" w:eastAsiaTheme="minorEastAsia" w:hAnsiTheme="minorEastAsia"/>
          <w:color w:val="000000"/>
          <w:sz w:val="24"/>
          <w:szCs w:val="24"/>
        </w:rPr>
      </w:pPr>
      <w:r w:rsidRPr="00F3557E">
        <w:rPr>
          <w:rFonts w:asciiTheme="minorEastAsia" w:eastAsiaTheme="minorEastAsia" w:hAnsiTheme="minorEastAsia" w:hint="eastAsia"/>
          <w:color w:val="000000"/>
          <w:sz w:val="24"/>
          <w:szCs w:val="24"/>
        </w:rPr>
        <w:t>基金份额持有人在销售机构赎回基金份额时，每次赎回申请不得低于</w:t>
      </w:r>
      <w:r w:rsidR="004F5483">
        <w:rPr>
          <w:rFonts w:asciiTheme="minorEastAsia" w:eastAsiaTheme="minorEastAsia" w:hAnsiTheme="minorEastAsia"/>
          <w:color w:val="000000"/>
          <w:sz w:val="24"/>
          <w:szCs w:val="24"/>
        </w:rPr>
        <w:t>1</w:t>
      </w:r>
      <w:r w:rsidRPr="00F3557E">
        <w:rPr>
          <w:rFonts w:asciiTheme="minorEastAsia" w:eastAsiaTheme="minorEastAsia" w:hAnsiTheme="minorEastAsia" w:hint="eastAsia"/>
          <w:color w:val="000000"/>
          <w:sz w:val="24"/>
          <w:szCs w:val="24"/>
        </w:rPr>
        <w:t>份基金份额，同时赎回份额必须是整数份额。</w:t>
      </w:r>
      <w:r w:rsidR="00482DFB">
        <w:rPr>
          <w:rFonts w:asciiTheme="minorEastAsia" w:eastAsiaTheme="minorEastAsia" w:hAnsiTheme="minorEastAsia" w:hint="eastAsia"/>
          <w:color w:val="000000"/>
          <w:sz w:val="24"/>
          <w:szCs w:val="24"/>
        </w:rPr>
        <w:t>投资者</w:t>
      </w:r>
      <w:r w:rsidRPr="00F3557E">
        <w:rPr>
          <w:rFonts w:asciiTheme="minorEastAsia" w:eastAsiaTheme="minorEastAsia" w:hAnsiTheme="minorEastAsia" w:hint="eastAsia"/>
          <w:color w:val="000000"/>
          <w:sz w:val="24"/>
          <w:szCs w:val="24"/>
        </w:rPr>
        <w:t>全额赎回时不受上述限制。</w:t>
      </w:r>
      <w:r>
        <w:rPr>
          <w:rFonts w:asciiTheme="minorEastAsia" w:eastAsiaTheme="minorEastAsia" w:hAnsiTheme="minorEastAsia" w:hint="eastAsia"/>
          <w:color w:val="000000"/>
          <w:sz w:val="24"/>
          <w:szCs w:val="24"/>
        </w:rPr>
        <w:t xml:space="preserve">  </w:t>
      </w:r>
    </w:p>
    <w:p w:rsidR="00F3557E" w:rsidRDefault="00F3557E" w:rsidP="00F3557E">
      <w:pPr>
        <w:spacing w:line="360" w:lineRule="auto"/>
        <w:ind w:firstLineChars="200" w:firstLine="480"/>
        <w:rPr>
          <w:rFonts w:asciiTheme="minorEastAsia" w:eastAsiaTheme="minorEastAsia" w:hAnsiTheme="minorEastAsia"/>
          <w:color w:val="000000"/>
          <w:sz w:val="24"/>
          <w:szCs w:val="24"/>
        </w:rPr>
      </w:pPr>
      <w:r w:rsidRPr="00F3557E">
        <w:rPr>
          <w:rFonts w:asciiTheme="minorEastAsia" w:eastAsiaTheme="minorEastAsia" w:hAnsiTheme="minorEastAsia" w:hint="eastAsia"/>
          <w:color w:val="000000"/>
          <w:sz w:val="24"/>
          <w:szCs w:val="24"/>
        </w:rPr>
        <w:t>每个工作日基金份额持有人在销售机构单个交易账户保留的本基金基金份额余额不足</w:t>
      </w:r>
      <w:r w:rsidR="004F5483">
        <w:rPr>
          <w:rFonts w:asciiTheme="minorEastAsia" w:eastAsiaTheme="minorEastAsia" w:hAnsiTheme="minorEastAsia"/>
          <w:color w:val="000000"/>
          <w:sz w:val="24"/>
          <w:szCs w:val="24"/>
        </w:rPr>
        <w:t>0.01</w:t>
      </w:r>
      <w:r w:rsidRPr="00F3557E">
        <w:rPr>
          <w:rFonts w:asciiTheme="minorEastAsia" w:eastAsiaTheme="minorEastAsia" w:hAnsiTheme="minorEastAsia" w:hint="eastAsia"/>
          <w:color w:val="000000"/>
          <w:sz w:val="24"/>
          <w:szCs w:val="24"/>
        </w:rPr>
        <w:t>份时，若当日该账户同时有份额减少类业务（如赎回等）被确认，则基金管理人有权将基金份额持有人在该账户保留的本基金基金份额余额一次性同时全部赎回。</w:t>
      </w:r>
    </w:p>
    <w:p w:rsidR="00752A9C" w:rsidRPr="00FF7AA4" w:rsidRDefault="000B693A" w:rsidP="0081443F">
      <w:pPr>
        <w:spacing w:line="360" w:lineRule="auto"/>
        <w:rPr>
          <w:rFonts w:asciiTheme="minorEastAsia" w:eastAsiaTheme="minorEastAsia" w:hAnsiTheme="minorEastAsia"/>
          <w:b/>
          <w:color w:val="000000"/>
          <w:sz w:val="24"/>
          <w:szCs w:val="24"/>
        </w:rPr>
      </w:pPr>
      <w:r w:rsidRPr="00FF7AA4">
        <w:rPr>
          <w:rFonts w:asciiTheme="minorEastAsia" w:eastAsiaTheme="minorEastAsia" w:hAnsiTheme="minorEastAsia" w:hint="eastAsia"/>
          <w:b/>
          <w:color w:val="000000"/>
          <w:sz w:val="24"/>
          <w:szCs w:val="24"/>
        </w:rPr>
        <w:t>4</w:t>
      </w:r>
      <w:r w:rsidRPr="00FF7AA4">
        <w:rPr>
          <w:rFonts w:asciiTheme="minorEastAsia" w:eastAsiaTheme="minorEastAsia" w:hAnsiTheme="minorEastAsia"/>
          <w:b/>
          <w:color w:val="000000"/>
          <w:sz w:val="24"/>
          <w:szCs w:val="24"/>
        </w:rPr>
        <w:t>.</w:t>
      </w:r>
      <w:r w:rsidRPr="00FF7AA4">
        <w:rPr>
          <w:rFonts w:asciiTheme="minorEastAsia" w:eastAsiaTheme="minorEastAsia" w:hAnsiTheme="minorEastAsia" w:hint="eastAsia"/>
          <w:b/>
          <w:color w:val="000000"/>
          <w:sz w:val="24"/>
          <w:szCs w:val="24"/>
        </w:rPr>
        <w:t>2</w:t>
      </w:r>
      <w:r w:rsidR="00752A9C" w:rsidRPr="00FF7AA4">
        <w:rPr>
          <w:rFonts w:asciiTheme="minorEastAsia" w:eastAsiaTheme="minorEastAsia" w:hAnsiTheme="minorEastAsia"/>
          <w:b/>
          <w:color w:val="000000"/>
          <w:sz w:val="24"/>
          <w:szCs w:val="24"/>
        </w:rPr>
        <w:t xml:space="preserve"> 赎回费率</w:t>
      </w:r>
    </w:p>
    <w:p w:rsidR="00F3557E" w:rsidRPr="00437C06" w:rsidRDefault="00F3557E" w:rsidP="00F3557E">
      <w:pPr>
        <w:adjustRightInd w:val="0"/>
        <w:snapToGrid w:val="0"/>
        <w:spacing w:line="360" w:lineRule="auto"/>
        <w:ind w:firstLineChars="200" w:firstLine="480"/>
        <w:rPr>
          <w:rFonts w:asciiTheme="minorEastAsia" w:eastAsiaTheme="minorEastAsia" w:hAnsiTheme="minorEastAsia"/>
          <w:color w:val="000000"/>
          <w:sz w:val="24"/>
          <w:szCs w:val="24"/>
        </w:rPr>
      </w:pPr>
      <w:r w:rsidRPr="00437C06">
        <w:rPr>
          <w:rFonts w:asciiTheme="minorEastAsia" w:eastAsiaTheme="minorEastAsia" w:hAnsiTheme="minorEastAsia" w:hint="eastAsia"/>
          <w:color w:val="000000"/>
          <w:sz w:val="24"/>
          <w:szCs w:val="24"/>
        </w:rPr>
        <w:t>本基金仅对在同一开放期内申购后又赎回的基金份额收取赎回费。本基金的赎回费率如下：</w:t>
      </w:r>
    </w:p>
    <w:tbl>
      <w:tblPr>
        <w:tblW w:w="684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10"/>
        <w:gridCol w:w="1730"/>
      </w:tblGrid>
      <w:tr w:rsidR="00F3557E" w:rsidRPr="009636BB" w:rsidTr="00911A52">
        <w:trPr>
          <w:trHeight w:val="157"/>
        </w:trPr>
        <w:tc>
          <w:tcPr>
            <w:tcW w:w="5110" w:type="dxa"/>
            <w:tcBorders>
              <w:top w:val="single" w:sz="4" w:space="0" w:color="auto"/>
              <w:left w:val="single" w:sz="4" w:space="0" w:color="auto"/>
              <w:bottom w:val="single" w:sz="4" w:space="0" w:color="auto"/>
              <w:right w:val="single" w:sz="4" w:space="0" w:color="auto"/>
            </w:tcBorders>
            <w:vAlign w:val="center"/>
          </w:tcPr>
          <w:p w:rsidR="00F3557E" w:rsidRPr="009636BB" w:rsidRDefault="00F3557E" w:rsidP="00437C06">
            <w:pPr>
              <w:spacing w:line="360" w:lineRule="auto"/>
              <w:jc w:val="center"/>
              <w:rPr>
                <w:rFonts w:asciiTheme="minorEastAsia" w:eastAsiaTheme="minorEastAsia" w:hAnsiTheme="minorEastAsia"/>
                <w:color w:val="000000"/>
                <w:sz w:val="24"/>
                <w:szCs w:val="24"/>
              </w:rPr>
            </w:pPr>
            <w:r w:rsidRPr="009636BB">
              <w:rPr>
                <w:rFonts w:asciiTheme="minorEastAsia" w:eastAsiaTheme="minorEastAsia" w:hAnsiTheme="minorEastAsia"/>
                <w:color w:val="000000"/>
                <w:sz w:val="24"/>
                <w:szCs w:val="24"/>
              </w:rPr>
              <w:t>持有时间（T）</w:t>
            </w:r>
          </w:p>
        </w:tc>
        <w:tc>
          <w:tcPr>
            <w:tcW w:w="1730" w:type="dxa"/>
            <w:tcBorders>
              <w:top w:val="single" w:sz="4" w:space="0" w:color="auto"/>
              <w:left w:val="single" w:sz="4" w:space="0" w:color="auto"/>
              <w:bottom w:val="single" w:sz="4" w:space="0" w:color="auto"/>
              <w:right w:val="single" w:sz="4" w:space="0" w:color="auto"/>
            </w:tcBorders>
            <w:vAlign w:val="center"/>
          </w:tcPr>
          <w:p w:rsidR="00F3557E" w:rsidRPr="009636BB" w:rsidRDefault="00F3557E" w:rsidP="00437C06">
            <w:pPr>
              <w:spacing w:line="360" w:lineRule="auto"/>
              <w:ind w:firstLineChars="200" w:firstLine="480"/>
              <w:jc w:val="left"/>
              <w:rPr>
                <w:rFonts w:asciiTheme="minorEastAsia" w:eastAsiaTheme="minorEastAsia" w:hAnsiTheme="minorEastAsia"/>
                <w:color w:val="000000"/>
                <w:sz w:val="24"/>
                <w:szCs w:val="24"/>
              </w:rPr>
            </w:pPr>
            <w:r w:rsidRPr="009636BB">
              <w:rPr>
                <w:rFonts w:asciiTheme="minorEastAsia" w:eastAsiaTheme="minorEastAsia" w:hAnsiTheme="minorEastAsia"/>
                <w:color w:val="000000"/>
                <w:sz w:val="24"/>
                <w:szCs w:val="24"/>
              </w:rPr>
              <w:t>赎回费率</w:t>
            </w:r>
          </w:p>
        </w:tc>
      </w:tr>
      <w:tr w:rsidR="00F3557E" w:rsidRPr="009636BB" w:rsidTr="00F3557E">
        <w:tc>
          <w:tcPr>
            <w:tcW w:w="5110" w:type="dxa"/>
            <w:tcBorders>
              <w:top w:val="single" w:sz="4" w:space="0" w:color="auto"/>
              <w:left w:val="single" w:sz="4" w:space="0" w:color="auto"/>
              <w:bottom w:val="single" w:sz="4" w:space="0" w:color="auto"/>
              <w:right w:val="single" w:sz="4" w:space="0" w:color="auto"/>
            </w:tcBorders>
            <w:vAlign w:val="center"/>
          </w:tcPr>
          <w:p w:rsidR="00F3557E" w:rsidRPr="009636BB" w:rsidRDefault="00F3557E" w:rsidP="00437C06">
            <w:pPr>
              <w:spacing w:line="360" w:lineRule="auto"/>
              <w:jc w:val="center"/>
              <w:rPr>
                <w:rFonts w:asciiTheme="minorEastAsia" w:eastAsiaTheme="minorEastAsia" w:hAnsiTheme="minorEastAsia"/>
                <w:color w:val="000000"/>
                <w:sz w:val="24"/>
                <w:szCs w:val="24"/>
              </w:rPr>
            </w:pPr>
            <w:r w:rsidRPr="009636BB">
              <w:rPr>
                <w:rFonts w:asciiTheme="minorEastAsia" w:eastAsiaTheme="minorEastAsia" w:hAnsiTheme="minorEastAsia" w:hint="eastAsia"/>
                <w:color w:val="000000"/>
                <w:sz w:val="24"/>
                <w:szCs w:val="24"/>
              </w:rPr>
              <w:t>在同一开放期内申购后又赎回的份额</w:t>
            </w:r>
          </w:p>
        </w:tc>
        <w:tc>
          <w:tcPr>
            <w:tcW w:w="1730" w:type="dxa"/>
            <w:tcBorders>
              <w:top w:val="single" w:sz="4" w:space="0" w:color="auto"/>
              <w:left w:val="single" w:sz="4" w:space="0" w:color="auto"/>
              <w:bottom w:val="single" w:sz="4" w:space="0" w:color="auto"/>
              <w:right w:val="single" w:sz="4" w:space="0" w:color="auto"/>
            </w:tcBorders>
            <w:vAlign w:val="center"/>
          </w:tcPr>
          <w:p w:rsidR="00F3557E" w:rsidRPr="009636BB" w:rsidRDefault="00F3557E" w:rsidP="00437C06">
            <w:pPr>
              <w:spacing w:line="360" w:lineRule="auto"/>
              <w:jc w:val="center"/>
              <w:rPr>
                <w:rFonts w:asciiTheme="minorEastAsia" w:eastAsiaTheme="minorEastAsia" w:hAnsiTheme="minorEastAsia"/>
                <w:color w:val="000000"/>
                <w:sz w:val="24"/>
                <w:szCs w:val="24"/>
              </w:rPr>
            </w:pPr>
            <w:r w:rsidRPr="009636BB">
              <w:rPr>
                <w:rFonts w:asciiTheme="minorEastAsia" w:eastAsiaTheme="minorEastAsia" w:hAnsiTheme="minorEastAsia" w:hint="eastAsia"/>
                <w:color w:val="000000"/>
                <w:sz w:val="24"/>
                <w:szCs w:val="24"/>
              </w:rPr>
              <w:t>1.50%</w:t>
            </w:r>
          </w:p>
        </w:tc>
      </w:tr>
      <w:tr w:rsidR="00F3557E" w:rsidRPr="009636BB" w:rsidTr="00F3557E">
        <w:tc>
          <w:tcPr>
            <w:tcW w:w="5110" w:type="dxa"/>
            <w:tcBorders>
              <w:top w:val="single" w:sz="4" w:space="0" w:color="auto"/>
              <w:left w:val="single" w:sz="4" w:space="0" w:color="auto"/>
              <w:bottom w:val="single" w:sz="4" w:space="0" w:color="auto"/>
              <w:right w:val="single" w:sz="4" w:space="0" w:color="auto"/>
            </w:tcBorders>
            <w:vAlign w:val="center"/>
          </w:tcPr>
          <w:p w:rsidR="00F3557E" w:rsidRPr="009636BB" w:rsidRDefault="00F3557E" w:rsidP="00437C06">
            <w:pPr>
              <w:spacing w:line="360" w:lineRule="auto"/>
              <w:jc w:val="center"/>
              <w:rPr>
                <w:rFonts w:asciiTheme="minorEastAsia" w:eastAsiaTheme="minorEastAsia" w:hAnsiTheme="minorEastAsia"/>
                <w:color w:val="000000"/>
                <w:sz w:val="24"/>
                <w:szCs w:val="24"/>
              </w:rPr>
            </w:pPr>
            <w:r w:rsidRPr="009636BB">
              <w:rPr>
                <w:rFonts w:asciiTheme="minorEastAsia" w:eastAsiaTheme="minorEastAsia" w:hAnsiTheme="minorEastAsia" w:hint="eastAsia"/>
                <w:color w:val="000000"/>
                <w:sz w:val="24"/>
                <w:szCs w:val="24"/>
              </w:rPr>
              <w:t>持有一个或一个以上封闭期</w:t>
            </w:r>
          </w:p>
        </w:tc>
        <w:tc>
          <w:tcPr>
            <w:tcW w:w="1730" w:type="dxa"/>
            <w:tcBorders>
              <w:top w:val="single" w:sz="4" w:space="0" w:color="auto"/>
              <w:left w:val="single" w:sz="4" w:space="0" w:color="auto"/>
              <w:bottom w:val="single" w:sz="4" w:space="0" w:color="auto"/>
              <w:right w:val="single" w:sz="4" w:space="0" w:color="auto"/>
            </w:tcBorders>
            <w:vAlign w:val="center"/>
          </w:tcPr>
          <w:p w:rsidR="00F3557E" w:rsidRPr="009636BB" w:rsidRDefault="00F3557E" w:rsidP="00437C06">
            <w:pPr>
              <w:spacing w:line="360" w:lineRule="auto"/>
              <w:jc w:val="center"/>
              <w:rPr>
                <w:rFonts w:asciiTheme="minorEastAsia" w:eastAsiaTheme="minorEastAsia" w:hAnsiTheme="minorEastAsia"/>
                <w:color w:val="000000"/>
                <w:sz w:val="24"/>
                <w:szCs w:val="24"/>
              </w:rPr>
            </w:pPr>
            <w:r w:rsidRPr="009636BB">
              <w:rPr>
                <w:rFonts w:asciiTheme="minorEastAsia" w:eastAsiaTheme="minorEastAsia" w:hAnsiTheme="minorEastAsia" w:hint="eastAsia"/>
                <w:color w:val="000000"/>
                <w:sz w:val="24"/>
                <w:szCs w:val="24"/>
              </w:rPr>
              <w:t>0%</w:t>
            </w:r>
          </w:p>
        </w:tc>
      </w:tr>
    </w:tbl>
    <w:p w:rsidR="00F3557E" w:rsidRDefault="00F3557E" w:rsidP="00F3557E">
      <w:pPr>
        <w:spacing w:line="360" w:lineRule="auto"/>
        <w:ind w:firstLineChars="200" w:firstLine="480"/>
        <w:rPr>
          <w:rFonts w:ascii="Arial" w:eastAsia="宋体" w:hAnsi="Arial" w:cs="Arial"/>
          <w:kern w:val="0"/>
          <w:sz w:val="24"/>
          <w:szCs w:val="24"/>
        </w:rPr>
      </w:pPr>
      <w:r w:rsidRPr="00F3557E">
        <w:rPr>
          <w:rFonts w:ascii="Arial" w:eastAsia="宋体" w:hAnsi="Arial" w:cs="Arial" w:hint="eastAsia"/>
          <w:kern w:val="0"/>
          <w:sz w:val="24"/>
          <w:szCs w:val="24"/>
        </w:rPr>
        <w:t>赎回费用由赎回基金份额的基金份额持有人承担，在基金份额持有人赎回基金份额时收取，并全额归入基金财产。</w:t>
      </w:r>
    </w:p>
    <w:p w:rsidR="00752A9C" w:rsidRDefault="006279F3" w:rsidP="00752A9C">
      <w:pPr>
        <w:spacing w:line="560" w:lineRule="exact"/>
        <w:rPr>
          <w:rFonts w:asciiTheme="minorEastAsia" w:eastAsiaTheme="minorEastAsia" w:hAnsiTheme="minorEastAsia"/>
          <w:b/>
          <w:color w:val="000000"/>
          <w:sz w:val="24"/>
          <w:szCs w:val="24"/>
        </w:rPr>
      </w:pPr>
      <w:r w:rsidRPr="00FF7AA4">
        <w:rPr>
          <w:rFonts w:asciiTheme="minorEastAsia" w:eastAsiaTheme="minorEastAsia" w:hAnsiTheme="minorEastAsia" w:hint="eastAsia"/>
          <w:b/>
          <w:color w:val="000000"/>
          <w:sz w:val="24"/>
          <w:szCs w:val="24"/>
        </w:rPr>
        <w:t>4</w:t>
      </w:r>
      <w:r w:rsidRPr="00FF7AA4">
        <w:rPr>
          <w:rFonts w:asciiTheme="minorEastAsia" w:eastAsiaTheme="minorEastAsia" w:hAnsiTheme="minorEastAsia"/>
          <w:b/>
          <w:color w:val="000000"/>
          <w:sz w:val="24"/>
          <w:szCs w:val="24"/>
        </w:rPr>
        <w:t>.</w:t>
      </w:r>
      <w:r w:rsidRPr="00FF7AA4">
        <w:rPr>
          <w:rFonts w:asciiTheme="minorEastAsia" w:eastAsiaTheme="minorEastAsia" w:hAnsiTheme="minorEastAsia" w:hint="eastAsia"/>
          <w:b/>
          <w:color w:val="000000"/>
          <w:sz w:val="24"/>
          <w:szCs w:val="24"/>
        </w:rPr>
        <w:t>3</w:t>
      </w:r>
      <w:r w:rsidR="00752A9C" w:rsidRPr="00FF7AA4">
        <w:rPr>
          <w:rFonts w:asciiTheme="minorEastAsia" w:eastAsiaTheme="minorEastAsia" w:hAnsiTheme="minorEastAsia"/>
          <w:b/>
          <w:color w:val="000000"/>
          <w:sz w:val="24"/>
          <w:szCs w:val="24"/>
        </w:rPr>
        <w:t xml:space="preserve"> 其他与赎回相关的事项</w:t>
      </w:r>
    </w:p>
    <w:p w:rsidR="000250BE" w:rsidRDefault="000250BE" w:rsidP="000250BE">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基金管理人可根据具体业务以及市场等情况，在法律法规允许的情况下，在基金合同约定的范围内调整上述赎回费率或收费方式，并应于新的费率或收费方式实施日前依照</w:t>
      </w:r>
      <w:r w:rsidR="00226074">
        <w:rPr>
          <w:rFonts w:asciiTheme="minorEastAsia" w:eastAsiaTheme="minorEastAsia" w:hAnsiTheme="minorEastAsia"/>
          <w:color w:val="000000"/>
          <w:sz w:val="24"/>
          <w:szCs w:val="24"/>
        </w:rPr>
        <w:t>《</w:t>
      </w:r>
      <w:r w:rsidR="00226074" w:rsidRPr="000A6031">
        <w:rPr>
          <w:rFonts w:asciiTheme="minorEastAsia" w:eastAsiaTheme="minorEastAsia" w:hAnsiTheme="minorEastAsia" w:hint="eastAsia"/>
          <w:color w:val="000000"/>
          <w:sz w:val="24"/>
          <w:szCs w:val="24"/>
        </w:rPr>
        <w:t>信息披露办法》</w:t>
      </w:r>
      <w:r>
        <w:rPr>
          <w:rFonts w:asciiTheme="minorEastAsia" w:eastAsiaTheme="minorEastAsia" w:hAnsiTheme="minorEastAsia" w:hint="eastAsia"/>
          <w:color w:val="000000"/>
          <w:sz w:val="24"/>
          <w:szCs w:val="24"/>
        </w:rPr>
        <w:t>的有关规定在</w:t>
      </w:r>
      <w:r w:rsidR="00744359">
        <w:rPr>
          <w:rFonts w:asciiTheme="minorEastAsia" w:eastAsiaTheme="minorEastAsia" w:hAnsiTheme="minorEastAsia" w:hint="eastAsia"/>
          <w:color w:val="000000"/>
          <w:sz w:val="24"/>
          <w:szCs w:val="24"/>
        </w:rPr>
        <w:t>规定</w:t>
      </w:r>
      <w:r>
        <w:rPr>
          <w:rFonts w:asciiTheme="minorEastAsia" w:eastAsiaTheme="minorEastAsia" w:hAnsiTheme="minorEastAsia" w:hint="eastAsia"/>
          <w:color w:val="000000"/>
          <w:sz w:val="24"/>
          <w:szCs w:val="24"/>
        </w:rPr>
        <w:t>媒介上公告，届时以基金管理人最新披露的公告为准。</w:t>
      </w:r>
    </w:p>
    <w:p w:rsidR="00752A9C" w:rsidRPr="00FF7AA4" w:rsidRDefault="00D745E7" w:rsidP="00752A9C">
      <w:pPr>
        <w:pStyle w:val="2"/>
        <w:spacing w:line="560" w:lineRule="exact"/>
        <w:rPr>
          <w:rFonts w:asciiTheme="minorEastAsia" w:eastAsiaTheme="minorEastAsia" w:hAnsiTheme="minorEastAsia"/>
          <w:bCs w:val="0"/>
          <w:color w:val="000000"/>
          <w:sz w:val="24"/>
          <w:szCs w:val="24"/>
        </w:rPr>
      </w:pPr>
      <w:r>
        <w:rPr>
          <w:rFonts w:asciiTheme="minorEastAsia" w:eastAsiaTheme="minorEastAsia" w:hAnsiTheme="minorEastAsia" w:hint="eastAsia"/>
          <w:bCs w:val="0"/>
          <w:color w:val="000000"/>
          <w:sz w:val="24"/>
          <w:szCs w:val="24"/>
        </w:rPr>
        <w:t>5</w:t>
      </w:r>
      <w:r>
        <w:rPr>
          <w:rFonts w:asciiTheme="minorEastAsia" w:eastAsiaTheme="minorEastAsia" w:hAnsiTheme="minorEastAsia"/>
          <w:bCs w:val="0"/>
          <w:color w:val="000000"/>
          <w:sz w:val="24"/>
          <w:szCs w:val="24"/>
        </w:rPr>
        <w:t xml:space="preserve"> </w:t>
      </w:r>
      <w:r w:rsidR="00752A9C" w:rsidRPr="00FF7AA4">
        <w:rPr>
          <w:rFonts w:asciiTheme="minorEastAsia" w:eastAsiaTheme="minorEastAsia" w:hAnsiTheme="minorEastAsia"/>
          <w:bCs w:val="0"/>
          <w:color w:val="000000"/>
          <w:sz w:val="24"/>
          <w:szCs w:val="24"/>
        </w:rPr>
        <w:t>基金销售机构</w:t>
      </w:r>
    </w:p>
    <w:p w:rsidR="00752A9C" w:rsidRPr="00FF7AA4" w:rsidRDefault="00D745E7" w:rsidP="00752A9C">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5</w:t>
      </w:r>
      <w:r w:rsidR="00752A9C" w:rsidRPr="00FF7AA4">
        <w:rPr>
          <w:rFonts w:asciiTheme="minorEastAsia" w:eastAsiaTheme="minorEastAsia" w:hAnsiTheme="minorEastAsia"/>
          <w:b/>
          <w:color w:val="000000"/>
          <w:sz w:val="24"/>
          <w:szCs w:val="24"/>
        </w:rPr>
        <w:t>.</w:t>
      </w:r>
      <w:r w:rsidR="00D76587" w:rsidRPr="00FF7AA4">
        <w:rPr>
          <w:rFonts w:asciiTheme="minorEastAsia" w:eastAsiaTheme="minorEastAsia" w:hAnsiTheme="minorEastAsia" w:hint="eastAsia"/>
          <w:b/>
          <w:color w:val="000000"/>
          <w:sz w:val="24"/>
          <w:szCs w:val="24"/>
        </w:rPr>
        <w:t>1</w:t>
      </w:r>
      <w:r w:rsidR="00752A9C" w:rsidRPr="00FF7AA4">
        <w:rPr>
          <w:rFonts w:asciiTheme="minorEastAsia" w:eastAsiaTheme="minorEastAsia" w:hAnsiTheme="minorEastAsia"/>
          <w:b/>
          <w:color w:val="000000"/>
          <w:sz w:val="24"/>
          <w:szCs w:val="24"/>
        </w:rPr>
        <w:t xml:space="preserve"> 场外销售机构</w:t>
      </w:r>
    </w:p>
    <w:p w:rsidR="00752A9C" w:rsidRPr="00FF7AA4" w:rsidRDefault="00D745E7" w:rsidP="00752A9C">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5</w:t>
      </w:r>
      <w:r w:rsidR="005E7139" w:rsidRPr="00FF7AA4">
        <w:rPr>
          <w:rFonts w:asciiTheme="minorEastAsia" w:eastAsiaTheme="minorEastAsia" w:hAnsiTheme="minorEastAsia"/>
          <w:b/>
          <w:color w:val="000000"/>
          <w:sz w:val="24"/>
          <w:szCs w:val="24"/>
        </w:rPr>
        <w:t>.</w:t>
      </w:r>
      <w:r w:rsidR="005E7139" w:rsidRPr="00FF7AA4">
        <w:rPr>
          <w:rFonts w:asciiTheme="minorEastAsia" w:eastAsiaTheme="minorEastAsia" w:hAnsiTheme="minorEastAsia" w:hint="eastAsia"/>
          <w:b/>
          <w:color w:val="000000"/>
          <w:sz w:val="24"/>
          <w:szCs w:val="24"/>
        </w:rPr>
        <w:t>1</w:t>
      </w:r>
      <w:r w:rsidR="00752A9C" w:rsidRPr="00FF7AA4">
        <w:rPr>
          <w:rFonts w:asciiTheme="minorEastAsia" w:eastAsiaTheme="minorEastAsia" w:hAnsiTheme="minorEastAsia"/>
          <w:b/>
          <w:color w:val="000000"/>
          <w:sz w:val="24"/>
          <w:szCs w:val="24"/>
        </w:rPr>
        <w:t>.</w:t>
      </w:r>
      <w:r w:rsidR="005E7139" w:rsidRPr="00FF7AA4">
        <w:rPr>
          <w:rFonts w:asciiTheme="minorEastAsia" w:eastAsiaTheme="minorEastAsia" w:hAnsiTheme="minorEastAsia" w:hint="eastAsia"/>
          <w:b/>
          <w:color w:val="000000"/>
          <w:sz w:val="24"/>
          <w:szCs w:val="24"/>
        </w:rPr>
        <w:t>1</w:t>
      </w:r>
      <w:r w:rsidR="00752A9C" w:rsidRPr="00FF7AA4">
        <w:rPr>
          <w:rFonts w:asciiTheme="minorEastAsia" w:eastAsiaTheme="minorEastAsia" w:hAnsiTheme="minorEastAsia"/>
          <w:b/>
          <w:color w:val="000000"/>
          <w:sz w:val="24"/>
          <w:szCs w:val="24"/>
        </w:rPr>
        <w:t xml:space="preserve"> 直销机构</w:t>
      </w:r>
    </w:p>
    <w:p w:rsidR="00D745E7" w:rsidRDefault="00D745E7" w:rsidP="00D745E7">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本基金直销机构为本基金管理人。</w:t>
      </w:r>
    </w:p>
    <w:p w:rsidR="00D745E7" w:rsidRDefault="00D745E7" w:rsidP="00D745E7">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机构名称：国联安基金管理有限公司</w:t>
      </w:r>
    </w:p>
    <w:p w:rsidR="00D745E7" w:rsidRPr="00D745E7" w:rsidRDefault="00D745E7" w:rsidP="00D745E7">
      <w:pPr>
        <w:spacing w:line="360" w:lineRule="auto"/>
        <w:ind w:firstLineChars="200" w:firstLine="480"/>
        <w:rPr>
          <w:rFonts w:asciiTheme="minorEastAsia" w:eastAsiaTheme="minorEastAsia" w:hAnsiTheme="minorEastAsia"/>
          <w:color w:val="000000"/>
          <w:sz w:val="24"/>
          <w:szCs w:val="24"/>
        </w:rPr>
      </w:pPr>
      <w:r w:rsidRPr="00D745E7">
        <w:rPr>
          <w:rFonts w:asciiTheme="minorEastAsia" w:eastAsiaTheme="minorEastAsia" w:hAnsiTheme="minorEastAsia" w:hint="eastAsia"/>
          <w:color w:val="000000"/>
          <w:sz w:val="24"/>
          <w:szCs w:val="24"/>
        </w:rPr>
        <w:t>住所：中国（上海）自由贸易试验区陆家嘴环路 1318 号 9 楼</w:t>
      </w:r>
    </w:p>
    <w:p w:rsidR="00D745E7" w:rsidRDefault="00D745E7" w:rsidP="00D745E7">
      <w:pPr>
        <w:spacing w:line="360" w:lineRule="auto"/>
        <w:ind w:firstLineChars="200" w:firstLine="480"/>
        <w:rPr>
          <w:rFonts w:asciiTheme="minorEastAsia" w:eastAsiaTheme="minorEastAsia" w:hAnsiTheme="minorEastAsia"/>
          <w:color w:val="000000"/>
          <w:sz w:val="24"/>
          <w:szCs w:val="24"/>
        </w:rPr>
      </w:pPr>
      <w:r w:rsidRPr="00D745E7">
        <w:rPr>
          <w:rFonts w:asciiTheme="minorEastAsia" w:eastAsiaTheme="minorEastAsia" w:hAnsiTheme="minorEastAsia" w:hint="eastAsia"/>
          <w:color w:val="000000"/>
          <w:sz w:val="24"/>
          <w:szCs w:val="24"/>
        </w:rPr>
        <w:t>办公地址：中国（上海）自由贸易试验区陆家嘴环路 1318 号 9 楼</w:t>
      </w:r>
    </w:p>
    <w:p w:rsidR="00D745E7" w:rsidRDefault="00D745E7" w:rsidP="00D745E7">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联系人：黄娜娜</w:t>
      </w:r>
    </w:p>
    <w:p w:rsidR="00D745E7" w:rsidRDefault="00D745E7" w:rsidP="00D745E7">
      <w:pPr>
        <w:spacing w:line="360" w:lineRule="auto"/>
        <w:ind w:firstLineChars="200" w:firstLine="480"/>
        <w:rPr>
          <w:rFonts w:asciiTheme="minorEastAsia" w:eastAsiaTheme="minorEastAsia" w:hAnsiTheme="minorEastAsia"/>
          <w:color w:val="000000"/>
          <w:sz w:val="24"/>
          <w:szCs w:val="24"/>
        </w:rPr>
      </w:pPr>
      <w:r w:rsidRPr="00D745E7">
        <w:rPr>
          <w:rFonts w:asciiTheme="minorEastAsia" w:eastAsiaTheme="minorEastAsia" w:hAnsiTheme="minorEastAsia" w:hint="eastAsia"/>
          <w:color w:val="000000"/>
          <w:sz w:val="24"/>
          <w:szCs w:val="24"/>
        </w:rPr>
        <w:t>客户服务电话：021-38784766，400-700-0365（免长途话费）</w:t>
      </w:r>
    </w:p>
    <w:p w:rsidR="00D745E7" w:rsidRPr="00000864" w:rsidRDefault="00D745E7" w:rsidP="00D745E7">
      <w:pPr>
        <w:spacing w:line="360" w:lineRule="auto"/>
        <w:ind w:firstLineChars="200" w:firstLine="480"/>
        <w:rPr>
          <w:rFonts w:asciiTheme="minorEastAsia" w:eastAsiaTheme="minorEastAsia" w:hAnsiTheme="minorEastAsia"/>
          <w:color w:val="000000"/>
          <w:sz w:val="24"/>
          <w:szCs w:val="24"/>
        </w:rPr>
      </w:pPr>
      <w:r w:rsidRPr="00000864">
        <w:rPr>
          <w:rFonts w:asciiTheme="minorEastAsia" w:eastAsiaTheme="minorEastAsia" w:hAnsiTheme="minorEastAsia"/>
          <w:color w:val="000000"/>
          <w:sz w:val="24"/>
          <w:szCs w:val="24"/>
        </w:rPr>
        <w:t>网址：www.cpicfunds.com</w:t>
      </w:r>
    </w:p>
    <w:p w:rsidR="00752A9C" w:rsidRDefault="00D745E7" w:rsidP="00752A9C">
      <w:pPr>
        <w:spacing w:line="560" w:lineRule="exac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5</w:t>
      </w:r>
      <w:r w:rsidR="005E7139" w:rsidRPr="00FF7AA4">
        <w:rPr>
          <w:rFonts w:asciiTheme="minorEastAsia" w:eastAsiaTheme="minorEastAsia" w:hAnsiTheme="minorEastAsia"/>
          <w:b/>
          <w:color w:val="000000"/>
          <w:sz w:val="24"/>
          <w:szCs w:val="24"/>
        </w:rPr>
        <w:t>.</w:t>
      </w:r>
      <w:r w:rsidR="005E7139" w:rsidRPr="00FF7AA4">
        <w:rPr>
          <w:rFonts w:asciiTheme="minorEastAsia" w:eastAsiaTheme="minorEastAsia" w:hAnsiTheme="minorEastAsia" w:hint="eastAsia"/>
          <w:b/>
          <w:color w:val="000000"/>
          <w:sz w:val="24"/>
          <w:szCs w:val="24"/>
        </w:rPr>
        <w:t>1</w:t>
      </w:r>
      <w:r w:rsidR="005E7139" w:rsidRPr="00FF7AA4">
        <w:rPr>
          <w:rFonts w:asciiTheme="minorEastAsia" w:eastAsiaTheme="minorEastAsia" w:hAnsiTheme="minorEastAsia"/>
          <w:b/>
          <w:color w:val="000000"/>
          <w:sz w:val="24"/>
          <w:szCs w:val="24"/>
        </w:rPr>
        <w:t>.</w:t>
      </w:r>
      <w:r w:rsidR="005E7139" w:rsidRPr="00FF7AA4">
        <w:rPr>
          <w:rFonts w:asciiTheme="minorEastAsia" w:eastAsiaTheme="minorEastAsia" w:hAnsiTheme="minorEastAsia" w:hint="eastAsia"/>
          <w:b/>
          <w:color w:val="000000"/>
          <w:sz w:val="24"/>
          <w:szCs w:val="24"/>
        </w:rPr>
        <w:t>2</w:t>
      </w:r>
      <w:r w:rsidR="00752A9C" w:rsidRPr="00FF7AA4">
        <w:rPr>
          <w:rFonts w:asciiTheme="minorEastAsia" w:eastAsiaTheme="minorEastAsia" w:hAnsiTheme="minorEastAsia"/>
          <w:b/>
          <w:color w:val="000000"/>
          <w:sz w:val="24"/>
          <w:szCs w:val="24"/>
        </w:rPr>
        <w:t xml:space="preserve"> 场外非直销机构</w:t>
      </w:r>
    </w:p>
    <w:p w:rsidR="00D745E7" w:rsidRDefault="00D745E7" w:rsidP="00D745E7">
      <w:pPr>
        <w:spacing w:line="360" w:lineRule="auto"/>
        <w:ind w:firstLineChars="200" w:firstLine="480"/>
        <w:rPr>
          <w:rFonts w:asciiTheme="minorEastAsia" w:eastAsiaTheme="minorEastAsia" w:hAnsiTheme="minorEastAsia"/>
          <w:color w:val="000000"/>
          <w:sz w:val="24"/>
          <w:szCs w:val="24"/>
        </w:rPr>
      </w:pPr>
      <w:bookmarkStart w:id="4" w:name="_Toc275961402"/>
      <w:r w:rsidRPr="00000864">
        <w:rPr>
          <w:rFonts w:asciiTheme="minorEastAsia" w:eastAsiaTheme="minorEastAsia" w:hAnsiTheme="minorEastAsia"/>
          <w:color w:val="000000"/>
          <w:sz w:val="24"/>
          <w:szCs w:val="24"/>
        </w:rPr>
        <w:t>代销机构或网点的地址和联系方式等有关信息，请详见本基金发售公告及其他有关增加代销机构的公告。</w:t>
      </w:r>
      <w:r w:rsidRPr="009636BB">
        <w:rPr>
          <w:rFonts w:asciiTheme="minorEastAsia" w:eastAsiaTheme="minorEastAsia" w:hAnsiTheme="minorEastAsia"/>
          <w:color w:val="000000"/>
          <w:sz w:val="24"/>
          <w:szCs w:val="24"/>
        </w:rPr>
        <w:t>基金管理人可根据情况变更或增减销售机构，</w:t>
      </w:r>
      <w:r w:rsidRPr="009636BB">
        <w:rPr>
          <w:rFonts w:asciiTheme="minorEastAsia" w:eastAsiaTheme="minorEastAsia" w:hAnsiTheme="minorEastAsia" w:hint="eastAsia"/>
          <w:color w:val="000000"/>
          <w:sz w:val="24"/>
          <w:szCs w:val="24"/>
        </w:rPr>
        <w:t>并在基金管理人网站公示</w:t>
      </w:r>
      <w:r w:rsidRPr="00000864">
        <w:rPr>
          <w:rFonts w:asciiTheme="minorEastAsia" w:eastAsiaTheme="minorEastAsia" w:hAnsiTheme="minorEastAsia"/>
          <w:color w:val="000000"/>
          <w:sz w:val="24"/>
          <w:szCs w:val="24"/>
        </w:rPr>
        <w:t>。</w:t>
      </w:r>
    </w:p>
    <w:p w:rsidR="00F140C1" w:rsidRPr="00000864" w:rsidRDefault="00F140C1" w:rsidP="00D745E7">
      <w:pPr>
        <w:spacing w:line="360" w:lineRule="auto"/>
        <w:ind w:firstLineChars="200" w:firstLine="480"/>
        <w:rPr>
          <w:rFonts w:asciiTheme="minorEastAsia" w:eastAsiaTheme="minorEastAsia" w:hAnsiTheme="minorEastAsia"/>
          <w:color w:val="000000"/>
          <w:sz w:val="24"/>
          <w:szCs w:val="24"/>
        </w:rPr>
      </w:pPr>
    </w:p>
    <w:p w:rsidR="00F140C1" w:rsidRPr="00F140C1" w:rsidRDefault="00F140C1" w:rsidP="00F140C1">
      <w:pPr>
        <w:pStyle w:val="2"/>
        <w:spacing w:before="0" w:after="0" w:line="360" w:lineRule="auto"/>
        <w:rPr>
          <w:rFonts w:asciiTheme="minorEastAsia" w:eastAsiaTheme="minorEastAsia" w:hAnsiTheme="minorEastAsia"/>
          <w:bCs w:val="0"/>
          <w:color w:val="000000"/>
          <w:sz w:val="24"/>
          <w:szCs w:val="24"/>
        </w:rPr>
      </w:pPr>
      <w:r w:rsidRPr="00F140C1">
        <w:rPr>
          <w:rFonts w:asciiTheme="minorEastAsia" w:eastAsiaTheme="minorEastAsia" w:hAnsiTheme="minorEastAsia" w:hint="eastAsia"/>
          <w:bCs w:val="0"/>
          <w:color w:val="000000"/>
          <w:sz w:val="24"/>
          <w:szCs w:val="24"/>
        </w:rPr>
        <w:t>6</w:t>
      </w:r>
      <w:r w:rsidR="00752A9C" w:rsidRPr="00F140C1">
        <w:rPr>
          <w:rFonts w:asciiTheme="minorEastAsia" w:eastAsiaTheme="minorEastAsia" w:hAnsiTheme="minorEastAsia"/>
          <w:bCs w:val="0"/>
          <w:color w:val="000000"/>
          <w:sz w:val="24"/>
          <w:szCs w:val="24"/>
        </w:rPr>
        <w:t xml:space="preserve"> 基金份额净值公告/基金收益公告的披露安排</w:t>
      </w:r>
      <w:bookmarkStart w:id="5" w:name="_Toc275961403"/>
      <w:bookmarkEnd w:id="4"/>
    </w:p>
    <w:p w:rsidR="00F140C1" w:rsidRPr="009636BB" w:rsidRDefault="002121D8" w:rsidP="00F140C1">
      <w:pPr>
        <w:spacing w:line="360" w:lineRule="auto"/>
        <w:ind w:firstLineChars="200" w:firstLine="480"/>
        <w:rPr>
          <w:rFonts w:asciiTheme="minorEastAsia" w:eastAsiaTheme="minorEastAsia" w:hAnsiTheme="minorEastAsia"/>
          <w:color w:val="000000"/>
          <w:sz w:val="24"/>
          <w:szCs w:val="24"/>
        </w:rPr>
      </w:pPr>
      <w:r w:rsidRPr="009636BB">
        <w:rPr>
          <w:rFonts w:asciiTheme="minorEastAsia" w:eastAsiaTheme="minorEastAsia" w:hAnsiTheme="minorEastAsia" w:hint="eastAsia"/>
          <w:color w:val="000000"/>
          <w:sz w:val="24"/>
          <w:szCs w:val="24"/>
        </w:rPr>
        <w:t>基金合同</w:t>
      </w:r>
      <w:r w:rsidR="00F140C1" w:rsidRPr="009636BB">
        <w:rPr>
          <w:rFonts w:asciiTheme="minorEastAsia" w:eastAsiaTheme="minorEastAsia" w:hAnsiTheme="minorEastAsia" w:hint="eastAsia"/>
          <w:color w:val="000000"/>
          <w:sz w:val="24"/>
          <w:szCs w:val="24"/>
        </w:rPr>
        <w:t>生效后，在封闭期内，基金管理人应当至少每周在</w:t>
      </w:r>
      <w:r w:rsidR="00744359" w:rsidRPr="009636BB">
        <w:rPr>
          <w:rFonts w:asciiTheme="minorEastAsia" w:eastAsiaTheme="minorEastAsia" w:hAnsiTheme="minorEastAsia" w:hint="eastAsia"/>
          <w:color w:val="000000"/>
          <w:sz w:val="24"/>
          <w:szCs w:val="24"/>
        </w:rPr>
        <w:t>规定</w:t>
      </w:r>
      <w:r w:rsidR="00F140C1" w:rsidRPr="009636BB">
        <w:rPr>
          <w:rFonts w:asciiTheme="minorEastAsia" w:eastAsiaTheme="minorEastAsia" w:hAnsiTheme="minorEastAsia" w:hint="eastAsia"/>
          <w:color w:val="000000"/>
          <w:sz w:val="24"/>
          <w:szCs w:val="24"/>
        </w:rPr>
        <w:t>网站披露一次基金份额净值和基金份额累计净值。</w:t>
      </w:r>
    </w:p>
    <w:p w:rsidR="00F140C1" w:rsidRPr="009636BB" w:rsidRDefault="00F140C1" w:rsidP="00F140C1">
      <w:pPr>
        <w:spacing w:line="360" w:lineRule="auto"/>
        <w:ind w:firstLineChars="200" w:firstLine="480"/>
        <w:rPr>
          <w:rFonts w:asciiTheme="minorEastAsia" w:eastAsiaTheme="minorEastAsia" w:hAnsiTheme="minorEastAsia"/>
          <w:color w:val="000000"/>
          <w:sz w:val="24"/>
          <w:szCs w:val="24"/>
        </w:rPr>
      </w:pPr>
      <w:r w:rsidRPr="009636BB">
        <w:rPr>
          <w:rFonts w:asciiTheme="minorEastAsia" w:eastAsiaTheme="minorEastAsia" w:hAnsiTheme="minorEastAsia" w:hint="eastAsia"/>
          <w:color w:val="000000"/>
          <w:sz w:val="24"/>
          <w:szCs w:val="24"/>
        </w:rPr>
        <w:t>在开放期内，基金管理人应当在不晚于每个开放日的次日，通过</w:t>
      </w:r>
      <w:r w:rsidR="00744359" w:rsidRPr="009636BB">
        <w:rPr>
          <w:rFonts w:asciiTheme="minorEastAsia" w:eastAsiaTheme="minorEastAsia" w:hAnsiTheme="minorEastAsia" w:hint="eastAsia"/>
          <w:color w:val="000000"/>
          <w:sz w:val="24"/>
          <w:szCs w:val="24"/>
        </w:rPr>
        <w:t>规定</w:t>
      </w:r>
      <w:r w:rsidRPr="009636BB">
        <w:rPr>
          <w:rFonts w:asciiTheme="minorEastAsia" w:eastAsiaTheme="minorEastAsia" w:hAnsiTheme="minorEastAsia" w:hint="eastAsia"/>
          <w:color w:val="000000"/>
          <w:sz w:val="24"/>
          <w:szCs w:val="24"/>
        </w:rPr>
        <w:t>网站、基金销售机构网站或者营业网点披露开放日的基金份额净值和基金份额累计净值。</w:t>
      </w:r>
    </w:p>
    <w:p w:rsidR="00F140C1" w:rsidRPr="009636BB" w:rsidRDefault="00F140C1" w:rsidP="00F140C1">
      <w:pPr>
        <w:spacing w:line="360" w:lineRule="auto"/>
        <w:ind w:firstLineChars="200" w:firstLine="480"/>
        <w:rPr>
          <w:rFonts w:asciiTheme="minorEastAsia" w:eastAsiaTheme="minorEastAsia" w:hAnsiTheme="minorEastAsia"/>
          <w:color w:val="000000"/>
          <w:sz w:val="24"/>
          <w:szCs w:val="24"/>
        </w:rPr>
      </w:pPr>
      <w:r w:rsidRPr="009636BB">
        <w:rPr>
          <w:rFonts w:asciiTheme="minorEastAsia" w:eastAsiaTheme="minorEastAsia" w:hAnsiTheme="minorEastAsia" w:hint="eastAsia"/>
          <w:color w:val="000000"/>
          <w:sz w:val="24"/>
          <w:szCs w:val="24"/>
        </w:rPr>
        <w:t>基金管理人应当在不晚于半年度和年度最后一日的次日，在</w:t>
      </w:r>
      <w:r w:rsidR="00744359" w:rsidRPr="009636BB">
        <w:rPr>
          <w:rFonts w:asciiTheme="minorEastAsia" w:eastAsiaTheme="minorEastAsia" w:hAnsiTheme="minorEastAsia" w:hint="eastAsia"/>
          <w:color w:val="000000"/>
          <w:sz w:val="24"/>
          <w:szCs w:val="24"/>
        </w:rPr>
        <w:t>规定</w:t>
      </w:r>
      <w:r w:rsidRPr="009636BB">
        <w:rPr>
          <w:rFonts w:asciiTheme="minorEastAsia" w:eastAsiaTheme="minorEastAsia" w:hAnsiTheme="minorEastAsia" w:hint="eastAsia"/>
          <w:color w:val="000000"/>
          <w:sz w:val="24"/>
          <w:szCs w:val="24"/>
        </w:rPr>
        <w:t>网站披露半年度和年度最后一日的基金份额净值和基金份额累计净值。</w:t>
      </w:r>
    </w:p>
    <w:p w:rsidR="00752A9C" w:rsidRPr="00FF7AA4" w:rsidRDefault="007613B5" w:rsidP="00F140C1">
      <w:pPr>
        <w:pStyle w:val="2"/>
        <w:spacing w:line="560" w:lineRule="exact"/>
        <w:rPr>
          <w:rFonts w:asciiTheme="minorEastAsia" w:eastAsiaTheme="minorEastAsia" w:hAnsiTheme="minorEastAsia"/>
          <w:bCs w:val="0"/>
          <w:color w:val="000000"/>
          <w:sz w:val="24"/>
          <w:szCs w:val="24"/>
        </w:rPr>
      </w:pPr>
      <w:r>
        <w:rPr>
          <w:rFonts w:asciiTheme="minorEastAsia" w:eastAsiaTheme="minorEastAsia" w:hAnsiTheme="minorEastAsia" w:hint="eastAsia"/>
          <w:bCs w:val="0"/>
          <w:color w:val="000000"/>
          <w:sz w:val="24"/>
          <w:szCs w:val="24"/>
        </w:rPr>
        <w:t>7</w:t>
      </w:r>
      <w:r w:rsidR="00752A9C" w:rsidRPr="00FF7AA4">
        <w:rPr>
          <w:rFonts w:asciiTheme="minorEastAsia" w:eastAsiaTheme="minorEastAsia" w:hAnsiTheme="minorEastAsia"/>
          <w:bCs w:val="0"/>
          <w:color w:val="000000"/>
          <w:sz w:val="24"/>
          <w:szCs w:val="24"/>
        </w:rPr>
        <w:t xml:space="preserve"> 其他需要提示的事项</w:t>
      </w:r>
      <w:bookmarkEnd w:id="5"/>
    </w:p>
    <w:p w:rsidR="009F2E46" w:rsidRPr="009636BB" w:rsidRDefault="009F2E46" w:rsidP="009F2E46">
      <w:pPr>
        <w:spacing w:line="360" w:lineRule="auto"/>
        <w:ind w:firstLineChars="200" w:firstLine="480"/>
        <w:rPr>
          <w:rFonts w:asciiTheme="minorEastAsia" w:eastAsiaTheme="minorEastAsia" w:hAnsiTheme="minorEastAsia"/>
          <w:color w:val="000000"/>
          <w:sz w:val="24"/>
          <w:szCs w:val="24"/>
        </w:rPr>
      </w:pPr>
      <w:r w:rsidRPr="009636BB">
        <w:rPr>
          <w:rFonts w:asciiTheme="minorEastAsia" w:eastAsiaTheme="minorEastAsia" w:hAnsiTheme="minorEastAsia" w:hint="eastAsia"/>
          <w:color w:val="000000"/>
          <w:sz w:val="24"/>
          <w:szCs w:val="24"/>
        </w:rPr>
        <w:t>（</w:t>
      </w:r>
      <w:r w:rsidRPr="009636BB">
        <w:rPr>
          <w:rFonts w:asciiTheme="minorEastAsia" w:eastAsiaTheme="minorEastAsia" w:hAnsiTheme="minorEastAsia"/>
          <w:color w:val="000000"/>
          <w:sz w:val="24"/>
          <w:szCs w:val="24"/>
        </w:rPr>
        <w:t>1</w:t>
      </w:r>
      <w:r w:rsidRPr="009636BB">
        <w:rPr>
          <w:rFonts w:asciiTheme="minorEastAsia" w:eastAsiaTheme="minorEastAsia" w:hAnsiTheme="minorEastAsia" w:hint="eastAsia"/>
          <w:color w:val="000000"/>
          <w:sz w:val="24"/>
          <w:szCs w:val="24"/>
        </w:rPr>
        <w:t>）信息定制服务：投资者可以通过基金管理人网站（</w:t>
      </w:r>
      <w:r w:rsidRPr="009636BB">
        <w:rPr>
          <w:rFonts w:asciiTheme="minorEastAsia" w:eastAsiaTheme="minorEastAsia" w:hAnsiTheme="minorEastAsia"/>
          <w:color w:val="000000"/>
          <w:sz w:val="24"/>
          <w:szCs w:val="24"/>
        </w:rPr>
        <w:t>www.cpicfunds.com</w:t>
      </w:r>
      <w:r w:rsidRPr="009636BB">
        <w:rPr>
          <w:rFonts w:asciiTheme="minorEastAsia" w:eastAsiaTheme="minorEastAsia" w:hAnsiTheme="minorEastAsia" w:hint="eastAsia"/>
          <w:color w:val="000000"/>
          <w:sz w:val="24"/>
          <w:szCs w:val="24"/>
        </w:rPr>
        <w:t>）、官方微信账号（神基太保）、客服电话（</w:t>
      </w:r>
      <w:r w:rsidRPr="009636BB">
        <w:rPr>
          <w:rFonts w:asciiTheme="minorEastAsia" w:eastAsiaTheme="minorEastAsia" w:hAnsiTheme="minorEastAsia"/>
          <w:color w:val="000000"/>
          <w:sz w:val="24"/>
          <w:szCs w:val="24"/>
        </w:rPr>
        <w:t>400-700-0365</w:t>
      </w:r>
      <w:r w:rsidRPr="009636BB">
        <w:rPr>
          <w:rFonts w:asciiTheme="minorEastAsia" w:eastAsiaTheme="minorEastAsia" w:hAnsiTheme="minorEastAsia" w:hint="eastAsia"/>
          <w:color w:val="000000"/>
          <w:sz w:val="24"/>
          <w:szCs w:val="24"/>
        </w:rPr>
        <w:t>；</w:t>
      </w:r>
      <w:r w:rsidRPr="009636BB">
        <w:rPr>
          <w:rFonts w:asciiTheme="minorEastAsia" w:eastAsiaTheme="minorEastAsia" w:hAnsiTheme="minorEastAsia"/>
          <w:color w:val="000000"/>
          <w:sz w:val="24"/>
          <w:szCs w:val="24"/>
        </w:rPr>
        <w:t>021-38784766</w:t>
      </w:r>
      <w:r w:rsidRPr="009636BB">
        <w:rPr>
          <w:rFonts w:asciiTheme="minorEastAsia" w:eastAsiaTheme="minorEastAsia" w:hAnsiTheme="minorEastAsia" w:hint="eastAsia"/>
          <w:color w:val="000000"/>
          <w:sz w:val="24"/>
          <w:szCs w:val="24"/>
        </w:rPr>
        <w:t>）等渠道提交信息定制申请，在申请获基金管理人确认后，基金管理人将通过手机短信、</w:t>
      </w:r>
      <w:r w:rsidRPr="009636BB">
        <w:rPr>
          <w:rFonts w:asciiTheme="minorEastAsia" w:eastAsiaTheme="minorEastAsia" w:hAnsiTheme="minorEastAsia"/>
          <w:color w:val="000000"/>
          <w:sz w:val="24"/>
          <w:szCs w:val="24"/>
        </w:rPr>
        <w:t>E-MAIL</w:t>
      </w:r>
      <w:r w:rsidRPr="009636BB">
        <w:rPr>
          <w:rFonts w:asciiTheme="minorEastAsia" w:eastAsiaTheme="minorEastAsia" w:hAnsiTheme="minorEastAsia" w:hint="eastAsia"/>
          <w:color w:val="000000"/>
          <w:sz w:val="24"/>
          <w:szCs w:val="24"/>
        </w:rPr>
        <w:t>等方式为客户发送所定制的信息。手机短信可定制的信息包括：月度短信账单、持有基金周末净值等；邮件定制的信息包括：电子对账单等信息。基金管理人将根据业务发展需要和实际情况，适时调整发送的定制信息内容。</w:t>
      </w:r>
    </w:p>
    <w:p w:rsidR="002A451B" w:rsidRDefault="002A451B" w:rsidP="002A451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r w:rsidR="009F2E46">
        <w:rPr>
          <w:rFonts w:asciiTheme="minorEastAsia" w:eastAsiaTheme="minorEastAsia" w:hAnsiTheme="minorEastAsia" w:hint="eastAsia"/>
          <w:color w:val="000000"/>
          <w:sz w:val="24"/>
          <w:szCs w:val="24"/>
        </w:rPr>
        <w:t>2</w:t>
      </w:r>
      <w:r>
        <w:rPr>
          <w:rFonts w:asciiTheme="minorEastAsia" w:eastAsiaTheme="minorEastAsia" w:hAnsiTheme="minorEastAsia" w:hint="eastAsia"/>
          <w:color w:val="000000"/>
          <w:sz w:val="24"/>
          <w:szCs w:val="24"/>
        </w:rPr>
        <w:t>）本公告仅对本基金开放申购、赎回的有关事项予以说明。</w:t>
      </w:r>
      <w:r w:rsidR="00482DFB">
        <w:rPr>
          <w:rFonts w:asciiTheme="minorEastAsia" w:eastAsiaTheme="minorEastAsia" w:hAnsiTheme="minorEastAsia" w:hint="eastAsia"/>
          <w:color w:val="000000"/>
          <w:sz w:val="24"/>
          <w:szCs w:val="24"/>
        </w:rPr>
        <w:t>投资者</w:t>
      </w:r>
      <w:r>
        <w:rPr>
          <w:rFonts w:asciiTheme="minorEastAsia" w:eastAsiaTheme="minorEastAsia" w:hAnsiTheme="minorEastAsia" w:hint="eastAsia"/>
          <w:color w:val="000000"/>
          <w:sz w:val="24"/>
          <w:szCs w:val="24"/>
        </w:rPr>
        <w:t>欲了解本基金的详细情况，可于本公司网站或相关代销机构查阅本基金相关法律文件及资料。本公告的解释权归本公司所有。</w:t>
      </w:r>
    </w:p>
    <w:p w:rsidR="002A451B" w:rsidRDefault="002A451B" w:rsidP="002A451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r w:rsidR="009F2E46">
        <w:rPr>
          <w:rFonts w:asciiTheme="minorEastAsia" w:eastAsiaTheme="minorEastAsia" w:hAnsiTheme="minorEastAsia" w:hint="eastAsia"/>
          <w:color w:val="000000"/>
          <w:sz w:val="24"/>
          <w:szCs w:val="24"/>
        </w:rPr>
        <w:t>3</w:t>
      </w:r>
      <w:r>
        <w:rPr>
          <w:rFonts w:asciiTheme="minorEastAsia" w:eastAsiaTheme="minorEastAsia" w:hAnsiTheme="minorEastAsia" w:hint="eastAsia"/>
          <w:color w:val="000000"/>
          <w:sz w:val="24"/>
          <w:szCs w:val="24"/>
        </w:rPr>
        <w:t>）对位于未开设销售网点地区的</w:t>
      </w:r>
      <w:r w:rsidR="00482DFB">
        <w:rPr>
          <w:rFonts w:asciiTheme="minorEastAsia" w:eastAsiaTheme="minorEastAsia" w:hAnsiTheme="minorEastAsia" w:hint="eastAsia"/>
          <w:color w:val="000000"/>
          <w:sz w:val="24"/>
          <w:szCs w:val="24"/>
        </w:rPr>
        <w:t>投资者</w:t>
      </w:r>
      <w:r>
        <w:rPr>
          <w:rFonts w:asciiTheme="minorEastAsia" w:eastAsiaTheme="minorEastAsia" w:hAnsiTheme="minorEastAsia" w:hint="eastAsia"/>
          <w:color w:val="000000"/>
          <w:sz w:val="24"/>
          <w:szCs w:val="24"/>
        </w:rPr>
        <w:t>及希望了解本基金其它有关信息的</w:t>
      </w:r>
      <w:r w:rsidR="00482DFB">
        <w:rPr>
          <w:rFonts w:asciiTheme="minorEastAsia" w:eastAsiaTheme="minorEastAsia" w:hAnsiTheme="minorEastAsia" w:hint="eastAsia"/>
          <w:color w:val="000000"/>
          <w:sz w:val="24"/>
          <w:szCs w:val="24"/>
        </w:rPr>
        <w:t>投资者</w:t>
      </w:r>
      <w:r>
        <w:rPr>
          <w:rFonts w:asciiTheme="minorEastAsia" w:eastAsiaTheme="minorEastAsia" w:hAnsiTheme="minorEastAsia" w:hint="eastAsia"/>
          <w:color w:val="000000"/>
          <w:sz w:val="24"/>
          <w:szCs w:val="24"/>
        </w:rPr>
        <w:t>，敬请拨打本公司的客户服务热线或登录本公司网站www.cpicfunds.com查询相关事宜。</w:t>
      </w:r>
    </w:p>
    <w:p w:rsidR="002A451B" w:rsidRDefault="002A451B" w:rsidP="002A451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r w:rsidR="009F2E46">
        <w:rPr>
          <w:rFonts w:asciiTheme="minorEastAsia" w:eastAsiaTheme="minorEastAsia" w:hAnsiTheme="minorEastAsia" w:hint="eastAsia"/>
          <w:color w:val="000000"/>
          <w:sz w:val="24"/>
          <w:szCs w:val="24"/>
        </w:rPr>
        <w:t>4</w:t>
      </w:r>
      <w:r>
        <w:rPr>
          <w:rFonts w:asciiTheme="minorEastAsia" w:eastAsiaTheme="minorEastAsia" w:hAnsiTheme="minorEastAsia" w:hint="eastAsia"/>
          <w:color w:val="000000"/>
          <w:sz w:val="24"/>
          <w:szCs w:val="24"/>
        </w:rPr>
        <w:t>）有关本基金开放申购、赎回业务的具体规定若有变化，本公司届时将另行公告。</w:t>
      </w:r>
    </w:p>
    <w:p w:rsidR="00654E2C" w:rsidRPr="00654E2C" w:rsidRDefault="00654E2C" w:rsidP="00654E2C">
      <w:pPr>
        <w:spacing w:line="360" w:lineRule="auto"/>
        <w:ind w:firstLineChars="200" w:firstLine="480"/>
        <w:rPr>
          <w:rFonts w:eastAsia="宋体"/>
          <w:sz w:val="24"/>
          <w:szCs w:val="24"/>
        </w:rPr>
      </w:pPr>
      <w:r w:rsidRPr="00654E2C">
        <w:rPr>
          <w:rFonts w:eastAsia="宋体" w:hint="eastAsia"/>
          <w:sz w:val="24"/>
          <w:szCs w:val="24"/>
        </w:rPr>
        <w:t>（</w:t>
      </w:r>
      <w:r w:rsidR="009F2E46">
        <w:rPr>
          <w:rFonts w:eastAsia="宋体" w:hint="eastAsia"/>
          <w:sz w:val="24"/>
          <w:szCs w:val="24"/>
        </w:rPr>
        <w:t>5</w:t>
      </w:r>
      <w:r w:rsidRPr="00654E2C">
        <w:rPr>
          <w:rFonts w:eastAsia="宋体" w:hint="eastAsia"/>
          <w:sz w:val="24"/>
          <w:szCs w:val="24"/>
        </w:rPr>
        <w:t>）风险提示：</w:t>
      </w:r>
    </w:p>
    <w:p w:rsidR="00654E2C" w:rsidRPr="00654E2C" w:rsidRDefault="00654E2C" w:rsidP="00654E2C">
      <w:pPr>
        <w:spacing w:line="360" w:lineRule="auto"/>
        <w:ind w:firstLineChars="200" w:firstLine="480"/>
        <w:rPr>
          <w:rFonts w:eastAsia="宋体"/>
          <w:sz w:val="24"/>
          <w:szCs w:val="24"/>
        </w:rPr>
      </w:pPr>
      <w:r w:rsidRPr="00654E2C">
        <w:rPr>
          <w:rFonts w:eastAsia="宋体" w:hint="eastAsia"/>
          <w:sz w:val="24"/>
          <w:szCs w:val="24"/>
        </w:rPr>
        <w:t>在每个封闭期内，基金份额持有人面临不能赎回基金份额的风险。若基金份额持有人错过某一开放期而未能赎回，其</w:t>
      </w:r>
      <w:r w:rsidR="002A451B">
        <w:rPr>
          <w:rFonts w:eastAsia="宋体" w:hint="eastAsia"/>
          <w:sz w:val="24"/>
          <w:szCs w:val="24"/>
        </w:rPr>
        <w:t>基金</w:t>
      </w:r>
      <w:r w:rsidRPr="00654E2C">
        <w:rPr>
          <w:rFonts w:eastAsia="宋体" w:hint="eastAsia"/>
          <w:sz w:val="24"/>
          <w:szCs w:val="24"/>
        </w:rPr>
        <w:t>份额需至下一开放期方可赎回。</w:t>
      </w:r>
    </w:p>
    <w:p w:rsidR="002A451B" w:rsidRDefault="002A451B" w:rsidP="002A451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本公司承诺诚实信用地管理和运用基金财产，但不保证基金一定盈利，也不保证最低收益。基金的过往业绩并不代表其未来表现，基金管理人管理的其他基金的业绩不构成对本基金业绩表现的保证。投资有风险，敬请</w:t>
      </w:r>
      <w:r w:rsidR="00482DFB">
        <w:rPr>
          <w:rFonts w:asciiTheme="minorEastAsia" w:eastAsiaTheme="minorEastAsia" w:hAnsiTheme="minorEastAsia" w:hint="eastAsia"/>
          <w:color w:val="000000"/>
          <w:sz w:val="24"/>
          <w:szCs w:val="24"/>
        </w:rPr>
        <w:t>投资者</w:t>
      </w:r>
      <w:r>
        <w:rPr>
          <w:rFonts w:asciiTheme="minorEastAsia" w:eastAsiaTheme="minorEastAsia" w:hAnsiTheme="minorEastAsia" w:hint="eastAsia"/>
          <w:color w:val="000000"/>
          <w:sz w:val="24"/>
          <w:szCs w:val="24"/>
        </w:rPr>
        <w:t>认真阅读基金的相关法律文件，并选择适合自身风险承受能力的投资品种进行投资。</w:t>
      </w:r>
    </w:p>
    <w:p w:rsidR="002A451B" w:rsidRDefault="002A451B" w:rsidP="00654E2C">
      <w:pPr>
        <w:spacing w:line="360" w:lineRule="auto"/>
        <w:ind w:firstLineChars="200" w:firstLine="480"/>
        <w:rPr>
          <w:rFonts w:eastAsia="宋体"/>
          <w:sz w:val="24"/>
          <w:szCs w:val="24"/>
        </w:rPr>
      </w:pPr>
    </w:p>
    <w:p w:rsidR="00654E2C" w:rsidRPr="00654E2C" w:rsidRDefault="00654E2C" w:rsidP="00654E2C">
      <w:pPr>
        <w:spacing w:line="360" w:lineRule="auto"/>
        <w:ind w:firstLineChars="200" w:firstLine="480"/>
        <w:rPr>
          <w:rFonts w:eastAsia="宋体"/>
          <w:sz w:val="24"/>
          <w:szCs w:val="24"/>
        </w:rPr>
      </w:pPr>
      <w:r w:rsidRPr="00654E2C">
        <w:rPr>
          <w:rFonts w:eastAsia="宋体" w:hint="eastAsia"/>
          <w:sz w:val="24"/>
          <w:szCs w:val="24"/>
        </w:rPr>
        <w:t>特此公告。</w:t>
      </w:r>
    </w:p>
    <w:p w:rsidR="009E51FB" w:rsidRDefault="009E51FB" w:rsidP="000F2BA6">
      <w:pPr>
        <w:spacing w:line="360" w:lineRule="auto"/>
        <w:ind w:firstLineChars="200" w:firstLine="480"/>
        <w:rPr>
          <w:rFonts w:asciiTheme="minorEastAsia" w:eastAsiaTheme="minorEastAsia" w:hAnsiTheme="minorEastAsia"/>
          <w:color w:val="000000"/>
          <w:sz w:val="24"/>
          <w:szCs w:val="24"/>
        </w:rPr>
      </w:pPr>
    </w:p>
    <w:p w:rsidR="002A451B" w:rsidRPr="00FF7AA4" w:rsidRDefault="002A451B" w:rsidP="000F2BA6">
      <w:pPr>
        <w:spacing w:line="360" w:lineRule="auto"/>
        <w:ind w:firstLineChars="200" w:firstLine="480"/>
        <w:rPr>
          <w:rFonts w:asciiTheme="minorEastAsia" w:eastAsiaTheme="minorEastAsia" w:hAnsiTheme="minorEastAsia"/>
          <w:color w:val="000000"/>
          <w:sz w:val="24"/>
          <w:szCs w:val="24"/>
        </w:rPr>
      </w:pPr>
    </w:p>
    <w:p w:rsidR="00364C2A" w:rsidRDefault="009E51FB" w:rsidP="009E51FB">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国联安基金管理有限公司</w:t>
      </w:r>
    </w:p>
    <w:p w:rsidR="009E51FB" w:rsidRDefault="009E51FB" w:rsidP="009E51FB">
      <w:pPr>
        <w:jc w:val="right"/>
        <w:rPr>
          <w:rFonts w:asciiTheme="minorEastAsia" w:eastAsiaTheme="minorEastAsia" w:hAnsiTheme="minorEastAsia"/>
          <w:sz w:val="24"/>
          <w:szCs w:val="24"/>
        </w:rPr>
      </w:pPr>
    </w:p>
    <w:p w:rsidR="00733D7D" w:rsidRPr="009E51FB" w:rsidRDefault="00733D7D" w:rsidP="00733D7D">
      <w:pPr>
        <w:jc w:val="right"/>
        <w:rPr>
          <w:rFonts w:asciiTheme="minorEastAsia" w:eastAsiaTheme="minorEastAsia" w:hAnsiTheme="minorEastAsia"/>
          <w:sz w:val="24"/>
          <w:szCs w:val="24"/>
        </w:rPr>
      </w:pPr>
      <w:r w:rsidRPr="00C11675">
        <w:rPr>
          <w:rFonts w:asciiTheme="minorEastAsia" w:eastAsiaTheme="minorEastAsia" w:hAnsiTheme="minorEastAsia" w:hint="eastAsia"/>
          <w:color w:val="000000"/>
          <w:sz w:val="24"/>
          <w:szCs w:val="24"/>
        </w:rPr>
        <w:t>二〇二</w:t>
      </w:r>
      <w:r>
        <w:rPr>
          <w:rFonts w:asciiTheme="minorEastAsia" w:eastAsiaTheme="minorEastAsia" w:hAnsiTheme="minorEastAsia" w:hint="eastAsia"/>
          <w:color w:val="000000"/>
          <w:sz w:val="24"/>
          <w:szCs w:val="24"/>
        </w:rPr>
        <w:t>六</w:t>
      </w:r>
      <w:r w:rsidRPr="00C11675">
        <w:rPr>
          <w:rFonts w:asciiTheme="minorEastAsia" w:eastAsiaTheme="minorEastAsia" w:hAnsiTheme="minorEastAsia" w:hint="eastAsia"/>
          <w:color w:val="000000"/>
          <w:sz w:val="24"/>
          <w:szCs w:val="24"/>
        </w:rPr>
        <w:t>年</w:t>
      </w:r>
      <w:r>
        <w:rPr>
          <w:rFonts w:asciiTheme="minorEastAsia" w:eastAsiaTheme="minorEastAsia" w:hAnsiTheme="minorEastAsia" w:hint="eastAsia"/>
          <w:color w:val="000000"/>
          <w:sz w:val="24"/>
          <w:szCs w:val="24"/>
        </w:rPr>
        <w:t>三</w:t>
      </w:r>
      <w:r w:rsidRPr="00C11675">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三</w:t>
      </w:r>
      <w:r>
        <w:rPr>
          <w:rFonts w:asciiTheme="minorEastAsia" w:eastAsiaTheme="minorEastAsia" w:hAnsiTheme="minorEastAsia" w:hint="eastAsia"/>
          <w:sz w:val="24"/>
          <w:szCs w:val="24"/>
        </w:rPr>
        <w:t>日</w:t>
      </w:r>
    </w:p>
    <w:p w:rsidR="009E51FB" w:rsidRPr="009E51FB" w:rsidRDefault="009E51FB" w:rsidP="00733D7D">
      <w:pPr>
        <w:jc w:val="right"/>
        <w:rPr>
          <w:rFonts w:asciiTheme="minorEastAsia" w:eastAsiaTheme="minorEastAsia" w:hAnsiTheme="minorEastAsia"/>
          <w:sz w:val="24"/>
          <w:szCs w:val="24"/>
        </w:rPr>
      </w:pPr>
      <w:bookmarkStart w:id="6" w:name="_GoBack"/>
      <w:bookmarkEnd w:id="6"/>
    </w:p>
    <w:sectPr w:rsidR="009E51FB" w:rsidRPr="009E51FB"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D59" w:rsidRDefault="00173D59" w:rsidP="00752A9C">
      <w:r>
        <w:separator/>
      </w:r>
    </w:p>
  </w:endnote>
  <w:endnote w:type="continuationSeparator" w:id="0">
    <w:p w:rsidR="00173D59" w:rsidRDefault="00173D59" w:rsidP="00752A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方正舒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D59" w:rsidRDefault="00173D59" w:rsidP="00752A9C">
      <w:r>
        <w:separator/>
      </w:r>
    </w:p>
  </w:footnote>
  <w:footnote w:type="continuationSeparator" w:id="0">
    <w:p w:rsidR="00173D59" w:rsidRDefault="00173D59" w:rsidP="00752A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A9C"/>
    <w:rsid w:val="00010FD8"/>
    <w:rsid w:val="00011C60"/>
    <w:rsid w:val="000250BE"/>
    <w:rsid w:val="000266B5"/>
    <w:rsid w:val="00041353"/>
    <w:rsid w:val="0004657F"/>
    <w:rsid w:val="00053854"/>
    <w:rsid w:val="00057580"/>
    <w:rsid w:val="0007236F"/>
    <w:rsid w:val="00081B2F"/>
    <w:rsid w:val="00083906"/>
    <w:rsid w:val="000A6031"/>
    <w:rsid w:val="000B34DF"/>
    <w:rsid w:val="000B4B4A"/>
    <w:rsid w:val="000B693A"/>
    <w:rsid w:val="000C0DEF"/>
    <w:rsid w:val="000C49C5"/>
    <w:rsid w:val="000C6DC9"/>
    <w:rsid w:val="000D65E7"/>
    <w:rsid w:val="000E18D3"/>
    <w:rsid w:val="000E4299"/>
    <w:rsid w:val="000E5AC2"/>
    <w:rsid w:val="000F2BA6"/>
    <w:rsid w:val="00102D7C"/>
    <w:rsid w:val="00117DB2"/>
    <w:rsid w:val="0012002E"/>
    <w:rsid w:val="00122706"/>
    <w:rsid w:val="0013521D"/>
    <w:rsid w:val="0014324D"/>
    <w:rsid w:val="00163AD1"/>
    <w:rsid w:val="00165801"/>
    <w:rsid w:val="00170773"/>
    <w:rsid w:val="0017159C"/>
    <w:rsid w:val="00172CB1"/>
    <w:rsid w:val="00173D59"/>
    <w:rsid w:val="00174E31"/>
    <w:rsid w:val="00181ECE"/>
    <w:rsid w:val="00183E31"/>
    <w:rsid w:val="0019121A"/>
    <w:rsid w:val="00194B67"/>
    <w:rsid w:val="00195108"/>
    <w:rsid w:val="00195E7A"/>
    <w:rsid w:val="00196BD2"/>
    <w:rsid w:val="00197399"/>
    <w:rsid w:val="001A4F86"/>
    <w:rsid w:val="001A4FEC"/>
    <w:rsid w:val="001B125A"/>
    <w:rsid w:val="001B2013"/>
    <w:rsid w:val="001B60EB"/>
    <w:rsid w:val="001C3038"/>
    <w:rsid w:val="001C3147"/>
    <w:rsid w:val="001D24D4"/>
    <w:rsid w:val="001F61AC"/>
    <w:rsid w:val="001F6AAD"/>
    <w:rsid w:val="001F7A40"/>
    <w:rsid w:val="00200365"/>
    <w:rsid w:val="0020304A"/>
    <w:rsid w:val="00205571"/>
    <w:rsid w:val="00205AF1"/>
    <w:rsid w:val="002121D8"/>
    <w:rsid w:val="00213564"/>
    <w:rsid w:val="00215C39"/>
    <w:rsid w:val="00223FDC"/>
    <w:rsid w:val="00224357"/>
    <w:rsid w:val="00226074"/>
    <w:rsid w:val="002509E8"/>
    <w:rsid w:val="002520E1"/>
    <w:rsid w:val="00257A73"/>
    <w:rsid w:val="00265318"/>
    <w:rsid w:val="00267A58"/>
    <w:rsid w:val="00271FF4"/>
    <w:rsid w:val="00277B60"/>
    <w:rsid w:val="002A451B"/>
    <w:rsid w:val="002A6983"/>
    <w:rsid w:val="002B6AB6"/>
    <w:rsid w:val="002C4250"/>
    <w:rsid w:val="002C7C92"/>
    <w:rsid w:val="002D4E4E"/>
    <w:rsid w:val="002F08AD"/>
    <w:rsid w:val="00307764"/>
    <w:rsid w:val="00315F6D"/>
    <w:rsid w:val="00321BDA"/>
    <w:rsid w:val="003321BE"/>
    <w:rsid w:val="00337F2E"/>
    <w:rsid w:val="00343DEE"/>
    <w:rsid w:val="0034436B"/>
    <w:rsid w:val="00347C5C"/>
    <w:rsid w:val="003547A1"/>
    <w:rsid w:val="0036436C"/>
    <w:rsid w:val="00371728"/>
    <w:rsid w:val="00372B6C"/>
    <w:rsid w:val="00376C12"/>
    <w:rsid w:val="003902C4"/>
    <w:rsid w:val="003921F9"/>
    <w:rsid w:val="003A4D1A"/>
    <w:rsid w:val="003B51E9"/>
    <w:rsid w:val="003B59F0"/>
    <w:rsid w:val="003C0CFF"/>
    <w:rsid w:val="003D145E"/>
    <w:rsid w:val="003F3126"/>
    <w:rsid w:val="00401894"/>
    <w:rsid w:val="00412DE1"/>
    <w:rsid w:val="00415A69"/>
    <w:rsid w:val="00430360"/>
    <w:rsid w:val="004355B9"/>
    <w:rsid w:val="00437C06"/>
    <w:rsid w:val="00440693"/>
    <w:rsid w:val="00442D43"/>
    <w:rsid w:val="00447D38"/>
    <w:rsid w:val="00450161"/>
    <w:rsid w:val="0046041D"/>
    <w:rsid w:val="00462584"/>
    <w:rsid w:val="0046606F"/>
    <w:rsid w:val="004662BA"/>
    <w:rsid w:val="00470C03"/>
    <w:rsid w:val="00472CBD"/>
    <w:rsid w:val="004738B4"/>
    <w:rsid w:val="00480B44"/>
    <w:rsid w:val="00481183"/>
    <w:rsid w:val="00482DFB"/>
    <w:rsid w:val="004966BA"/>
    <w:rsid w:val="004A377D"/>
    <w:rsid w:val="004A57A8"/>
    <w:rsid w:val="004B038D"/>
    <w:rsid w:val="004C1316"/>
    <w:rsid w:val="004C1700"/>
    <w:rsid w:val="004D290A"/>
    <w:rsid w:val="004D340F"/>
    <w:rsid w:val="004E2F24"/>
    <w:rsid w:val="004F5483"/>
    <w:rsid w:val="00505DE3"/>
    <w:rsid w:val="005128BA"/>
    <w:rsid w:val="00515B9A"/>
    <w:rsid w:val="00517361"/>
    <w:rsid w:val="0052680D"/>
    <w:rsid w:val="00530B06"/>
    <w:rsid w:val="00534398"/>
    <w:rsid w:val="0054597D"/>
    <w:rsid w:val="00553376"/>
    <w:rsid w:val="00573985"/>
    <w:rsid w:val="005740C8"/>
    <w:rsid w:val="00574A8F"/>
    <w:rsid w:val="005753A2"/>
    <w:rsid w:val="00591340"/>
    <w:rsid w:val="00592D79"/>
    <w:rsid w:val="0059628C"/>
    <w:rsid w:val="005A01BB"/>
    <w:rsid w:val="005B4979"/>
    <w:rsid w:val="005B69CF"/>
    <w:rsid w:val="005C7221"/>
    <w:rsid w:val="005E21DB"/>
    <w:rsid w:val="005E7139"/>
    <w:rsid w:val="00605175"/>
    <w:rsid w:val="006153D0"/>
    <w:rsid w:val="00622A72"/>
    <w:rsid w:val="006279F3"/>
    <w:rsid w:val="0064405E"/>
    <w:rsid w:val="00652D47"/>
    <w:rsid w:val="00654E2C"/>
    <w:rsid w:val="00674C14"/>
    <w:rsid w:val="006862B0"/>
    <w:rsid w:val="00697324"/>
    <w:rsid w:val="006B6E44"/>
    <w:rsid w:val="006B6F63"/>
    <w:rsid w:val="006C3020"/>
    <w:rsid w:val="006C7199"/>
    <w:rsid w:val="006D17B8"/>
    <w:rsid w:val="006F2E2E"/>
    <w:rsid w:val="006F3404"/>
    <w:rsid w:val="007031DA"/>
    <w:rsid w:val="0072007E"/>
    <w:rsid w:val="0072272C"/>
    <w:rsid w:val="00726547"/>
    <w:rsid w:val="00730DEB"/>
    <w:rsid w:val="00733D7D"/>
    <w:rsid w:val="00735CBA"/>
    <w:rsid w:val="007375A4"/>
    <w:rsid w:val="0074415C"/>
    <w:rsid w:val="00744359"/>
    <w:rsid w:val="00747A19"/>
    <w:rsid w:val="0075255F"/>
    <w:rsid w:val="00752A9C"/>
    <w:rsid w:val="0075728C"/>
    <w:rsid w:val="007608EF"/>
    <w:rsid w:val="007613B5"/>
    <w:rsid w:val="00764D0A"/>
    <w:rsid w:val="007759B5"/>
    <w:rsid w:val="00791B6E"/>
    <w:rsid w:val="007C6E9C"/>
    <w:rsid w:val="007D0009"/>
    <w:rsid w:val="007D10CA"/>
    <w:rsid w:val="007D6DD6"/>
    <w:rsid w:val="007E7E05"/>
    <w:rsid w:val="007F5164"/>
    <w:rsid w:val="0080110B"/>
    <w:rsid w:val="0080427D"/>
    <w:rsid w:val="008100CE"/>
    <w:rsid w:val="00813343"/>
    <w:rsid w:val="0081443F"/>
    <w:rsid w:val="00815839"/>
    <w:rsid w:val="00816259"/>
    <w:rsid w:val="008165BD"/>
    <w:rsid w:val="0082483B"/>
    <w:rsid w:val="00834640"/>
    <w:rsid w:val="008519F4"/>
    <w:rsid w:val="0085213D"/>
    <w:rsid w:val="0086279F"/>
    <w:rsid w:val="008751C1"/>
    <w:rsid w:val="00883F53"/>
    <w:rsid w:val="0088405F"/>
    <w:rsid w:val="00885086"/>
    <w:rsid w:val="00890127"/>
    <w:rsid w:val="00891AD5"/>
    <w:rsid w:val="00895CA3"/>
    <w:rsid w:val="00895ECF"/>
    <w:rsid w:val="0089782F"/>
    <w:rsid w:val="008B06B9"/>
    <w:rsid w:val="008E1998"/>
    <w:rsid w:val="008E273C"/>
    <w:rsid w:val="008E5C7D"/>
    <w:rsid w:val="00904A9D"/>
    <w:rsid w:val="00905F29"/>
    <w:rsid w:val="00911A52"/>
    <w:rsid w:val="009152CF"/>
    <w:rsid w:val="00923E00"/>
    <w:rsid w:val="009322E5"/>
    <w:rsid w:val="00937FDB"/>
    <w:rsid w:val="00943A8A"/>
    <w:rsid w:val="00956228"/>
    <w:rsid w:val="00956B0F"/>
    <w:rsid w:val="009636BB"/>
    <w:rsid w:val="009670A3"/>
    <w:rsid w:val="0098409C"/>
    <w:rsid w:val="00991948"/>
    <w:rsid w:val="00994773"/>
    <w:rsid w:val="009B06CD"/>
    <w:rsid w:val="009D0FF5"/>
    <w:rsid w:val="009D393E"/>
    <w:rsid w:val="009D430A"/>
    <w:rsid w:val="009D7194"/>
    <w:rsid w:val="009E24CA"/>
    <w:rsid w:val="009E51FB"/>
    <w:rsid w:val="009F2843"/>
    <w:rsid w:val="009F2E46"/>
    <w:rsid w:val="009F4B83"/>
    <w:rsid w:val="00A02110"/>
    <w:rsid w:val="00A06DFF"/>
    <w:rsid w:val="00A11019"/>
    <w:rsid w:val="00A113CC"/>
    <w:rsid w:val="00A237F0"/>
    <w:rsid w:val="00A267F6"/>
    <w:rsid w:val="00A27173"/>
    <w:rsid w:val="00A40ACD"/>
    <w:rsid w:val="00A44AE8"/>
    <w:rsid w:val="00A464AF"/>
    <w:rsid w:val="00A47B78"/>
    <w:rsid w:val="00A60712"/>
    <w:rsid w:val="00A62667"/>
    <w:rsid w:val="00A62B36"/>
    <w:rsid w:val="00A62BEE"/>
    <w:rsid w:val="00A63ED9"/>
    <w:rsid w:val="00A73D35"/>
    <w:rsid w:val="00A7478B"/>
    <w:rsid w:val="00AB1C60"/>
    <w:rsid w:val="00AB36E2"/>
    <w:rsid w:val="00AC6E8D"/>
    <w:rsid w:val="00AD017D"/>
    <w:rsid w:val="00AD513A"/>
    <w:rsid w:val="00AE629B"/>
    <w:rsid w:val="00B53A18"/>
    <w:rsid w:val="00B542F9"/>
    <w:rsid w:val="00B5462A"/>
    <w:rsid w:val="00B90CAE"/>
    <w:rsid w:val="00B91E8A"/>
    <w:rsid w:val="00B94893"/>
    <w:rsid w:val="00B955E4"/>
    <w:rsid w:val="00BA0A69"/>
    <w:rsid w:val="00BA3086"/>
    <w:rsid w:val="00BA3993"/>
    <w:rsid w:val="00BB3029"/>
    <w:rsid w:val="00BD7A51"/>
    <w:rsid w:val="00BE6EC5"/>
    <w:rsid w:val="00C11C49"/>
    <w:rsid w:val="00C12FE7"/>
    <w:rsid w:val="00C229A2"/>
    <w:rsid w:val="00C239FA"/>
    <w:rsid w:val="00C25EB4"/>
    <w:rsid w:val="00C3079E"/>
    <w:rsid w:val="00C31492"/>
    <w:rsid w:val="00C3264A"/>
    <w:rsid w:val="00C41076"/>
    <w:rsid w:val="00C55AA0"/>
    <w:rsid w:val="00C66140"/>
    <w:rsid w:val="00C728B0"/>
    <w:rsid w:val="00C733C1"/>
    <w:rsid w:val="00C80BE1"/>
    <w:rsid w:val="00C92ED1"/>
    <w:rsid w:val="00C9699B"/>
    <w:rsid w:val="00C97505"/>
    <w:rsid w:val="00CA0EDA"/>
    <w:rsid w:val="00CB54A9"/>
    <w:rsid w:val="00CD5B26"/>
    <w:rsid w:val="00CD690E"/>
    <w:rsid w:val="00CF1667"/>
    <w:rsid w:val="00CF32E7"/>
    <w:rsid w:val="00CF5A74"/>
    <w:rsid w:val="00D16D5A"/>
    <w:rsid w:val="00D33A12"/>
    <w:rsid w:val="00D4790B"/>
    <w:rsid w:val="00D5180E"/>
    <w:rsid w:val="00D745E7"/>
    <w:rsid w:val="00D76587"/>
    <w:rsid w:val="00D8530D"/>
    <w:rsid w:val="00D87F50"/>
    <w:rsid w:val="00DA6477"/>
    <w:rsid w:val="00DA79B5"/>
    <w:rsid w:val="00DB02F7"/>
    <w:rsid w:val="00DB429D"/>
    <w:rsid w:val="00DB53CB"/>
    <w:rsid w:val="00DB62F9"/>
    <w:rsid w:val="00DB6857"/>
    <w:rsid w:val="00DC0376"/>
    <w:rsid w:val="00DC36F3"/>
    <w:rsid w:val="00DC6552"/>
    <w:rsid w:val="00DD777B"/>
    <w:rsid w:val="00DE1E56"/>
    <w:rsid w:val="00DE41AE"/>
    <w:rsid w:val="00E038BD"/>
    <w:rsid w:val="00E32A34"/>
    <w:rsid w:val="00E524AB"/>
    <w:rsid w:val="00E54537"/>
    <w:rsid w:val="00E56450"/>
    <w:rsid w:val="00E57E24"/>
    <w:rsid w:val="00E73D2D"/>
    <w:rsid w:val="00E77012"/>
    <w:rsid w:val="00EA0A89"/>
    <w:rsid w:val="00EB0C3F"/>
    <w:rsid w:val="00EC031E"/>
    <w:rsid w:val="00ED38D9"/>
    <w:rsid w:val="00EE45C4"/>
    <w:rsid w:val="00EE4694"/>
    <w:rsid w:val="00EE586E"/>
    <w:rsid w:val="00EE5969"/>
    <w:rsid w:val="00EF147F"/>
    <w:rsid w:val="00EF2EE5"/>
    <w:rsid w:val="00EF33D2"/>
    <w:rsid w:val="00EF5F35"/>
    <w:rsid w:val="00F0147C"/>
    <w:rsid w:val="00F140C1"/>
    <w:rsid w:val="00F144FE"/>
    <w:rsid w:val="00F1463F"/>
    <w:rsid w:val="00F3557E"/>
    <w:rsid w:val="00F52B13"/>
    <w:rsid w:val="00F67B24"/>
    <w:rsid w:val="00F87302"/>
    <w:rsid w:val="00F940E1"/>
    <w:rsid w:val="00FA1770"/>
    <w:rsid w:val="00FB14E7"/>
    <w:rsid w:val="00FB565D"/>
    <w:rsid w:val="00FC3720"/>
    <w:rsid w:val="00FC3B7E"/>
    <w:rsid w:val="00FD3BD9"/>
    <w:rsid w:val="00FD4782"/>
    <w:rsid w:val="00FE5F12"/>
    <w:rsid w:val="00FF7A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A9C"/>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752A9C"/>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52A9C"/>
    <w:rPr>
      <w:rFonts w:ascii="Arial" w:eastAsia="黑体" w:hAnsi="Arial" w:cs="Times New Roman"/>
      <w:b/>
      <w:bCs/>
      <w:sz w:val="32"/>
      <w:szCs w:val="32"/>
    </w:rPr>
  </w:style>
  <w:style w:type="character" w:styleId="a3">
    <w:name w:val="footnote reference"/>
    <w:basedOn w:val="a0"/>
    <w:rsid w:val="00752A9C"/>
    <w:rPr>
      <w:vertAlign w:val="superscript"/>
    </w:rPr>
  </w:style>
  <w:style w:type="paragraph" w:styleId="a4">
    <w:name w:val="footnote text"/>
    <w:basedOn w:val="a"/>
    <w:link w:val="Char"/>
    <w:rsid w:val="00752A9C"/>
    <w:pPr>
      <w:snapToGrid w:val="0"/>
      <w:jc w:val="left"/>
    </w:pPr>
    <w:rPr>
      <w:rFonts w:eastAsia="宋体"/>
      <w:sz w:val="18"/>
    </w:rPr>
  </w:style>
  <w:style w:type="character" w:customStyle="1" w:styleId="Char">
    <w:name w:val="脚注文本 Char"/>
    <w:basedOn w:val="a0"/>
    <w:link w:val="a4"/>
    <w:rsid w:val="00752A9C"/>
    <w:rPr>
      <w:rFonts w:ascii="Times New Roman" w:eastAsia="宋体" w:hAnsi="Times New Roman" w:cs="Times New Roman"/>
      <w:sz w:val="18"/>
      <w:szCs w:val="20"/>
    </w:rPr>
  </w:style>
  <w:style w:type="paragraph" w:styleId="a5">
    <w:name w:val="Balloon Text"/>
    <w:basedOn w:val="a"/>
    <w:link w:val="Char0"/>
    <w:uiPriority w:val="99"/>
    <w:semiHidden/>
    <w:unhideWhenUsed/>
    <w:rsid w:val="0054597D"/>
    <w:rPr>
      <w:sz w:val="18"/>
      <w:szCs w:val="18"/>
    </w:rPr>
  </w:style>
  <w:style w:type="character" w:customStyle="1" w:styleId="Char0">
    <w:name w:val="批注框文本 Char"/>
    <w:basedOn w:val="a0"/>
    <w:link w:val="a5"/>
    <w:uiPriority w:val="99"/>
    <w:semiHidden/>
    <w:rsid w:val="0054597D"/>
    <w:rPr>
      <w:rFonts w:ascii="Times New Roman" w:eastAsia="方正仿宋简体" w:hAnsi="Times New Roman" w:cs="Times New Roman"/>
      <w:sz w:val="18"/>
      <w:szCs w:val="18"/>
    </w:rPr>
  </w:style>
  <w:style w:type="paragraph" w:styleId="a6">
    <w:name w:val="header"/>
    <w:basedOn w:val="a"/>
    <w:link w:val="Char1"/>
    <w:uiPriority w:val="99"/>
    <w:unhideWhenUsed/>
    <w:rsid w:val="00DA79B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DA79B5"/>
    <w:rPr>
      <w:rFonts w:ascii="Times New Roman" w:eastAsia="方正仿宋简体" w:hAnsi="Times New Roman" w:cs="Times New Roman"/>
      <w:sz w:val="18"/>
      <w:szCs w:val="18"/>
    </w:rPr>
  </w:style>
  <w:style w:type="paragraph" w:styleId="a7">
    <w:name w:val="footer"/>
    <w:basedOn w:val="a"/>
    <w:link w:val="Char2"/>
    <w:uiPriority w:val="99"/>
    <w:unhideWhenUsed/>
    <w:rsid w:val="00DA79B5"/>
    <w:pPr>
      <w:tabs>
        <w:tab w:val="center" w:pos="4153"/>
        <w:tab w:val="right" w:pos="8306"/>
      </w:tabs>
      <w:snapToGrid w:val="0"/>
      <w:jc w:val="left"/>
    </w:pPr>
    <w:rPr>
      <w:sz w:val="18"/>
      <w:szCs w:val="18"/>
    </w:rPr>
  </w:style>
  <w:style w:type="character" w:customStyle="1" w:styleId="Char2">
    <w:name w:val="页脚 Char"/>
    <w:basedOn w:val="a0"/>
    <w:link w:val="a7"/>
    <w:uiPriority w:val="99"/>
    <w:rsid w:val="00DA79B5"/>
    <w:rPr>
      <w:rFonts w:ascii="Times New Roman" w:eastAsia="方正仿宋简体" w:hAnsi="Times New Roman" w:cs="Times New Roman"/>
      <w:sz w:val="18"/>
      <w:szCs w:val="18"/>
    </w:rPr>
  </w:style>
  <w:style w:type="paragraph" w:styleId="a8">
    <w:name w:val="Revision"/>
    <w:hidden/>
    <w:uiPriority w:val="99"/>
    <w:semiHidden/>
    <w:rsid w:val="006F3404"/>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divs>
    <w:div w:id="44186258">
      <w:bodyDiv w:val="1"/>
      <w:marLeft w:val="0"/>
      <w:marRight w:val="0"/>
      <w:marTop w:val="0"/>
      <w:marBottom w:val="0"/>
      <w:divBdr>
        <w:top w:val="none" w:sz="0" w:space="0" w:color="auto"/>
        <w:left w:val="none" w:sz="0" w:space="0" w:color="auto"/>
        <w:bottom w:val="none" w:sz="0" w:space="0" w:color="auto"/>
        <w:right w:val="none" w:sz="0" w:space="0" w:color="auto"/>
      </w:divBdr>
    </w:div>
    <w:div w:id="74480454">
      <w:bodyDiv w:val="1"/>
      <w:marLeft w:val="0"/>
      <w:marRight w:val="0"/>
      <w:marTop w:val="0"/>
      <w:marBottom w:val="0"/>
      <w:divBdr>
        <w:top w:val="none" w:sz="0" w:space="0" w:color="auto"/>
        <w:left w:val="none" w:sz="0" w:space="0" w:color="auto"/>
        <w:bottom w:val="none" w:sz="0" w:space="0" w:color="auto"/>
        <w:right w:val="none" w:sz="0" w:space="0" w:color="auto"/>
      </w:divBdr>
    </w:div>
    <w:div w:id="181094517">
      <w:bodyDiv w:val="1"/>
      <w:marLeft w:val="0"/>
      <w:marRight w:val="0"/>
      <w:marTop w:val="0"/>
      <w:marBottom w:val="0"/>
      <w:divBdr>
        <w:top w:val="none" w:sz="0" w:space="0" w:color="auto"/>
        <w:left w:val="none" w:sz="0" w:space="0" w:color="auto"/>
        <w:bottom w:val="none" w:sz="0" w:space="0" w:color="auto"/>
        <w:right w:val="none" w:sz="0" w:space="0" w:color="auto"/>
      </w:divBdr>
    </w:div>
    <w:div w:id="287396799">
      <w:bodyDiv w:val="1"/>
      <w:marLeft w:val="0"/>
      <w:marRight w:val="0"/>
      <w:marTop w:val="0"/>
      <w:marBottom w:val="0"/>
      <w:divBdr>
        <w:top w:val="none" w:sz="0" w:space="0" w:color="auto"/>
        <w:left w:val="none" w:sz="0" w:space="0" w:color="auto"/>
        <w:bottom w:val="none" w:sz="0" w:space="0" w:color="auto"/>
        <w:right w:val="none" w:sz="0" w:space="0" w:color="auto"/>
      </w:divBdr>
    </w:div>
    <w:div w:id="291206301">
      <w:bodyDiv w:val="1"/>
      <w:marLeft w:val="0"/>
      <w:marRight w:val="0"/>
      <w:marTop w:val="0"/>
      <w:marBottom w:val="0"/>
      <w:divBdr>
        <w:top w:val="none" w:sz="0" w:space="0" w:color="auto"/>
        <w:left w:val="none" w:sz="0" w:space="0" w:color="auto"/>
        <w:bottom w:val="none" w:sz="0" w:space="0" w:color="auto"/>
        <w:right w:val="none" w:sz="0" w:space="0" w:color="auto"/>
      </w:divBdr>
    </w:div>
    <w:div w:id="332032040">
      <w:bodyDiv w:val="1"/>
      <w:marLeft w:val="0"/>
      <w:marRight w:val="0"/>
      <w:marTop w:val="0"/>
      <w:marBottom w:val="0"/>
      <w:divBdr>
        <w:top w:val="none" w:sz="0" w:space="0" w:color="auto"/>
        <w:left w:val="none" w:sz="0" w:space="0" w:color="auto"/>
        <w:bottom w:val="none" w:sz="0" w:space="0" w:color="auto"/>
        <w:right w:val="none" w:sz="0" w:space="0" w:color="auto"/>
      </w:divBdr>
    </w:div>
    <w:div w:id="474687637">
      <w:bodyDiv w:val="1"/>
      <w:marLeft w:val="0"/>
      <w:marRight w:val="0"/>
      <w:marTop w:val="0"/>
      <w:marBottom w:val="0"/>
      <w:divBdr>
        <w:top w:val="none" w:sz="0" w:space="0" w:color="auto"/>
        <w:left w:val="none" w:sz="0" w:space="0" w:color="auto"/>
        <w:bottom w:val="none" w:sz="0" w:space="0" w:color="auto"/>
        <w:right w:val="none" w:sz="0" w:space="0" w:color="auto"/>
      </w:divBdr>
    </w:div>
    <w:div w:id="527331986">
      <w:bodyDiv w:val="1"/>
      <w:marLeft w:val="0"/>
      <w:marRight w:val="0"/>
      <w:marTop w:val="0"/>
      <w:marBottom w:val="0"/>
      <w:divBdr>
        <w:top w:val="none" w:sz="0" w:space="0" w:color="auto"/>
        <w:left w:val="none" w:sz="0" w:space="0" w:color="auto"/>
        <w:bottom w:val="none" w:sz="0" w:space="0" w:color="auto"/>
        <w:right w:val="none" w:sz="0" w:space="0" w:color="auto"/>
      </w:divBdr>
    </w:div>
    <w:div w:id="565184326">
      <w:bodyDiv w:val="1"/>
      <w:marLeft w:val="0"/>
      <w:marRight w:val="0"/>
      <w:marTop w:val="0"/>
      <w:marBottom w:val="0"/>
      <w:divBdr>
        <w:top w:val="none" w:sz="0" w:space="0" w:color="auto"/>
        <w:left w:val="none" w:sz="0" w:space="0" w:color="auto"/>
        <w:bottom w:val="none" w:sz="0" w:space="0" w:color="auto"/>
        <w:right w:val="none" w:sz="0" w:space="0" w:color="auto"/>
      </w:divBdr>
    </w:div>
    <w:div w:id="602953666">
      <w:bodyDiv w:val="1"/>
      <w:marLeft w:val="0"/>
      <w:marRight w:val="0"/>
      <w:marTop w:val="0"/>
      <w:marBottom w:val="0"/>
      <w:divBdr>
        <w:top w:val="none" w:sz="0" w:space="0" w:color="auto"/>
        <w:left w:val="none" w:sz="0" w:space="0" w:color="auto"/>
        <w:bottom w:val="none" w:sz="0" w:space="0" w:color="auto"/>
        <w:right w:val="none" w:sz="0" w:space="0" w:color="auto"/>
      </w:divBdr>
    </w:div>
    <w:div w:id="634457320">
      <w:bodyDiv w:val="1"/>
      <w:marLeft w:val="0"/>
      <w:marRight w:val="0"/>
      <w:marTop w:val="0"/>
      <w:marBottom w:val="0"/>
      <w:divBdr>
        <w:top w:val="none" w:sz="0" w:space="0" w:color="auto"/>
        <w:left w:val="none" w:sz="0" w:space="0" w:color="auto"/>
        <w:bottom w:val="none" w:sz="0" w:space="0" w:color="auto"/>
        <w:right w:val="none" w:sz="0" w:space="0" w:color="auto"/>
      </w:divBdr>
    </w:div>
    <w:div w:id="682633402">
      <w:bodyDiv w:val="1"/>
      <w:marLeft w:val="0"/>
      <w:marRight w:val="0"/>
      <w:marTop w:val="0"/>
      <w:marBottom w:val="0"/>
      <w:divBdr>
        <w:top w:val="none" w:sz="0" w:space="0" w:color="auto"/>
        <w:left w:val="none" w:sz="0" w:space="0" w:color="auto"/>
        <w:bottom w:val="none" w:sz="0" w:space="0" w:color="auto"/>
        <w:right w:val="none" w:sz="0" w:space="0" w:color="auto"/>
      </w:divBdr>
    </w:div>
    <w:div w:id="692653575">
      <w:bodyDiv w:val="1"/>
      <w:marLeft w:val="0"/>
      <w:marRight w:val="0"/>
      <w:marTop w:val="0"/>
      <w:marBottom w:val="0"/>
      <w:divBdr>
        <w:top w:val="none" w:sz="0" w:space="0" w:color="auto"/>
        <w:left w:val="none" w:sz="0" w:space="0" w:color="auto"/>
        <w:bottom w:val="none" w:sz="0" w:space="0" w:color="auto"/>
        <w:right w:val="none" w:sz="0" w:space="0" w:color="auto"/>
      </w:divBdr>
    </w:div>
    <w:div w:id="832376597">
      <w:bodyDiv w:val="1"/>
      <w:marLeft w:val="0"/>
      <w:marRight w:val="0"/>
      <w:marTop w:val="0"/>
      <w:marBottom w:val="0"/>
      <w:divBdr>
        <w:top w:val="none" w:sz="0" w:space="0" w:color="auto"/>
        <w:left w:val="none" w:sz="0" w:space="0" w:color="auto"/>
        <w:bottom w:val="none" w:sz="0" w:space="0" w:color="auto"/>
        <w:right w:val="none" w:sz="0" w:space="0" w:color="auto"/>
      </w:divBdr>
    </w:div>
    <w:div w:id="876552046">
      <w:bodyDiv w:val="1"/>
      <w:marLeft w:val="0"/>
      <w:marRight w:val="0"/>
      <w:marTop w:val="0"/>
      <w:marBottom w:val="0"/>
      <w:divBdr>
        <w:top w:val="none" w:sz="0" w:space="0" w:color="auto"/>
        <w:left w:val="none" w:sz="0" w:space="0" w:color="auto"/>
        <w:bottom w:val="none" w:sz="0" w:space="0" w:color="auto"/>
        <w:right w:val="none" w:sz="0" w:space="0" w:color="auto"/>
      </w:divBdr>
    </w:div>
    <w:div w:id="1011838394">
      <w:bodyDiv w:val="1"/>
      <w:marLeft w:val="0"/>
      <w:marRight w:val="0"/>
      <w:marTop w:val="0"/>
      <w:marBottom w:val="0"/>
      <w:divBdr>
        <w:top w:val="none" w:sz="0" w:space="0" w:color="auto"/>
        <w:left w:val="none" w:sz="0" w:space="0" w:color="auto"/>
        <w:bottom w:val="none" w:sz="0" w:space="0" w:color="auto"/>
        <w:right w:val="none" w:sz="0" w:space="0" w:color="auto"/>
      </w:divBdr>
    </w:div>
    <w:div w:id="1024483661">
      <w:bodyDiv w:val="1"/>
      <w:marLeft w:val="0"/>
      <w:marRight w:val="0"/>
      <w:marTop w:val="0"/>
      <w:marBottom w:val="0"/>
      <w:divBdr>
        <w:top w:val="none" w:sz="0" w:space="0" w:color="auto"/>
        <w:left w:val="none" w:sz="0" w:space="0" w:color="auto"/>
        <w:bottom w:val="none" w:sz="0" w:space="0" w:color="auto"/>
        <w:right w:val="none" w:sz="0" w:space="0" w:color="auto"/>
      </w:divBdr>
    </w:div>
    <w:div w:id="1137797358">
      <w:bodyDiv w:val="1"/>
      <w:marLeft w:val="0"/>
      <w:marRight w:val="0"/>
      <w:marTop w:val="0"/>
      <w:marBottom w:val="0"/>
      <w:divBdr>
        <w:top w:val="none" w:sz="0" w:space="0" w:color="auto"/>
        <w:left w:val="none" w:sz="0" w:space="0" w:color="auto"/>
        <w:bottom w:val="none" w:sz="0" w:space="0" w:color="auto"/>
        <w:right w:val="none" w:sz="0" w:space="0" w:color="auto"/>
      </w:divBdr>
    </w:div>
    <w:div w:id="1169566462">
      <w:bodyDiv w:val="1"/>
      <w:marLeft w:val="0"/>
      <w:marRight w:val="0"/>
      <w:marTop w:val="0"/>
      <w:marBottom w:val="0"/>
      <w:divBdr>
        <w:top w:val="none" w:sz="0" w:space="0" w:color="auto"/>
        <w:left w:val="none" w:sz="0" w:space="0" w:color="auto"/>
        <w:bottom w:val="none" w:sz="0" w:space="0" w:color="auto"/>
        <w:right w:val="none" w:sz="0" w:space="0" w:color="auto"/>
      </w:divBdr>
    </w:div>
    <w:div w:id="1184897189">
      <w:bodyDiv w:val="1"/>
      <w:marLeft w:val="0"/>
      <w:marRight w:val="0"/>
      <w:marTop w:val="0"/>
      <w:marBottom w:val="0"/>
      <w:divBdr>
        <w:top w:val="none" w:sz="0" w:space="0" w:color="auto"/>
        <w:left w:val="none" w:sz="0" w:space="0" w:color="auto"/>
        <w:bottom w:val="none" w:sz="0" w:space="0" w:color="auto"/>
        <w:right w:val="none" w:sz="0" w:space="0" w:color="auto"/>
      </w:divBdr>
    </w:div>
    <w:div w:id="1334145864">
      <w:bodyDiv w:val="1"/>
      <w:marLeft w:val="0"/>
      <w:marRight w:val="0"/>
      <w:marTop w:val="0"/>
      <w:marBottom w:val="0"/>
      <w:divBdr>
        <w:top w:val="none" w:sz="0" w:space="0" w:color="auto"/>
        <w:left w:val="none" w:sz="0" w:space="0" w:color="auto"/>
        <w:bottom w:val="none" w:sz="0" w:space="0" w:color="auto"/>
        <w:right w:val="none" w:sz="0" w:space="0" w:color="auto"/>
      </w:divBdr>
    </w:div>
    <w:div w:id="1365057549">
      <w:bodyDiv w:val="1"/>
      <w:marLeft w:val="0"/>
      <w:marRight w:val="0"/>
      <w:marTop w:val="0"/>
      <w:marBottom w:val="0"/>
      <w:divBdr>
        <w:top w:val="none" w:sz="0" w:space="0" w:color="auto"/>
        <w:left w:val="none" w:sz="0" w:space="0" w:color="auto"/>
        <w:bottom w:val="none" w:sz="0" w:space="0" w:color="auto"/>
        <w:right w:val="none" w:sz="0" w:space="0" w:color="auto"/>
      </w:divBdr>
    </w:div>
    <w:div w:id="1394960127">
      <w:bodyDiv w:val="1"/>
      <w:marLeft w:val="0"/>
      <w:marRight w:val="0"/>
      <w:marTop w:val="0"/>
      <w:marBottom w:val="0"/>
      <w:divBdr>
        <w:top w:val="none" w:sz="0" w:space="0" w:color="auto"/>
        <w:left w:val="none" w:sz="0" w:space="0" w:color="auto"/>
        <w:bottom w:val="none" w:sz="0" w:space="0" w:color="auto"/>
        <w:right w:val="none" w:sz="0" w:space="0" w:color="auto"/>
      </w:divBdr>
    </w:div>
    <w:div w:id="1401975438">
      <w:bodyDiv w:val="1"/>
      <w:marLeft w:val="0"/>
      <w:marRight w:val="0"/>
      <w:marTop w:val="0"/>
      <w:marBottom w:val="0"/>
      <w:divBdr>
        <w:top w:val="none" w:sz="0" w:space="0" w:color="auto"/>
        <w:left w:val="none" w:sz="0" w:space="0" w:color="auto"/>
        <w:bottom w:val="none" w:sz="0" w:space="0" w:color="auto"/>
        <w:right w:val="none" w:sz="0" w:space="0" w:color="auto"/>
      </w:divBdr>
    </w:div>
    <w:div w:id="1462764261">
      <w:bodyDiv w:val="1"/>
      <w:marLeft w:val="0"/>
      <w:marRight w:val="0"/>
      <w:marTop w:val="0"/>
      <w:marBottom w:val="0"/>
      <w:divBdr>
        <w:top w:val="none" w:sz="0" w:space="0" w:color="auto"/>
        <w:left w:val="none" w:sz="0" w:space="0" w:color="auto"/>
        <w:bottom w:val="none" w:sz="0" w:space="0" w:color="auto"/>
        <w:right w:val="none" w:sz="0" w:space="0" w:color="auto"/>
      </w:divBdr>
    </w:div>
    <w:div w:id="1546135450">
      <w:bodyDiv w:val="1"/>
      <w:marLeft w:val="0"/>
      <w:marRight w:val="0"/>
      <w:marTop w:val="0"/>
      <w:marBottom w:val="0"/>
      <w:divBdr>
        <w:top w:val="none" w:sz="0" w:space="0" w:color="auto"/>
        <w:left w:val="none" w:sz="0" w:space="0" w:color="auto"/>
        <w:bottom w:val="none" w:sz="0" w:space="0" w:color="auto"/>
        <w:right w:val="none" w:sz="0" w:space="0" w:color="auto"/>
      </w:divBdr>
    </w:div>
    <w:div w:id="1624575001">
      <w:bodyDiv w:val="1"/>
      <w:marLeft w:val="0"/>
      <w:marRight w:val="0"/>
      <w:marTop w:val="0"/>
      <w:marBottom w:val="0"/>
      <w:divBdr>
        <w:top w:val="none" w:sz="0" w:space="0" w:color="auto"/>
        <w:left w:val="none" w:sz="0" w:space="0" w:color="auto"/>
        <w:bottom w:val="none" w:sz="0" w:space="0" w:color="auto"/>
        <w:right w:val="none" w:sz="0" w:space="0" w:color="auto"/>
      </w:divBdr>
    </w:div>
    <w:div w:id="1717774729">
      <w:bodyDiv w:val="1"/>
      <w:marLeft w:val="0"/>
      <w:marRight w:val="0"/>
      <w:marTop w:val="0"/>
      <w:marBottom w:val="0"/>
      <w:divBdr>
        <w:top w:val="none" w:sz="0" w:space="0" w:color="auto"/>
        <w:left w:val="none" w:sz="0" w:space="0" w:color="auto"/>
        <w:bottom w:val="none" w:sz="0" w:space="0" w:color="auto"/>
        <w:right w:val="none" w:sz="0" w:space="0" w:color="auto"/>
      </w:divBdr>
    </w:div>
    <w:div w:id="1834563061">
      <w:bodyDiv w:val="1"/>
      <w:marLeft w:val="0"/>
      <w:marRight w:val="0"/>
      <w:marTop w:val="0"/>
      <w:marBottom w:val="0"/>
      <w:divBdr>
        <w:top w:val="none" w:sz="0" w:space="0" w:color="auto"/>
        <w:left w:val="none" w:sz="0" w:space="0" w:color="auto"/>
        <w:bottom w:val="none" w:sz="0" w:space="0" w:color="auto"/>
        <w:right w:val="none" w:sz="0" w:space="0" w:color="auto"/>
      </w:divBdr>
    </w:div>
    <w:div w:id="1910769079">
      <w:bodyDiv w:val="1"/>
      <w:marLeft w:val="0"/>
      <w:marRight w:val="0"/>
      <w:marTop w:val="0"/>
      <w:marBottom w:val="0"/>
      <w:divBdr>
        <w:top w:val="none" w:sz="0" w:space="0" w:color="auto"/>
        <w:left w:val="none" w:sz="0" w:space="0" w:color="auto"/>
        <w:bottom w:val="none" w:sz="0" w:space="0" w:color="auto"/>
        <w:right w:val="none" w:sz="0" w:space="0" w:color="auto"/>
      </w:divBdr>
    </w:div>
    <w:div w:id="1968663933">
      <w:bodyDiv w:val="1"/>
      <w:marLeft w:val="0"/>
      <w:marRight w:val="0"/>
      <w:marTop w:val="0"/>
      <w:marBottom w:val="0"/>
      <w:divBdr>
        <w:top w:val="none" w:sz="0" w:space="0" w:color="auto"/>
        <w:left w:val="none" w:sz="0" w:space="0" w:color="auto"/>
        <w:bottom w:val="none" w:sz="0" w:space="0" w:color="auto"/>
        <w:right w:val="none" w:sz="0" w:space="0" w:color="auto"/>
      </w:divBdr>
    </w:div>
    <w:div w:id="1975596073">
      <w:bodyDiv w:val="1"/>
      <w:marLeft w:val="0"/>
      <w:marRight w:val="0"/>
      <w:marTop w:val="0"/>
      <w:marBottom w:val="0"/>
      <w:divBdr>
        <w:top w:val="none" w:sz="0" w:space="0" w:color="auto"/>
        <w:left w:val="none" w:sz="0" w:space="0" w:color="auto"/>
        <w:bottom w:val="none" w:sz="0" w:space="0" w:color="auto"/>
        <w:right w:val="none" w:sz="0" w:space="0" w:color="auto"/>
      </w:divBdr>
    </w:div>
    <w:div w:id="2001149909">
      <w:bodyDiv w:val="1"/>
      <w:marLeft w:val="0"/>
      <w:marRight w:val="0"/>
      <w:marTop w:val="0"/>
      <w:marBottom w:val="0"/>
      <w:divBdr>
        <w:top w:val="none" w:sz="0" w:space="0" w:color="auto"/>
        <w:left w:val="none" w:sz="0" w:space="0" w:color="auto"/>
        <w:bottom w:val="none" w:sz="0" w:space="0" w:color="auto"/>
        <w:right w:val="none" w:sz="0" w:space="0" w:color="auto"/>
      </w:divBdr>
    </w:div>
    <w:div w:id="2024014552">
      <w:bodyDiv w:val="1"/>
      <w:marLeft w:val="0"/>
      <w:marRight w:val="0"/>
      <w:marTop w:val="0"/>
      <w:marBottom w:val="0"/>
      <w:divBdr>
        <w:top w:val="none" w:sz="0" w:space="0" w:color="auto"/>
        <w:left w:val="none" w:sz="0" w:space="0" w:color="auto"/>
        <w:bottom w:val="none" w:sz="0" w:space="0" w:color="auto"/>
        <w:right w:val="none" w:sz="0" w:space="0" w:color="auto"/>
      </w:divBdr>
    </w:div>
    <w:div w:id="2097440260">
      <w:bodyDiv w:val="1"/>
      <w:marLeft w:val="0"/>
      <w:marRight w:val="0"/>
      <w:marTop w:val="0"/>
      <w:marBottom w:val="0"/>
      <w:divBdr>
        <w:top w:val="none" w:sz="0" w:space="0" w:color="auto"/>
        <w:left w:val="none" w:sz="0" w:space="0" w:color="auto"/>
        <w:bottom w:val="none" w:sz="0" w:space="0" w:color="auto"/>
        <w:right w:val="none" w:sz="0" w:space="0" w:color="auto"/>
      </w:divBdr>
    </w:div>
    <w:div w:id="2120946809">
      <w:bodyDiv w:val="1"/>
      <w:marLeft w:val="0"/>
      <w:marRight w:val="0"/>
      <w:marTop w:val="0"/>
      <w:marBottom w:val="0"/>
      <w:divBdr>
        <w:top w:val="none" w:sz="0" w:space="0" w:color="auto"/>
        <w:left w:val="none" w:sz="0" w:space="0" w:color="auto"/>
        <w:bottom w:val="none" w:sz="0" w:space="0" w:color="auto"/>
        <w:right w:val="none" w:sz="0" w:space="0" w:color="auto"/>
      </w:divBdr>
    </w:div>
    <w:div w:id="21360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3143</Characters>
  <Application>Microsoft Office Word</Application>
  <DocSecurity>4</DocSecurity>
  <Lines>26</Lines>
  <Paragraphs>7</Paragraphs>
  <ScaleCrop>false</ScaleCrop>
  <Company>微软中国</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2019-11-11T09:19:00Z</cp:lastPrinted>
  <dcterms:created xsi:type="dcterms:W3CDTF">2026-03-02T16:00:00Z</dcterms:created>
  <dcterms:modified xsi:type="dcterms:W3CDTF">2026-03-02T16:00:00Z</dcterms:modified>
</cp:coreProperties>
</file>