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0AE3" w:rsidRDefault="00F311D5">
      <w:pPr>
        <w:jc w:val="center"/>
        <w:rPr>
          <w:b/>
          <w:sz w:val="32"/>
          <w:szCs w:val="32"/>
        </w:rPr>
      </w:pPr>
      <w:r>
        <w:rPr>
          <w:rFonts w:hint="eastAsia"/>
          <w:b/>
          <w:sz w:val="32"/>
          <w:szCs w:val="32"/>
        </w:rPr>
        <w:t>华宝基金管理有限公司</w:t>
      </w:r>
    </w:p>
    <w:p w:rsidR="006C0AE3" w:rsidRPr="00F311D5" w:rsidRDefault="00F311D5" w:rsidP="00F311D5">
      <w:pPr>
        <w:jc w:val="center"/>
        <w:rPr>
          <w:b/>
          <w:sz w:val="32"/>
          <w:szCs w:val="32"/>
        </w:rPr>
      </w:pPr>
      <w:r>
        <w:rPr>
          <w:rFonts w:hint="eastAsia"/>
          <w:b/>
          <w:sz w:val="32"/>
          <w:szCs w:val="32"/>
        </w:rPr>
        <w:t>关于旗下部分基金增加</w:t>
      </w:r>
      <w:r>
        <w:rPr>
          <w:b/>
          <w:sz w:val="32"/>
          <w:szCs w:val="32"/>
        </w:rPr>
        <w:t>流动性服务商的公告</w:t>
      </w:r>
    </w:p>
    <w:p w:rsidR="006C0AE3" w:rsidRDefault="006C0AE3"/>
    <w:p w:rsidR="006C0AE3" w:rsidRPr="00F311D5" w:rsidRDefault="00F311D5" w:rsidP="00F311D5">
      <w:pPr>
        <w:spacing w:line="360" w:lineRule="auto"/>
        <w:ind w:firstLineChars="200" w:firstLine="480"/>
        <w:jc w:val="left"/>
        <w:rPr>
          <w:rFonts w:asciiTheme="minorEastAsia" w:hAnsiTheme="minorEastAsia"/>
          <w:sz w:val="24"/>
          <w:szCs w:val="24"/>
        </w:rPr>
      </w:pPr>
      <w:r w:rsidRPr="00F311D5">
        <w:rPr>
          <w:rFonts w:asciiTheme="minorEastAsia" w:hAnsiTheme="minorEastAsia" w:hint="eastAsia"/>
          <w:sz w:val="24"/>
          <w:szCs w:val="24"/>
        </w:rPr>
        <w:t>为促进华宝中证港股通信息技术综合交易型开放式指数证券投资基金（基金简称：港股信息技术ETF，基金代码：159131）、华宝中证800地产交易型开放式指数证券投资基金（基金简称：地产ETF，基金代码：159707）的市场流动性和平稳运行，根据《深圳证券交易所证券投资基金业务指引第2号——流动性服务（202</w:t>
      </w:r>
      <w:r w:rsidRPr="00F311D5">
        <w:rPr>
          <w:rFonts w:asciiTheme="minorEastAsia" w:hAnsiTheme="minorEastAsia"/>
          <w:sz w:val="24"/>
          <w:szCs w:val="24"/>
        </w:rPr>
        <w:t>3</w:t>
      </w:r>
      <w:r w:rsidRPr="00F311D5">
        <w:rPr>
          <w:rFonts w:asciiTheme="minorEastAsia" w:hAnsiTheme="minorEastAsia" w:hint="eastAsia"/>
          <w:sz w:val="24"/>
          <w:szCs w:val="24"/>
        </w:rPr>
        <w:t>年修订）》等相关规定，我司</w:t>
      </w:r>
      <w:r w:rsidRPr="00F311D5">
        <w:rPr>
          <w:rFonts w:asciiTheme="minorEastAsia" w:hAnsiTheme="minorEastAsia"/>
          <w:sz w:val="24"/>
          <w:szCs w:val="24"/>
        </w:rPr>
        <w:t>自</w:t>
      </w:r>
      <w:r w:rsidRPr="00F311D5">
        <w:rPr>
          <w:rFonts w:asciiTheme="minorEastAsia" w:hAnsiTheme="minorEastAsia" w:hint="eastAsia"/>
          <w:sz w:val="24"/>
          <w:szCs w:val="24"/>
        </w:rPr>
        <w:t>2026年3月</w:t>
      </w:r>
      <w:r w:rsidR="006F15F5">
        <w:rPr>
          <w:rFonts w:asciiTheme="minorEastAsia" w:hAnsiTheme="minorEastAsia"/>
          <w:sz w:val="24"/>
          <w:szCs w:val="24"/>
        </w:rPr>
        <w:t>2</w:t>
      </w:r>
      <w:r w:rsidRPr="00F311D5">
        <w:rPr>
          <w:rFonts w:asciiTheme="minorEastAsia" w:hAnsiTheme="minorEastAsia" w:hint="eastAsia"/>
          <w:sz w:val="24"/>
          <w:szCs w:val="24"/>
        </w:rPr>
        <w:t>日</w:t>
      </w:r>
      <w:r w:rsidRPr="00F311D5">
        <w:rPr>
          <w:rFonts w:asciiTheme="minorEastAsia" w:hAnsiTheme="minorEastAsia"/>
          <w:sz w:val="24"/>
          <w:szCs w:val="24"/>
        </w:rPr>
        <w:t>起</w:t>
      </w:r>
      <w:r w:rsidRPr="00F311D5">
        <w:rPr>
          <w:rFonts w:asciiTheme="minorEastAsia" w:hAnsiTheme="minorEastAsia" w:hint="eastAsia"/>
          <w:sz w:val="24"/>
          <w:szCs w:val="24"/>
        </w:rPr>
        <w:t>新增东海证券股份有限公司</w:t>
      </w:r>
      <w:r w:rsidRPr="00F311D5">
        <w:rPr>
          <w:rFonts w:asciiTheme="minorEastAsia" w:hAnsiTheme="minorEastAsia"/>
          <w:sz w:val="24"/>
          <w:szCs w:val="24"/>
        </w:rPr>
        <w:t>为</w:t>
      </w:r>
      <w:r w:rsidRPr="00F311D5">
        <w:rPr>
          <w:rFonts w:asciiTheme="minorEastAsia" w:hAnsiTheme="minorEastAsia" w:hint="eastAsia"/>
          <w:sz w:val="24"/>
          <w:szCs w:val="24"/>
        </w:rPr>
        <w:t>港股信息技术ETF、地产ETF的</w:t>
      </w:r>
      <w:r w:rsidRPr="00F311D5">
        <w:rPr>
          <w:rFonts w:asciiTheme="minorEastAsia" w:hAnsiTheme="minorEastAsia"/>
          <w:sz w:val="24"/>
          <w:szCs w:val="24"/>
        </w:rPr>
        <w:t>流动性服务商</w:t>
      </w:r>
      <w:r w:rsidRPr="00F311D5">
        <w:rPr>
          <w:rFonts w:asciiTheme="minorEastAsia" w:hAnsiTheme="minorEastAsia" w:hint="eastAsia"/>
          <w:sz w:val="24"/>
          <w:szCs w:val="24"/>
        </w:rPr>
        <w:t>。</w:t>
      </w:r>
    </w:p>
    <w:p w:rsidR="006C0AE3" w:rsidRPr="00F311D5" w:rsidRDefault="006C0AE3" w:rsidP="00F311D5">
      <w:pPr>
        <w:spacing w:line="360" w:lineRule="auto"/>
        <w:ind w:firstLineChars="200" w:firstLine="480"/>
        <w:jc w:val="left"/>
        <w:rPr>
          <w:rFonts w:asciiTheme="minorEastAsia" w:hAnsiTheme="minorEastAsia"/>
          <w:sz w:val="24"/>
          <w:szCs w:val="24"/>
        </w:rPr>
      </w:pPr>
    </w:p>
    <w:p w:rsidR="006C0AE3" w:rsidRPr="00F311D5" w:rsidRDefault="00F311D5" w:rsidP="00F311D5">
      <w:pPr>
        <w:spacing w:line="360" w:lineRule="auto"/>
        <w:ind w:firstLineChars="200" w:firstLine="480"/>
        <w:jc w:val="left"/>
        <w:rPr>
          <w:rFonts w:asciiTheme="minorEastAsia" w:hAnsiTheme="minorEastAsia"/>
          <w:sz w:val="24"/>
          <w:szCs w:val="24"/>
        </w:rPr>
      </w:pPr>
      <w:r w:rsidRPr="00F311D5">
        <w:rPr>
          <w:rFonts w:asciiTheme="minorEastAsia" w:hAnsiTheme="minorEastAsia" w:hint="eastAsia"/>
          <w:sz w:val="24"/>
          <w:szCs w:val="24"/>
        </w:rPr>
        <w:t>特此公告。</w:t>
      </w:r>
    </w:p>
    <w:p w:rsidR="006C0AE3" w:rsidRDefault="006C0AE3">
      <w:pPr>
        <w:spacing w:line="360" w:lineRule="auto"/>
        <w:rPr>
          <w:rFonts w:asciiTheme="minorEastAsia" w:hAnsiTheme="minorEastAsia"/>
        </w:rPr>
      </w:pPr>
    </w:p>
    <w:p w:rsidR="006C0AE3" w:rsidRDefault="00F311D5">
      <w:pPr>
        <w:spacing w:line="360" w:lineRule="auto"/>
        <w:jc w:val="right"/>
        <w:rPr>
          <w:rFonts w:asciiTheme="minorEastAsia" w:hAnsiTheme="minorEastAsia"/>
        </w:rPr>
      </w:pPr>
      <w:r>
        <w:rPr>
          <w:rFonts w:asciiTheme="minorEastAsia" w:hAnsiTheme="minorEastAsia" w:hint="eastAsia"/>
        </w:rPr>
        <w:t>华宝</w:t>
      </w:r>
      <w:r>
        <w:rPr>
          <w:rFonts w:asciiTheme="minorEastAsia" w:hAnsiTheme="minorEastAsia"/>
        </w:rPr>
        <w:t>基金管理有限公司</w:t>
      </w:r>
    </w:p>
    <w:p w:rsidR="006C0AE3" w:rsidRDefault="00F311D5">
      <w:pPr>
        <w:widowControl/>
        <w:jc w:val="right"/>
        <w:rPr>
          <w:rFonts w:asciiTheme="minorEastAsia" w:hAnsiTheme="minorEastAsia"/>
        </w:rPr>
      </w:pPr>
      <w:r>
        <w:rPr>
          <w:rFonts w:asciiTheme="minorEastAsia" w:hAnsiTheme="minorEastAsia" w:hint="eastAsia"/>
        </w:rPr>
        <w:t>2026年3月</w:t>
      </w:r>
      <w:r w:rsidR="006F15F5">
        <w:rPr>
          <w:rFonts w:asciiTheme="minorEastAsia" w:hAnsiTheme="minorEastAsia"/>
        </w:rPr>
        <w:t>2</w:t>
      </w:r>
      <w:bookmarkStart w:id="0" w:name="_GoBack"/>
      <w:bookmarkEnd w:id="0"/>
      <w:r>
        <w:rPr>
          <w:rFonts w:asciiTheme="minorEastAsia" w:hAnsiTheme="minorEastAsia" w:hint="eastAsia"/>
        </w:rPr>
        <w:t>日</w:t>
      </w:r>
    </w:p>
    <w:sectPr w:rsidR="006C0AE3" w:rsidSect="00BD5E1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243C3C"/>
    <w:rsid w:val="00007F60"/>
    <w:rsid w:val="00012B20"/>
    <w:rsid w:val="00053D10"/>
    <w:rsid w:val="000E5299"/>
    <w:rsid w:val="001502D8"/>
    <w:rsid w:val="001634B3"/>
    <w:rsid w:val="00213525"/>
    <w:rsid w:val="002336F4"/>
    <w:rsid w:val="00243C3C"/>
    <w:rsid w:val="00277775"/>
    <w:rsid w:val="002B1838"/>
    <w:rsid w:val="002E0C36"/>
    <w:rsid w:val="00301D02"/>
    <w:rsid w:val="0030789A"/>
    <w:rsid w:val="0034389B"/>
    <w:rsid w:val="00360B05"/>
    <w:rsid w:val="003D5B8E"/>
    <w:rsid w:val="00440B3D"/>
    <w:rsid w:val="004B2AE3"/>
    <w:rsid w:val="00513671"/>
    <w:rsid w:val="005B0CAF"/>
    <w:rsid w:val="005B33B9"/>
    <w:rsid w:val="005C05E0"/>
    <w:rsid w:val="005F2192"/>
    <w:rsid w:val="006014E2"/>
    <w:rsid w:val="00674FE4"/>
    <w:rsid w:val="006B641B"/>
    <w:rsid w:val="006C0AE3"/>
    <w:rsid w:val="006C2AC3"/>
    <w:rsid w:val="006F15F5"/>
    <w:rsid w:val="007431FA"/>
    <w:rsid w:val="00760206"/>
    <w:rsid w:val="007B6C83"/>
    <w:rsid w:val="007D2BDB"/>
    <w:rsid w:val="007E317B"/>
    <w:rsid w:val="00820118"/>
    <w:rsid w:val="008207C0"/>
    <w:rsid w:val="00836233"/>
    <w:rsid w:val="009342C3"/>
    <w:rsid w:val="00951ACD"/>
    <w:rsid w:val="00967AAE"/>
    <w:rsid w:val="00970A3C"/>
    <w:rsid w:val="00982725"/>
    <w:rsid w:val="009A4B56"/>
    <w:rsid w:val="009F6654"/>
    <w:rsid w:val="00A22EE0"/>
    <w:rsid w:val="00A66927"/>
    <w:rsid w:val="00AC0FA9"/>
    <w:rsid w:val="00B336F4"/>
    <w:rsid w:val="00B75CA5"/>
    <w:rsid w:val="00BA3100"/>
    <w:rsid w:val="00BD5B03"/>
    <w:rsid w:val="00BD5E1C"/>
    <w:rsid w:val="00C545BC"/>
    <w:rsid w:val="00C54BA2"/>
    <w:rsid w:val="00CE4BF2"/>
    <w:rsid w:val="00D03C1B"/>
    <w:rsid w:val="00D47604"/>
    <w:rsid w:val="00D81AFB"/>
    <w:rsid w:val="00DA4862"/>
    <w:rsid w:val="00DB542E"/>
    <w:rsid w:val="00DD2680"/>
    <w:rsid w:val="00E014ED"/>
    <w:rsid w:val="00E41DF8"/>
    <w:rsid w:val="00E42E7B"/>
    <w:rsid w:val="00EC3EB4"/>
    <w:rsid w:val="00F01D30"/>
    <w:rsid w:val="00F27194"/>
    <w:rsid w:val="00F311D5"/>
    <w:rsid w:val="00F4514C"/>
    <w:rsid w:val="00F5073F"/>
    <w:rsid w:val="00F52931"/>
    <w:rsid w:val="00F734D2"/>
    <w:rsid w:val="00F83F80"/>
    <w:rsid w:val="00FA713D"/>
    <w:rsid w:val="00FB6184"/>
    <w:rsid w:val="00FE757D"/>
    <w:rsid w:val="02D70718"/>
    <w:rsid w:val="04233B93"/>
    <w:rsid w:val="08C565F2"/>
    <w:rsid w:val="0DFB683F"/>
    <w:rsid w:val="0F8D3A92"/>
    <w:rsid w:val="21E0307B"/>
    <w:rsid w:val="256F2218"/>
    <w:rsid w:val="2C445B8B"/>
    <w:rsid w:val="2E7937DE"/>
    <w:rsid w:val="334C6349"/>
    <w:rsid w:val="38A00D60"/>
    <w:rsid w:val="48F44801"/>
    <w:rsid w:val="561D0456"/>
    <w:rsid w:val="5C1C5BB2"/>
    <w:rsid w:val="67AF502E"/>
    <w:rsid w:val="6B542B01"/>
    <w:rsid w:val="7DBB55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E1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D5E1C"/>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BD5E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BD5E1C"/>
    <w:rPr>
      <w:sz w:val="18"/>
      <w:szCs w:val="18"/>
    </w:rPr>
  </w:style>
  <w:style w:type="character" w:customStyle="1" w:styleId="Char">
    <w:name w:val="页脚 Char"/>
    <w:basedOn w:val="a0"/>
    <w:link w:val="a3"/>
    <w:uiPriority w:val="99"/>
    <w:qFormat/>
    <w:rsid w:val="00BD5E1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4</DocSecurity>
  <Lines>1</Lines>
  <Paragraphs>1</Paragraphs>
  <ScaleCrop>false</ScaleCrop>
  <Company/>
  <LinksUpToDate>false</LinksUpToDate>
  <CharactersWithSpaces>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唐棠</dc:creator>
  <cp:lastModifiedBy>ZHONGM</cp:lastModifiedBy>
  <cp:revision>2</cp:revision>
  <cp:lastPrinted>2021-12-14T07:46:00Z</cp:lastPrinted>
  <dcterms:created xsi:type="dcterms:W3CDTF">2026-03-01T16:01:00Z</dcterms:created>
  <dcterms:modified xsi:type="dcterms:W3CDTF">2026-03-01T16:01:00Z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7037C4DAA11741B0A73A657EC7D13A00_12</vt:lpwstr>
  </property>
</Properties>
</file>