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32" w:rsidRDefault="00342832">
      <w:pPr>
        <w:pStyle w:val="biaogecenter"/>
        <w:rPr>
          <w:sz w:val="30"/>
          <w:szCs w:val="30"/>
        </w:rPr>
      </w:pPr>
      <w:r>
        <w:rPr>
          <w:rFonts w:hint="eastAsia"/>
          <w:b/>
          <w:bCs/>
          <w:sz w:val="30"/>
          <w:szCs w:val="30"/>
        </w:rPr>
        <w:t>浙商汇金卓越配置一年持有期混合型基金中基金（FOF）A类份额开放日常赎回业务公告</w:t>
      </w:r>
    </w:p>
    <w:p w:rsidR="00342832" w:rsidRDefault="00342832">
      <w:pPr>
        <w:pStyle w:val="biaogecenter"/>
        <w:rPr>
          <w:rFonts w:hint="eastAsia"/>
        </w:rPr>
      </w:pPr>
    </w:p>
    <w:p w:rsidR="00342832" w:rsidRDefault="00342832">
      <w:pPr>
        <w:pStyle w:val="biaogecenter"/>
        <w:rPr>
          <w:rFonts w:hint="eastAsia"/>
        </w:rPr>
      </w:pPr>
      <w:r>
        <w:rPr>
          <w:rFonts w:hint="eastAsia"/>
        </w:rPr>
        <w:t>公告送出日期：2026年02月28日</w:t>
      </w:r>
    </w:p>
    <w:p w:rsidR="00342832" w:rsidRDefault="00342832" w:rsidP="00F555E2">
      <w:pPr>
        <w:pStyle w:val="dazhangjie"/>
        <w:rPr>
          <w:rFonts w:hint="eastAsia"/>
        </w:rPr>
      </w:pPr>
      <w:r w:rsidRPr="00C24DEB">
        <w:rPr>
          <w:rFonts w:hAnsi="Calibri" w:hint="eastAsia"/>
          <w:b/>
          <w:color w:val="000000"/>
        </w:rPr>
        <w:t>1 公告基本信息</w:t>
      </w:r>
    </w:p>
    <w:tbl>
      <w:tblPr>
        <w:tblW w:w="8250" w:type="dxa"/>
        <w:tblInd w:w="108" w:type="dxa"/>
        <w:tblLook w:val="04A0"/>
      </w:tblPr>
      <w:tblGrid>
        <w:gridCol w:w="3300"/>
        <w:gridCol w:w="2475"/>
        <w:gridCol w:w="2475"/>
      </w:tblGrid>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基金名称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浙商汇金卓越配置一年持有期混合型基金中基金（FOF）</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基金简称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浙商汇金卓越配置一年持有混合（FOF）</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基金主代码</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013781</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基金运作方式</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契约型、开放式；本基金B类基金份额每个开放日开放申购，但对每份基金份额设置一年的最短持有期限；本基金A类基金份额以定期开放方式运作，以三个月为一个封闭期，其进入开放期仅开放赎回，不开放申购。</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基金合同生效日</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2021年11月08日</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基金管理人名称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浙江浙商证券资产管理有限公司</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基金托管人名称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中国农业银行股份有限公司</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基金注册登记机构名称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中国证券登记结算有限责任公司</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公告依据</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《中华人民共和国证券投资基金法》及配套法规、《浙商汇金卓越配置一年持有期混合型基金中基金（FOF）基金合同》和《浙商汇金卓越配置一年持有期混合型基金中基金（FOF）招募说明书》</w:t>
            </w:r>
          </w:p>
        </w:tc>
      </w:tr>
      <w:tr w:rsidR="00342832" w:rsidRPr="00C24DEB" w:rsidTr="00B90782">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赎回起始日</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2026年03月02日</w:t>
            </w:r>
          </w:p>
        </w:tc>
      </w:tr>
      <w:tr w:rsidR="00342832" w:rsidRPr="00C24DEB">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浙商汇金卓越配置一年持有混合（FOF)A</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浙商汇金卓越配置一年持有混合（FOF)B</w:t>
            </w:r>
          </w:p>
        </w:tc>
      </w:tr>
      <w:tr w:rsidR="00342832" w:rsidRPr="00C24DEB">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013781</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013782</w:t>
            </w:r>
          </w:p>
        </w:tc>
      </w:tr>
      <w:tr w:rsidR="00342832" w:rsidRPr="00C24DEB">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该分级基金是否开放申购、赎回（转换、定期定额投资）</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是</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w:t>
            </w:r>
          </w:p>
        </w:tc>
      </w:tr>
    </w:tbl>
    <w:p w:rsidR="00342832" w:rsidRDefault="00342832">
      <w:pPr>
        <w:pStyle w:val="neirong"/>
        <w:rPr>
          <w:rFonts w:hint="eastAsia"/>
        </w:rPr>
      </w:pPr>
      <w:r>
        <w:rPr>
          <w:rFonts w:hint="eastAsia"/>
        </w:rPr>
        <w:t>注：本公告开通赎回业务仅针对本基金A类基金份额，不适用本基金B类基金份额。</w:t>
      </w:r>
    </w:p>
    <w:p w:rsidR="00342832" w:rsidRDefault="00342832">
      <w:pPr>
        <w:widowControl/>
        <w:jc w:val="left"/>
        <w:rPr>
          <w:rFonts w:ascii="宋体" w:hAnsi="宋体" w:cs="宋体" w:hint="eastAsia"/>
          <w:kern w:val="0"/>
          <w:sz w:val="24"/>
          <w:szCs w:val="24"/>
        </w:rPr>
      </w:pPr>
    </w:p>
    <w:p w:rsidR="00342832" w:rsidRDefault="00342832">
      <w:pPr>
        <w:pStyle w:val="dazhangjie"/>
        <w:divId w:val="2077244499"/>
        <w:rPr>
          <w:rFonts w:hint="eastAsia"/>
        </w:rPr>
      </w:pPr>
      <w:r>
        <w:rPr>
          <w:rFonts w:hint="eastAsia"/>
          <w:b/>
          <w:bCs/>
        </w:rPr>
        <w:t>2 日常申购、赎回（转换、定期定额投资）业务的办理时间</w:t>
      </w:r>
    </w:p>
    <w:p w:rsidR="00342832" w:rsidRDefault="00342832">
      <w:pPr>
        <w:pStyle w:val="neirong"/>
        <w:divId w:val="2077244499"/>
        <w:rPr>
          <w:rFonts w:hint="eastAsia"/>
        </w:rPr>
      </w:pPr>
      <w:r>
        <w:rPr>
          <w:rFonts w:hint="eastAsia"/>
        </w:rPr>
        <w:lastRenderedPageBreak/>
        <w:t>  根据《浙商汇金卓越配置一年持有期混合型基金中基金（FOF）基金合同》（以下简称《基金合同》）及《浙商汇金卓越配置一年持有期混合型基金中基金（FOF）招募说明书》（以下简称《招募说明书》），本基金A类基金份额以定期开放方式运作，以三个月为一个封闭期，其进入开放期仅开放赎回，不开放申购。本基金A类基金份额的首个封闭期为自《浙商汇金1号集合资产管理合同》生效之日起（含）至三个月后的月度对日的前一日（含）为止。A类基金份额的首个封闭期结束之后次日（含）起进入A类基金份额的首个开放期，其下一个封闭期为首个开放期结束之日次日（含）起至三个月后的月度对日的前一日（含），以此类推。A类基金份额每个开放期时长为5个工作日。</w:t>
      </w:r>
      <w:r>
        <w:rPr>
          <w:rFonts w:hint="eastAsia"/>
        </w:rPr>
        <w:br/>
        <w:t>  基金管理人根据基金合同的约定，决定运作周期结束后的开放期为2026年3月2日至2026年3月6日，开放期仅开放A类基金份额的赎回，不开放申购。</w:t>
      </w:r>
      <w:r>
        <w:rPr>
          <w:rFonts w:hint="eastAsia"/>
        </w:rPr>
        <w:br/>
        <w:t>  具体办理时间为上海证券交易所、深圳证券交易所的正常交易日的交易时间。</w:t>
      </w:r>
      <w:r>
        <w:rPr>
          <w:rFonts w:hint="eastAsia"/>
        </w:rPr>
        <w:br/>
        <w:t>  自2026年3月7日起至三个月后的对应日（如该日为非工作日，则顺延至下一工作日）的前一日（2026年6月7日）为本基金的下一个封闭期，封闭期内本基金不接受申购、赎回申请。</w:t>
      </w:r>
      <w:r>
        <w:rPr>
          <w:rFonts w:hint="eastAsia"/>
        </w:rPr>
        <w:br/>
        <w:t>  若出现新的证券/期货交易市场、证券/期货交易所交易时间变更或其他特殊情况，基金管理人将视情况对前述开放日及开放时间进行相应的调整，但应在实施日前依照《公开募集证券投资基金信息披露管理办法》（以下简称《信息披露办法》）《信息披露办法》的有关规定在规定媒介上公告。</w:t>
      </w:r>
    </w:p>
    <w:p w:rsidR="00342832" w:rsidRDefault="00342832">
      <w:pPr>
        <w:widowControl/>
        <w:jc w:val="left"/>
        <w:divId w:val="2077244499"/>
        <w:rPr>
          <w:rFonts w:ascii="宋体" w:hAnsi="宋体" w:cs="宋体" w:hint="eastAsia"/>
          <w:kern w:val="0"/>
          <w:sz w:val="24"/>
          <w:szCs w:val="24"/>
        </w:rPr>
      </w:pPr>
    </w:p>
    <w:p w:rsidR="00342832" w:rsidRDefault="00342832" w:rsidP="00F555E2">
      <w:pPr>
        <w:pStyle w:val="dazhangjie"/>
        <w:divId w:val="349380950"/>
        <w:rPr>
          <w:rFonts w:hint="eastAsia"/>
        </w:rPr>
      </w:pPr>
      <w:r>
        <w:rPr>
          <w:rFonts w:hint="eastAsia"/>
          <w:b/>
          <w:bCs/>
        </w:rPr>
        <w:t>3 日常申购业务</w:t>
      </w:r>
    </w:p>
    <w:p w:rsidR="00342832" w:rsidRDefault="00342832">
      <w:pPr>
        <w:pStyle w:val="zhangjiep"/>
        <w:divId w:val="349380950"/>
        <w:rPr>
          <w:rFonts w:hint="eastAsia"/>
        </w:rPr>
      </w:pPr>
      <w:r>
        <w:rPr>
          <w:rFonts w:hint="eastAsia"/>
          <w:b/>
          <w:bCs/>
        </w:rPr>
        <w:t>3.1 申购金额限制</w:t>
      </w:r>
    </w:p>
    <w:p w:rsidR="00342832" w:rsidRDefault="00342832">
      <w:pPr>
        <w:pStyle w:val="neirong"/>
        <w:divId w:val="349380950"/>
        <w:rPr>
          <w:rFonts w:hint="eastAsia"/>
        </w:rPr>
      </w:pPr>
      <w:r>
        <w:rPr>
          <w:rFonts w:hint="eastAsia"/>
        </w:rPr>
        <w:t>  无。</w:t>
      </w:r>
    </w:p>
    <w:p w:rsidR="00342832" w:rsidRDefault="00342832">
      <w:pPr>
        <w:widowControl/>
        <w:jc w:val="left"/>
        <w:divId w:val="349380950"/>
        <w:rPr>
          <w:rFonts w:ascii="宋体" w:hAnsi="宋体" w:cs="宋体" w:hint="eastAsia"/>
          <w:kern w:val="0"/>
          <w:sz w:val="24"/>
          <w:szCs w:val="24"/>
        </w:rPr>
      </w:pPr>
    </w:p>
    <w:p w:rsidR="00342832" w:rsidRDefault="00342832">
      <w:pPr>
        <w:pStyle w:val="zhangjiep"/>
        <w:divId w:val="349380950"/>
        <w:rPr>
          <w:rFonts w:hint="eastAsia"/>
        </w:rPr>
      </w:pPr>
      <w:r>
        <w:rPr>
          <w:rFonts w:hint="eastAsia"/>
          <w:b/>
          <w:bCs/>
        </w:rPr>
        <w:t>3.2 申购费率</w:t>
      </w:r>
    </w:p>
    <w:p w:rsidR="00342832" w:rsidRDefault="00342832">
      <w:pPr>
        <w:pStyle w:val="neirong"/>
        <w:divId w:val="349380950"/>
        <w:rPr>
          <w:rFonts w:hint="eastAsia"/>
        </w:rPr>
      </w:pPr>
      <w:r>
        <w:rPr>
          <w:rFonts w:hint="eastAsia"/>
        </w:rPr>
        <w:t>  无。</w:t>
      </w:r>
    </w:p>
    <w:p w:rsidR="00342832" w:rsidRDefault="00342832">
      <w:pPr>
        <w:widowControl/>
        <w:jc w:val="left"/>
        <w:divId w:val="349380950"/>
        <w:rPr>
          <w:rFonts w:ascii="宋体" w:hAnsi="宋体" w:cs="宋体" w:hint="eastAsia"/>
          <w:kern w:val="0"/>
          <w:sz w:val="24"/>
          <w:szCs w:val="24"/>
        </w:rPr>
      </w:pPr>
    </w:p>
    <w:p w:rsidR="00342832" w:rsidRDefault="00342832">
      <w:pPr>
        <w:pStyle w:val="zhangjiep"/>
        <w:divId w:val="349380950"/>
        <w:rPr>
          <w:rFonts w:hint="eastAsia"/>
        </w:rPr>
      </w:pPr>
      <w:r>
        <w:rPr>
          <w:rFonts w:hint="eastAsia"/>
          <w:b/>
          <w:bCs/>
        </w:rPr>
        <w:t>3.2.1 前端收费</w:t>
      </w:r>
    </w:p>
    <w:p w:rsidR="00342832" w:rsidRDefault="00342832">
      <w:pPr>
        <w:widowControl/>
        <w:jc w:val="left"/>
        <w:divId w:val="349380950"/>
        <w:rPr>
          <w:rFonts w:ascii="宋体" w:hAnsi="宋体" w:cs="宋体" w:hint="eastAsia"/>
          <w:kern w:val="0"/>
          <w:sz w:val="24"/>
          <w:szCs w:val="24"/>
        </w:rPr>
      </w:pPr>
    </w:p>
    <w:p w:rsidR="00342832" w:rsidRDefault="00342832">
      <w:pPr>
        <w:pStyle w:val="neirong"/>
        <w:divId w:val="349380950"/>
        <w:rPr>
          <w:rFonts w:hint="eastAsia"/>
        </w:rPr>
      </w:pPr>
      <w:r>
        <w:rPr>
          <w:rFonts w:hint="eastAsia"/>
        </w:rPr>
        <w:t>  无。</w:t>
      </w:r>
    </w:p>
    <w:p w:rsidR="00342832" w:rsidRDefault="00342832">
      <w:pPr>
        <w:widowControl/>
        <w:jc w:val="left"/>
        <w:divId w:val="349380950"/>
        <w:rPr>
          <w:rFonts w:ascii="宋体" w:hAnsi="宋体" w:cs="宋体" w:hint="eastAsia"/>
          <w:kern w:val="0"/>
          <w:sz w:val="24"/>
          <w:szCs w:val="24"/>
        </w:rPr>
      </w:pPr>
    </w:p>
    <w:p w:rsidR="00342832" w:rsidRDefault="00342832">
      <w:pPr>
        <w:pStyle w:val="zhangjiep"/>
        <w:divId w:val="1167983156"/>
        <w:rPr>
          <w:rFonts w:hint="eastAsia"/>
        </w:rPr>
      </w:pPr>
      <w:r>
        <w:rPr>
          <w:rFonts w:hint="eastAsia"/>
          <w:b/>
          <w:bCs/>
        </w:rPr>
        <w:t>3.2.2 后端收费</w:t>
      </w:r>
    </w:p>
    <w:p w:rsidR="00342832" w:rsidRDefault="00342832">
      <w:pPr>
        <w:pStyle w:val="neirong"/>
        <w:divId w:val="1167983156"/>
        <w:rPr>
          <w:rFonts w:hint="eastAsia"/>
        </w:rPr>
      </w:pPr>
      <w:r>
        <w:rPr>
          <w:rFonts w:hint="eastAsia"/>
        </w:rPr>
        <w:t>  无。</w:t>
      </w:r>
    </w:p>
    <w:p w:rsidR="00342832" w:rsidRDefault="00342832">
      <w:pPr>
        <w:widowControl/>
        <w:jc w:val="left"/>
        <w:divId w:val="1167983156"/>
        <w:rPr>
          <w:rFonts w:ascii="宋体" w:hAnsi="宋体" w:cs="宋体" w:hint="eastAsia"/>
          <w:kern w:val="0"/>
          <w:sz w:val="24"/>
          <w:szCs w:val="24"/>
        </w:rPr>
      </w:pPr>
    </w:p>
    <w:p w:rsidR="00342832" w:rsidRDefault="00342832">
      <w:pPr>
        <w:pStyle w:val="zhangjiep"/>
        <w:divId w:val="349380950"/>
        <w:rPr>
          <w:rFonts w:hint="eastAsia"/>
        </w:rPr>
      </w:pPr>
      <w:r>
        <w:rPr>
          <w:rFonts w:hint="eastAsia"/>
          <w:b/>
          <w:bCs/>
        </w:rPr>
        <w:t>3.3 其他与申购相关的事项</w:t>
      </w:r>
    </w:p>
    <w:p w:rsidR="00342832" w:rsidRDefault="00342832">
      <w:pPr>
        <w:pStyle w:val="biaogeleft"/>
        <w:ind w:firstLine="480"/>
        <w:divId w:val="349380950"/>
        <w:rPr>
          <w:rFonts w:hint="eastAsia"/>
        </w:rPr>
      </w:pPr>
      <w:r>
        <w:rPr>
          <w:rFonts w:hint="eastAsia"/>
        </w:rPr>
        <w:t>无。</w:t>
      </w:r>
    </w:p>
    <w:p w:rsidR="00342832" w:rsidRDefault="00342832">
      <w:pPr>
        <w:widowControl/>
        <w:jc w:val="left"/>
        <w:divId w:val="349380950"/>
        <w:rPr>
          <w:rFonts w:ascii="宋体" w:hAnsi="宋体" w:cs="宋体" w:hint="eastAsia"/>
          <w:kern w:val="0"/>
          <w:sz w:val="24"/>
          <w:szCs w:val="24"/>
        </w:rPr>
      </w:pPr>
    </w:p>
    <w:p w:rsidR="00342832" w:rsidRDefault="00342832" w:rsidP="00F555E2">
      <w:pPr>
        <w:pStyle w:val="dazhangjie"/>
        <w:divId w:val="1928728877"/>
        <w:rPr>
          <w:rFonts w:hint="eastAsia"/>
        </w:rPr>
      </w:pPr>
      <w:r>
        <w:rPr>
          <w:rFonts w:hint="eastAsia"/>
          <w:b/>
          <w:bCs/>
        </w:rPr>
        <w:t>4 日常赎回业务</w:t>
      </w:r>
    </w:p>
    <w:p w:rsidR="00342832" w:rsidRDefault="00342832">
      <w:pPr>
        <w:pStyle w:val="zhangjiep"/>
        <w:divId w:val="1928728877"/>
        <w:rPr>
          <w:rFonts w:hint="eastAsia"/>
        </w:rPr>
      </w:pPr>
      <w:r>
        <w:rPr>
          <w:rFonts w:hint="eastAsia"/>
          <w:b/>
          <w:bCs/>
        </w:rPr>
        <w:t>4.1 赎回份额限制</w:t>
      </w:r>
    </w:p>
    <w:p w:rsidR="00342832" w:rsidRDefault="00342832">
      <w:pPr>
        <w:pStyle w:val="neirong"/>
        <w:divId w:val="1928728877"/>
        <w:rPr>
          <w:rFonts w:hint="eastAsia"/>
        </w:rPr>
      </w:pPr>
      <w:r>
        <w:rPr>
          <w:rFonts w:hint="eastAsia"/>
        </w:rPr>
        <w:t>  1、基金份额持有人在销售机构赎回时，每次赎回申请不得低于1份基金份额。基金份额持有人赎回时或赎回后在销售机构（网点）单个交易账户保留的基金份额余额不足1份的，余额部分基金份额在赎回时须同时全部赎回。</w:t>
      </w:r>
      <w:r>
        <w:rPr>
          <w:rFonts w:hint="eastAsia"/>
        </w:rPr>
        <w:br/>
        <w:t>  2、基金管理人可在法律法规允许的情况下，调整上述规定赎回份额的数量限制。基金管理人必须在调整实施前依照《信息披露办法》的有关规定在规定媒介上公告。</w:t>
      </w:r>
    </w:p>
    <w:p w:rsidR="00342832" w:rsidRDefault="00342832">
      <w:pPr>
        <w:widowControl/>
        <w:jc w:val="left"/>
        <w:divId w:val="1928728877"/>
        <w:rPr>
          <w:rFonts w:ascii="宋体" w:hAnsi="宋体" w:cs="宋体" w:hint="eastAsia"/>
          <w:kern w:val="0"/>
          <w:sz w:val="24"/>
          <w:szCs w:val="24"/>
        </w:rPr>
      </w:pPr>
    </w:p>
    <w:p w:rsidR="00342832" w:rsidRDefault="00342832">
      <w:pPr>
        <w:pStyle w:val="zhangjiep"/>
        <w:divId w:val="1928728877"/>
        <w:rPr>
          <w:rFonts w:hint="eastAsia"/>
        </w:rPr>
      </w:pPr>
      <w:r>
        <w:rPr>
          <w:rFonts w:hint="eastAsia"/>
          <w:b/>
          <w:bCs/>
        </w:rPr>
        <w:t>4.2 赎回费率</w:t>
      </w:r>
    </w:p>
    <w:p w:rsidR="00342832" w:rsidRDefault="00342832">
      <w:pPr>
        <w:pStyle w:val="neirong"/>
        <w:divId w:val="1928728877"/>
        <w:rPr>
          <w:rFonts w:hint="eastAsia"/>
        </w:rPr>
      </w:pPr>
      <w:r>
        <w:rPr>
          <w:rFonts w:hint="eastAsia"/>
        </w:rPr>
        <w:t>本基金赎回费率随投资人持有基金份额期限的增加而递减，具体赎回费率如下表所示：</w:t>
      </w:r>
    </w:p>
    <w:tbl>
      <w:tblPr>
        <w:tblW w:w="6000" w:type="dxa"/>
        <w:tblInd w:w="108" w:type="dxa"/>
        <w:tblLook w:val="04A0"/>
      </w:tblPr>
      <w:tblGrid>
        <w:gridCol w:w="3600"/>
        <w:gridCol w:w="2400"/>
      </w:tblGrid>
      <w:tr w:rsidR="00342832" w:rsidRPr="00C24DEB">
        <w:trPr>
          <w:divId w:val="1928728877"/>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浙商汇金卓越配置一年持有混合（FOF)A持有期限(N)</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赎回费率</w:t>
            </w:r>
          </w:p>
        </w:tc>
      </w:tr>
      <w:tr w:rsidR="00342832" w:rsidRPr="00C24DEB">
        <w:trPr>
          <w:divId w:val="1928728877"/>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N&lt;7天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1.50%</w:t>
            </w:r>
          </w:p>
        </w:tc>
      </w:tr>
      <w:tr w:rsidR="00342832" w:rsidRPr="00C24DEB">
        <w:trPr>
          <w:divId w:val="1928728877"/>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90天≤N&lt;365天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0.50%</w:t>
            </w:r>
          </w:p>
        </w:tc>
      </w:tr>
      <w:tr w:rsidR="00342832" w:rsidRPr="00C24DEB">
        <w:trPr>
          <w:divId w:val="1928728877"/>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365天≤N&lt;730天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0.25%</w:t>
            </w:r>
          </w:p>
        </w:tc>
      </w:tr>
      <w:tr w:rsidR="00342832" w:rsidRPr="00C24DEB">
        <w:trPr>
          <w:divId w:val="1928728877"/>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730天≤N</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342832" w:rsidRDefault="00342832">
            <w:pPr>
              <w:pStyle w:val="biaogeleft"/>
              <w:wordWrap w:val="0"/>
            </w:pPr>
            <w:r>
              <w:rPr>
                <w:rFonts w:hint="eastAsia"/>
              </w:rPr>
              <w:t>0.00%</w:t>
            </w:r>
          </w:p>
        </w:tc>
      </w:tr>
    </w:tbl>
    <w:p w:rsidR="00342832" w:rsidRDefault="00342832">
      <w:pPr>
        <w:widowControl/>
        <w:jc w:val="left"/>
        <w:divId w:val="1928728877"/>
        <w:rPr>
          <w:rFonts w:ascii="宋体" w:hAnsi="宋体" w:cs="宋体" w:hint="eastAsia"/>
          <w:kern w:val="0"/>
          <w:sz w:val="24"/>
          <w:szCs w:val="24"/>
        </w:rPr>
      </w:pPr>
    </w:p>
    <w:p w:rsidR="00342832" w:rsidRDefault="00342832">
      <w:pPr>
        <w:pStyle w:val="neirong"/>
        <w:divId w:val="1928728877"/>
        <w:rPr>
          <w:rFonts w:hint="eastAsia"/>
        </w:rPr>
      </w:pPr>
      <w:r>
        <w:rPr>
          <w:rFonts w:hint="eastAsia"/>
        </w:rPr>
        <w:t>  注：由原浙商汇金1号集合资产管理计划份额变更而来的A类基金份额持有期首日为参与浙商汇金1号集合资产管理计划的份额确认日，由红利再投资而来的各类基金份额持有期首日为进行红利再投资的当日。</w:t>
      </w:r>
      <w:r>
        <w:rPr>
          <w:rFonts w:hint="eastAsia"/>
        </w:rPr>
        <w:br/>
        <w:t>  本基金的赎回费用由赎回基金份额的基金份额持有人承担，在基金份额持有人赎回基金份额时收取。对持续持有期少于7日的投资人收取的赎回费全额计入基金财产；对持续持有期长于或等于3个月但少于6个月的投资人收取的赎回费，将赎回费总额的50%计入基金财产；对持续持有期长于或等于6个月的投资人，将赎回费总额的25%归入基金财产。未计入基金财产的部分用于支付登记费等相关手续费。</w:t>
      </w:r>
    </w:p>
    <w:p w:rsidR="00342832" w:rsidRDefault="00342832">
      <w:pPr>
        <w:widowControl/>
        <w:jc w:val="left"/>
        <w:divId w:val="1928728877"/>
        <w:rPr>
          <w:rFonts w:ascii="宋体" w:hAnsi="宋体" w:cs="宋体" w:hint="eastAsia"/>
          <w:kern w:val="0"/>
          <w:sz w:val="24"/>
          <w:szCs w:val="24"/>
        </w:rPr>
      </w:pPr>
    </w:p>
    <w:p w:rsidR="00342832" w:rsidRDefault="00342832">
      <w:pPr>
        <w:pStyle w:val="zhangjiep"/>
        <w:divId w:val="1928728877"/>
        <w:rPr>
          <w:rFonts w:hint="eastAsia"/>
        </w:rPr>
      </w:pPr>
      <w:r>
        <w:rPr>
          <w:rFonts w:hint="eastAsia"/>
          <w:b/>
          <w:bCs/>
        </w:rPr>
        <w:t>4.3 其他与赎回相关的事项</w:t>
      </w:r>
    </w:p>
    <w:p w:rsidR="00342832" w:rsidRDefault="00342832">
      <w:pPr>
        <w:pStyle w:val="biaogeleft"/>
        <w:ind w:firstLine="480"/>
        <w:divId w:val="1928728877"/>
        <w:rPr>
          <w:rFonts w:hint="eastAsia"/>
        </w:rPr>
      </w:pPr>
      <w:r>
        <w:rPr>
          <w:rFonts w:hint="eastAsia"/>
        </w:rPr>
        <w:t>1、基金管理人可以在基金合同约定的范围内调整费率或收费方式，并最迟应于新的费率或收费方式实施日前依照《信息披露办法》的有关规定在规定媒介上公告。</w:t>
      </w:r>
    </w:p>
    <w:p w:rsidR="00342832" w:rsidRDefault="00342832">
      <w:pPr>
        <w:pStyle w:val="biaogeleft"/>
        <w:ind w:firstLine="480"/>
        <w:divId w:val="1928728877"/>
        <w:rPr>
          <w:rFonts w:hint="eastAsia"/>
        </w:rPr>
      </w:pPr>
      <w:r>
        <w:rPr>
          <w:rFonts w:hint="eastAsia"/>
        </w:rPr>
        <w:t>2、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另行公告。</w:t>
      </w:r>
    </w:p>
    <w:p w:rsidR="00342832" w:rsidRDefault="00342832">
      <w:pPr>
        <w:pStyle w:val="biaogeleft"/>
        <w:ind w:firstLine="480"/>
        <w:divId w:val="1928728877"/>
        <w:rPr>
          <w:rFonts w:hint="eastAsia"/>
        </w:rPr>
      </w:pPr>
      <w:r>
        <w:rPr>
          <w:rFonts w:hint="eastAsia"/>
        </w:rPr>
        <w:t>3、当发生大额申购或赎回情形时，基金管理人可以采用摆动定价机制，以确保基金估值的公平性，具体处理原则与操作规范遵循相关法律法规以及监管部门、自律规则的规定，具体见基金管理人届时的相关公告。</w:t>
      </w:r>
    </w:p>
    <w:p w:rsidR="00342832" w:rsidRDefault="00342832">
      <w:pPr>
        <w:widowControl/>
        <w:jc w:val="left"/>
        <w:divId w:val="1928728877"/>
        <w:rPr>
          <w:rFonts w:ascii="宋体" w:hAnsi="宋体" w:cs="宋体" w:hint="eastAsia"/>
          <w:kern w:val="0"/>
          <w:sz w:val="24"/>
          <w:szCs w:val="24"/>
        </w:rPr>
      </w:pPr>
    </w:p>
    <w:p w:rsidR="00342832" w:rsidRDefault="00342832" w:rsidP="00F555E2">
      <w:pPr>
        <w:pStyle w:val="dazhangjie"/>
        <w:divId w:val="282615572"/>
        <w:rPr>
          <w:rFonts w:hint="eastAsia"/>
        </w:rPr>
      </w:pPr>
      <w:r>
        <w:rPr>
          <w:rFonts w:hint="eastAsia"/>
          <w:b/>
          <w:bCs/>
        </w:rPr>
        <w:t>5 日常转换业务</w:t>
      </w:r>
    </w:p>
    <w:p w:rsidR="00342832" w:rsidRDefault="00342832">
      <w:pPr>
        <w:pStyle w:val="zhangjiep"/>
        <w:divId w:val="282615572"/>
        <w:rPr>
          <w:rFonts w:hint="eastAsia"/>
        </w:rPr>
      </w:pPr>
      <w:r>
        <w:rPr>
          <w:rFonts w:hint="eastAsia"/>
          <w:b/>
          <w:bCs/>
        </w:rPr>
        <w:t>5.1 转换费率</w:t>
      </w:r>
    </w:p>
    <w:p w:rsidR="00342832" w:rsidRDefault="00342832">
      <w:pPr>
        <w:pStyle w:val="neirong"/>
        <w:divId w:val="282615572"/>
        <w:rPr>
          <w:rFonts w:hint="eastAsia"/>
        </w:rPr>
      </w:pPr>
      <w:r>
        <w:rPr>
          <w:rFonts w:hint="eastAsia"/>
        </w:rPr>
        <w:t>  无。</w:t>
      </w:r>
    </w:p>
    <w:p w:rsidR="00342832" w:rsidRDefault="00342832">
      <w:pPr>
        <w:widowControl/>
        <w:jc w:val="left"/>
        <w:divId w:val="1950549487"/>
        <w:rPr>
          <w:rFonts w:ascii="宋体" w:hAnsi="宋体" w:cs="宋体" w:hint="eastAsia"/>
          <w:kern w:val="0"/>
          <w:sz w:val="24"/>
          <w:szCs w:val="24"/>
        </w:rPr>
      </w:pPr>
    </w:p>
    <w:p w:rsidR="00342832" w:rsidRDefault="00342832">
      <w:pPr>
        <w:pStyle w:val="zhangjiep"/>
        <w:divId w:val="1025978455"/>
        <w:rPr>
          <w:rFonts w:hint="eastAsia"/>
        </w:rPr>
      </w:pPr>
      <w:r>
        <w:rPr>
          <w:rFonts w:hint="eastAsia"/>
          <w:b/>
          <w:bCs/>
        </w:rPr>
        <w:t>5.2 其他与转换相关的事项</w:t>
      </w:r>
    </w:p>
    <w:p w:rsidR="00342832" w:rsidRDefault="00342832">
      <w:pPr>
        <w:pStyle w:val="neirong"/>
        <w:divId w:val="282615572"/>
        <w:rPr>
          <w:rFonts w:hint="eastAsia"/>
        </w:rPr>
      </w:pPr>
      <w:r>
        <w:rPr>
          <w:rFonts w:hint="eastAsia"/>
        </w:rPr>
        <w:t>  无。</w:t>
      </w:r>
    </w:p>
    <w:p w:rsidR="00342832" w:rsidRDefault="00342832">
      <w:pPr>
        <w:widowControl/>
        <w:jc w:val="left"/>
        <w:divId w:val="450781024"/>
        <w:rPr>
          <w:rFonts w:ascii="宋体" w:hAnsi="宋体" w:cs="宋体" w:hint="eastAsia"/>
          <w:kern w:val="0"/>
          <w:sz w:val="24"/>
          <w:szCs w:val="24"/>
        </w:rPr>
      </w:pPr>
    </w:p>
    <w:p w:rsidR="00342832" w:rsidRDefault="00342832">
      <w:pPr>
        <w:pStyle w:val="dazhangjie"/>
        <w:divId w:val="2043046010"/>
        <w:rPr>
          <w:rFonts w:hint="eastAsia"/>
        </w:rPr>
      </w:pPr>
      <w:r>
        <w:rPr>
          <w:rFonts w:hint="eastAsia"/>
          <w:b/>
          <w:bCs/>
        </w:rPr>
        <w:t>6 定期定额投资业务</w:t>
      </w:r>
    </w:p>
    <w:p w:rsidR="00342832" w:rsidRDefault="00342832">
      <w:pPr>
        <w:pStyle w:val="neirong"/>
        <w:divId w:val="2043046010"/>
        <w:rPr>
          <w:rFonts w:hint="eastAsia"/>
        </w:rPr>
      </w:pPr>
      <w:r>
        <w:rPr>
          <w:rFonts w:hint="eastAsia"/>
        </w:rPr>
        <w:t>  无。</w:t>
      </w:r>
    </w:p>
    <w:p w:rsidR="00342832" w:rsidRDefault="00342832">
      <w:pPr>
        <w:widowControl/>
        <w:jc w:val="left"/>
        <w:divId w:val="950012315"/>
        <w:rPr>
          <w:rFonts w:ascii="宋体" w:hAnsi="宋体" w:cs="宋体" w:hint="eastAsia"/>
          <w:kern w:val="0"/>
          <w:sz w:val="24"/>
          <w:szCs w:val="24"/>
        </w:rPr>
      </w:pPr>
    </w:p>
    <w:p w:rsidR="00342832" w:rsidRDefault="00342832" w:rsidP="00F555E2">
      <w:pPr>
        <w:pStyle w:val="dazhangjie"/>
        <w:divId w:val="640037940"/>
        <w:rPr>
          <w:rFonts w:hint="eastAsia"/>
        </w:rPr>
      </w:pPr>
      <w:r>
        <w:rPr>
          <w:rFonts w:hint="eastAsia"/>
          <w:b/>
          <w:bCs/>
        </w:rPr>
        <w:t>7 基金销售机构</w:t>
      </w:r>
    </w:p>
    <w:p w:rsidR="00342832" w:rsidRDefault="00342832">
      <w:pPr>
        <w:pStyle w:val="zhangjiep"/>
        <w:divId w:val="640037940"/>
        <w:rPr>
          <w:rFonts w:hint="eastAsia"/>
        </w:rPr>
      </w:pPr>
      <w:r>
        <w:rPr>
          <w:rFonts w:hint="eastAsia"/>
          <w:b/>
          <w:bCs/>
        </w:rPr>
        <w:t>7.1 场外销售机构</w:t>
      </w:r>
    </w:p>
    <w:p w:rsidR="00342832" w:rsidRDefault="00342832">
      <w:pPr>
        <w:pStyle w:val="zhangjiep"/>
        <w:divId w:val="640037940"/>
        <w:rPr>
          <w:rFonts w:hint="eastAsia"/>
        </w:rPr>
      </w:pPr>
      <w:r>
        <w:rPr>
          <w:rFonts w:hint="eastAsia"/>
          <w:b/>
          <w:bCs/>
        </w:rPr>
        <w:t>7.1.1 直销机构</w:t>
      </w:r>
    </w:p>
    <w:p w:rsidR="00342832" w:rsidRDefault="00342832">
      <w:pPr>
        <w:pStyle w:val="neirong"/>
        <w:divId w:val="640037940"/>
        <w:rPr>
          <w:rFonts w:hint="eastAsia"/>
        </w:rPr>
      </w:pPr>
      <w:r>
        <w:rPr>
          <w:rFonts w:hint="eastAsia"/>
        </w:rPr>
        <w:t>  浙江浙商证券资产管理有限公司直销柜台</w:t>
      </w:r>
      <w:r>
        <w:rPr>
          <w:rFonts w:hint="eastAsia"/>
        </w:rPr>
        <w:br/>
        <w:t>  住所：浙江省杭州市拱墅区天水巷25号</w:t>
      </w:r>
      <w:r>
        <w:rPr>
          <w:rFonts w:hint="eastAsia"/>
        </w:rPr>
        <w:br/>
        <w:t>  办公地址：浙江省杭州市上城区五星路201号浙商证券大楼7层</w:t>
      </w:r>
      <w:r>
        <w:rPr>
          <w:rFonts w:hint="eastAsia"/>
        </w:rPr>
        <w:br/>
        <w:t>  法定代表人：盛建龙</w:t>
      </w:r>
      <w:r>
        <w:rPr>
          <w:rFonts w:hint="eastAsia"/>
        </w:rPr>
        <w:br/>
        <w:t>  联系人：杨丹宁</w:t>
      </w:r>
      <w:r>
        <w:rPr>
          <w:rFonts w:hint="eastAsia"/>
        </w:rPr>
        <w:br/>
        <w:t>  联系电话：（0571）87901920</w:t>
      </w:r>
      <w:r>
        <w:rPr>
          <w:rFonts w:hint="eastAsia"/>
        </w:rPr>
        <w:br/>
        <w:t>  传真：（0571）87902581</w:t>
      </w:r>
      <w:r>
        <w:rPr>
          <w:rFonts w:hint="eastAsia"/>
        </w:rPr>
        <w:br/>
        <w:t>  网址：www.stocke.com.cn</w:t>
      </w:r>
      <w:r>
        <w:rPr>
          <w:rFonts w:hint="eastAsia"/>
        </w:rPr>
        <w:br/>
        <w:t>  客服电话：95345</w:t>
      </w:r>
      <w:r>
        <w:rPr>
          <w:rFonts w:hint="eastAsia"/>
        </w:rPr>
        <w:br/>
        <w:t>  </w:t>
      </w:r>
    </w:p>
    <w:p w:rsidR="00342832" w:rsidRDefault="00342832">
      <w:pPr>
        <w:pStyle w:val="zhangjiep"/>
        <w:divId w:val="640037940"/>
        <w:rPr>
          <w:rFonts w:hint="eastAsia"/>
        </w:rPr>
      </w:pPr>
      <w:r>
        <w:rPr>
          <w:rFonts w:hint="eastAsia"/>
          <w:b/>
          <w:bCs/>
        </w:rPr>
        <w:t>7.1.2 场外非直销机构</w:t>
      </w:r>
    </w:p>
    <w:p w:rsidR="00342832" w:rsidRDefault="00342832">
      <w:pPr>
        <w:pStyle w:val="neirong"/>
        <w:divId w:val="640037940"/>
        <w:rPr>
          <w:rFonts w:hint="eastAsia"/>
        </w:rPr>
      </w:pPr>
      <w:r>
        <w:rPr>
          <w:rFonts w:hint="eastAsia"/>
        </w:rPr>
        <w:t>  本基金的其他销售机构情况详见本基金的相关公告及基金管理人网站公示。基金管理人可根据有关法律法规的要求，选择其他符合要求的机构调整为本基金的销售机构。</w:t>
      </w:r>
    </w:p>
    <w:p w:rsidR="00342832" w:rsidRDefault="00342832">
      <w:pPr>
        <w:pStyle w:val="zhangjiep"/>
        <w:divId w:val="640037940"/>
        <w:rPr>
          <w:rFonts w:hint="eastAsia"/>
        </w:rPr>
      </w:pPr>
      <w:r>
        <w:rPr>
          <w:rFonts w:hint="eastAsia"/>
          <w:b/>
          <w:bCs/>
        </w:rPr>
        <w:t>7.2 场内销售机构</w:t>
      </w:r>
    </w:p>
    <w:p w:rsidR="00F555E2" w:rsidRDefault="00342832" w:rsidP="00F555E2">
      <w:pPr>
        <w:pStyle w:val="neirong"/>
        <w:divId w:val="640037940"/>
        <w:rPr>
          <w:rFonts w:hint="eastAsia"/>
        </w:rPr>
      </w:pPr>
      <w:r>
        <w:rPr>
          <w:rFonts w:hint="eastAsia"/>
        </w:rPr>
        <w:t>  </w:t>
      </w:r>
      <w:r w:rsidR="00F555E2">
        <w:rPr>
          <w:rFonts w:hint="eastAsia"/>
        </w:rPr>
        <w:t>无。</w:t>
      </w:r>
    </w:p>
    <w:p w:rsidR="00342832" w:rsidRDefault="00342832">
      <w:pPr>
        <w:pStyle w:val="dazhangjie"/>
        <w:divId w:val="1001204851"/>
        <w:rPr>
          <w:rFonts w:hint="eastAsia"/>
        </w:rPr>
      </w:pPr>
      <w:r>
        <w:rPr>
          <w:rFonts w:hint="eastAsia"/>
          <w:b/>
          <w:bCs/>
        </w:rPr>
        <w:t>8 基金份额净值公告/基金收益公告的披露安排</w:t>
      </w:r>
    </w:p>
    <w:p w:rsidR="00342832" w:rsidRDefault="00342832">
      <w:pPr>
        <w:pStyle w:val="neirong"/>
        <w:divId w:val="1001204851"/>
        <w:rPr>
          <w:rFonts w:hint="eastAsia"/>
        </w:rPr>
      </w:pPr>
      <w:r>
        <w:rPr>
          <w:rFonts w:hint="eastAsia"/>
        </w:rPr>
        <w:t>  《基金合同》生效后，在开始办理基金份额申购或者赎回前，基金管理人应当至少每周在规定网站披露一次各类基金份额净值和各类基金份额累计净值。</w:t>
      </w:r>
      <w:r>
        <w:rPr>
          <w:rFonts w:hint="eastAsia"/>
        </w:rPr>
        <w:br/>
        <w:t>  在开始办理基金份额申购或者赎回后的每个开放日（T日），基金管理人应当在T+2日内，通过规定网站、基金销售机构网站或营业网点披露该开放日（T日）的各类基金份额净值和各类基金份额累计净值。</w:t>
      </w:r>
      <w:r>
        <w:rPr>
          <w:rFonts w:hint="eastAsia"/>
        </w:rPr>
        <w:br/>
        <w:t>  基金管理人应当在不晚于半年度和年度最后一日的2个工作日内，在规定网站披露半年度和年度最后一日的各类基金份额净值和各类基金份额累计净值。</w:t>
      </w:r>
    </w:p>
    <w:p w:rsidR="00342832" w:rsidRDefault="00342832">
      <w:pPr>
        <w:widowControl/>
        <w:jc w:val="left"/>
        <w:divId w:val="1001204851"/>
        <w:rPr>
          <w:rFonts w:ascii="宋体" w:hAnsi="宋体" w:cs="宋体" w:hint="eastAsia"/>
          <w:kern w:val="0"/>
          <w:sz w:val="24"/>
          <w:szCs w:val="24"/>
        </w:rPr>
      </w:pPr>
    </w:p>
    <w:p w:rsidR="00342832" w:rsidRDefault="00342832">
      <w:pPr>
        <w:pStyle w:val="dazhangjie"/>
        <w:divId w:val="1253470350"/>
        <w:rPr>
          <w:rFonts w:hint="eastAsia"/>
        </w:rPr>
      </w:pPr>
      <w:r>
        <w:rPr>
          <w:rFonts w:hint="eastAsia"/>
          <w:b/>
          <w:bCs/>
        </w:rPr>
        <w:t>9 其他需要提示的事项</w:t>
      </w:r>
    </w:p>
    <w:p w:rsidR="00342832" w:rsidRDefault="00342832">
      <w:pPr>
        <w:pStyle w:val="neirong"/>
        <w:divId w:val="1253470350"/>
        <w:rPr>
          <w:rFonts w:hint="eastAsia"/>
        </w:rPr>
      </w:pPr>
      <w:r>
        <w:rPr>
          <w:rFonts w:hint="eastAsia"/>
        </w:rPr>
        <w:t>  （1）根据本基金《基金合同》和《招募说明书》的规定，本基金A类基金份额在本次开放期结束之日的次日起进入下一个封闭期，其进入开放期仅开放赎回，不开放申购。</w:t>
      </w:r>
      <w:r>
        <w:rPr>
          <w:rFonts w:hint="eastAsia"/>
        </w:rPr>
        <w:br/>
        <w:t>  （2）本公告仅对本基金A类基金份额开放赎回有关事项予以说明。投资者欲了解本基金的详细情况，请查询本基金的《基金合同》和《招募说明书》；有关本基金开放申购、赎回的具体规定若有变化，本公司将另行公告。</w:t>
      </w:r>
      <w:r>
        <w:rPr>
          <w:rFonts w:hint="eastAsia"/>
        </w:rPr>
        <w:br/>
        <w:t>  （3）投资者可以登陆浙江浙商证券资产管理有限公司网站www.stocke.com.cn或拨打浙江浙商证券资产管理有限公司客户服务热线95345进行相关咨询。</w:t>
      </w:r>
      <w:r>
        <w:rPr>
          <w:rFonts w:hint="eastAsia"/>
        </w:rPr>
        <w:br/>
        <w:t>  （4）风险提示：基金管理人承诺以诚实信用、勤勉尽责的原则管理和运用基金资产，但不保证基金一定盈利，也不保证最低收益。基金管理人提醒投资者基金投资的"买者自负"原则，在做出投资决策后，基金运营状况与基金净值变化引致的投资风险，由投资者自行负担，投资者投资于本基金前应认真阅读本基金的《基金合同》和《招募说明书》，并选择适合自身风险承受能力的投资品种进行投资。</w:t>
      </w:r>
    </w:p>
    <w:p w:rsidR="00342832" w:rsidRDefault="00342832">
      <w:pPr>
        <w:widowControl/>
        <w:jc w:val="left"/>
        <w:divId w:val="1253470350"/>
        <w:rPr>
          <w:rFonts w:ascii="宋体" w:hAnsi="宋体" w:cs="宋体" w:hint="eastAsia"/>
          <w:kern w:val="0"/>
          <w:sz w:val="24"/>
          <w:szCs w:val="24"/>
        </w:rPr>
      </w:pPr>
    </w:p>
    <w:p w:rsidR="00342832" w:rsidRDefault="00342832">
      <w:pPr>
        <w:pStyle w:val="biaogeright"/>
        <w:rPr>
          <w:rFonts w:hint="eastAsia"/>
        </w:rPr>
      </w:pPr>
      <w:r w:rsidRPr="00C24DEB">
        <w:rPr>
          <w:rFonts w:hAnsi="Calibri" w:hint="eastAsia"/>
          <w:color w:val="000000"/>
        </w:rPr>
        <w:t>浙江浙商证券资产管理有限公司</w:t>
      </w:r>
    </w:p>
    <w:p w:rsidR="00342832" w:rsidRDefault="00342832">
      <w:pPr>
        <w:pStyle w:val="biaogeright"/>
        <w:rPr>
          <w:rFonts w:hint="eastAsia"/>
        </w:rPr>
      </w:pPr>
      <w:r w:rsidRPr="00C24DEB">
        <w:rPr>
          <w:rFonts w:hAnsi="Calibri" w:hint="eastAsia"/>
          <w:color w:val="000000"/>
        </w:rPr>
        <w:t>2026年02月28日</w:t>
      </w:r>
    </w:p>
    <w:sectPr w:rsidR="00342832">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563" w:rsidRDefault="00626563" w:rsidP="00C24DEB">
      <w:r>
        <w:separator/>
      </w:r>
    </w:p>
  </w:endnote>
  <w:endnote w:type="continuationSeparator" w:id="0">
    <w:p w:rsidR="00626563" w:rsidRDefault="00626563" w:rsidP="00C24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563" w:rsidRDefault="00626563" w:rsidP="00C24DEB">
      <w:r>
        <w:separator/>
      </w:r>
    </w:p>
  </w:footnote>
  <w:footnote w:type="continuationSeparator" w:id="0">
    <w:p w:rsidR="00626563" w:rsidRDefault="00626563" w:rsidP="00C24D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4DEB"/>
    <w:rsid w:val="00027BCB"/>
    <w:rsid w:val="00342832"/>
    <w:rsid w:val="00626563"/>
    <w:rsid w:val="00B90782"/>
    <w:rsid w:val="00C24DEB"/>
    <w:rsid w:val="00F555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2615572">
      <w:marLeft w:val="0"/>
      <w:marRight w:val="0"/>
      <w:marTop w:val="0"/>
      <w:marBottom w:val="0"/>
      <w:divBdr>
        <w:top w:val="none" w:sz="0" w:space="0" w:color="auto"/>
        <w:left w:val="none" w:sz="0" w:space="0" w:color="auto"/>
        <w:bottom w:val="none" w:sz="0" w:space="0" w:color="auto"/>
        <w:right w:val="none" w:sz="0" w:space="0" w:color="auto"/>
      </w:divBdr>
      <w:divsChild>
        <w:div w:id="450781024">
          <w:marLeft w:val="0"/>
          <w:marRight w:val="0"/>
          <w:marTop w:val="0"/>
          <w:marBottom w:val="0"/>
          <w:divBdr>
            <w:top w:val="none" w:sz="0" w:space="0" w:color="auto"/>
            <w:left w:val="none" w:sz="0" w:space="0" w:color="auto"/>
            <w:bottom w:val="none" w:sz="0" w:space="0" w:color="auto"/>
            <w:right w:val="none" w:sz="0" w:space="0" w:color="auto"/>
          </w:divBdr>
        </w:div>
        <w:div w:id="1025978455">
          <w:marLeft w:val="0"/>
          <w:marRight w:val="0"/>
          <w:marTop w:val="0"/>
          <w:marBottom w:val="0"/>
          <w:divBdr>
            <w:top w:val="none" w:sz="0" w:space="0" w:color="auto"/>
            <w:left w:val="none" w:sz="0" w:space="0" w:color="auto"/>
            <w:bottom w:val="none" w:sz="0" w:space="0" w:color="auto"/>
            <w:right w:val="none" w:sz="0" w:space="0" w:color="auto"/>
          </w:divBdr>
        </w:div>
        <w:div w:id="1876770727">
          <w:marLeft w:val="0"/>
          <w:marRight w:val="0"/>
          <w:marTop w:val="0"/>
          <w:marBottom w:val="0"/>
          <w:divBdr>
            <w:top w:val="none" w:sz="0" w:space="0" w:color="auto"/>
            <w:left w:val="none" w:sz="0" w:space="0" w:color="auto"/>
            <w:bottom w:val="none" w:sz="0" w:space="0" w:color="auto"/>
            <w:right w:val="none" w:sz="0" w:space="0" w:color="auto"/>
          </w:divBdr>
        </w:div>
        <w:div w:id="1950549487">
          <w:marLeft w:val="0"/>
          <w:marRight w:val="0"/>
          <w:marTop w:val="0"/>
          <w:marBottom w:val="0"/>
          <w:divBdr>
            <w:top w:val="none" w:sz="0" w:space="0" w:color="auto"/>
            <w:left w:val="none" w:sz="0" w:space="0" w:color="auto"/>
            <w:bottom w:val="none" w:sz="0" w:space="0" w:color="auto"/>
            <w:right w:val="none" w:sz="0" w:space="0" w:color="auto"/>
          </w:divBdr>
        </w:div>
      </w:divsChild>
    </w:div>
    <w:div w:id="349380950">
      <w:marLeft w:val="0"/>
      <w:marRight w:val="0"/>
      <w:marTop w:val="0"/>
      <w:marBottom w:val="0"/>
      <w:divBdr>
        <w:top w:val="none" w:sz="0" w:space="0" w:color="auto"/>
        <w:left w:val="none" w:sz="0" w:space="0" w:color="auto"/>
        <w:bottom w:val="none" w:sz="0" w:space="0" w:color="auto"/>
        <w:right w:val="none" w:sz="0" w:space="0" w:color="auto"/>
      </w:divBdr>
      <w:divsChild>
        <w:div w:id="1167983156">
          <w:marLeft w:val="0"/>
          <w:marRight w:val="0"/>
          <w:marTop w:val="0"/>
          <w:marBottom w:val="0"/>
          <w:divBdr>
            <w:top w:val="none" w:sz="0" w:space="0" w:color="auto"/>
            <w:left w:val="none" w:sz="0" w:space="0" w:color="auto"/>
            <w:bottom w:val="none" w:sz="0" w:space="0" w:color="auto"/>
            <w:right w:val="none" w:sz="0" w:space="0" w:color="auto"/>
          </w:divBdr>
        </w:div>
      </w:divsChild>
    </w:div>
    <w:div w:id="640037940">
      <w:marLeft w:val="0"/>
      <w:marRight w:val="0"/>
      <w:marTop w:val="0"/>
      <w:marBottom w:val="0"/>
      <w:divBdr>
        <w:top w:val="none" w:sz="0" w:space="0" w:color="auto"/>
        <w:left w:val="none" w:sz="0" w:space="0" w:color="auto"/>
        <w:bottom w:val="none" w:sz="0" w:space="0" w:color="auto"/>
        <w:right w:val="none" w:sz="0" w:space="0" w:color="auto"/>
      </w:divBdr>
    </w:div>
    <w:div w:id="1001204851">
      <w:marLeft w:val="0"/>
      <w:marRight w:val="0"/>
      <w:marTop w:val="0"/>
      <w:marBottom w:val="0"/>
      <w:divBdr>
        <w:top w:val="none" w:sz="0" w:space="0" w:color="auto"/>
        <w:left w:val="none" w:sz="0" w:space="0" w:color="auto"/>
        <w:bottom w:val="none" w:sz="0" w:space="0" w:color="auto"/>
        <w:right w:val="none" w:sz="0" w:space="0" w:color="auto"/>
      </w:divBdr>
    </w:div>
    <w:div w:id="1253470350">
      <w:marLeft w:val="0"/>
      <w:marRight w:val="0"/>
      <w:marTop w:val="0"/>
      <w:marBottom w:val="0"/>
      <w:divBdr>
        <w:top w:val="none" w:sz="0" w:space="0" w:color="auto"/>
        <w:left w:val="none" w:sz="0" w:space="0" w:color="auto"/>
        <w:bottom w:val="none" w:sz="0" w:space="0" w:color="auto"/>
        <w:right w:val="none" w:sz="0" w:space="0" w:color="auto"/>
      </w:divBdr>
    </w:div>
    <w:div w:id="1928728877">
      <w:marLeft w:val="0"/>
      <w:marRight w:val="0"/>
      <w:marTop w:val="0"/>
      <w:marBottom w:val="0"/>
      <w:divBdr>
        <w:top w:val="none" w:sz="0" w:space="0" w:color="auto"/>
        <w:left w:val="none" w:sz="0" w:space="0" w:color="auto"/>
        <w:bottom w:val="none" w:sz="0" w:space="0" w:color="auto"/>
        <w:right w:val="none" w:sz="0" w:space="0" w:color="auto"/>
      </w:divBdr>
    </w:div>
    <w:div w:id="2043046010">
      <w:marLeft w:val="0"/>
      <w:marRight w:val="0"/>
      <w:marTop w:val="0"/>
      <w:marBottom w:val="0"/>
      <w:divBdr>
        <w:top w:val="none" w:sz="0" w:space="0" w:color="auto"/>
        <w:left w:val="none" w:sz="0" w:space="0" w:color="auto"/>
        <w:bottom w:val="none" w:sz="0" w:space="0" w:color="auto"/>
        <w:right w:val="none" w:sz="0" w:space="0" w:color="auto"/>
      </w:divBdr>
      <w:divsChild>
        <w:div w:id="950012315">
          <w:marLeft w:val="0"/>
          <w:marRight w:val="0"/>
          <w:marTop w:val="0"/>
          <w:marBottom w:val="0"/>
          <w:divBdr>
            <w:top w:val="none" w:sz="0" w:space="0" w:color="auto"/>
            <w:left w:val="none" w:sz="0" w:space="0" w:color="auto"/>
            <w:bottom w:val="none" w:sz="0" w:space="0" w:color="auto"/>
            <w:right w:val="none" w:sz="0" w:space="0" w:color="auto"/>
          </w:divBdr>
        </w:div>
      </w:divsChild>
    </w:div>
    <w:div w:id="207724449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Office Word</Application>
  <DocSecurity>4</DocSecurity>
  <Lines>24</Lines>
  <Paragraphs>6</Paragraphs>
  <ScaleCrop>false</ScaleCrop>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ZHONGM</cp:lastModifiedBy>
  <cp:revision>2</cp:revision>
  <dcterms:created xsi:type="dcterms:W3CDTF">2026-02-27T16:00:00Z</dcterms:created>
  <dcterms:modified xsi:type="dcterms:W3CDTF">2026-02-27T16:00:00Z</dcterms:modified>
</cp:coreProperties>
</file>