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EA8" w:rsidRDefault="007A2116" w:rsidP="00A13590">
      <w:pPr>
        <w:spacing w:beforeLines="50" w:line="360" w:lineRule="auto"/>
        <w:jc w:val="center"/>
        <w:rPr>
          <w:rFonts w:ascii="宋体" w:hAnsi="宋体" w:cs="Arial"/>
          <w:b/>
          <w:kern w:val="0"/>
          <w:sz w:val="32"/>
          <w:szCs w:val="24"/>
        </w:rPr>
      </w:pPr>
      <w:bookmarkStart w:id="0" w:name="_Toc88969212"/>
      <w:r>
        <w:rPr>
          <w:rFonts w:ascii="宋体" w:hAnsi="宋体" w:cs="Arial" w:hint="eastAsia"/>
          <w:b/>
          <w:kern w:val="0"/>
          <w:sz w:val="32"/>
          <w:szCs w:val="24"/>
        </w:rPr>
        <w:t>中国人保资产管理有限公司</w:t>
      </w:r>
    </w:p>
    <w:p w:rsidR="007B4EA8" w:rsidRDefault="007A2116" w:rsidP="00A13590">
      <w:pPr>
        <w:spacing w:afterLines="50" w:line="360" w:lineRule="auto"/>
        <w:jc w:val="center"/>
        <w:rPr>
          <w:rFonts w:ascii="宋体" w:hAnsi="宋体" w:cs="Arial"/>
          <w:b/>
          <w:kern w:val="0"/>
          <w:sz w:val="32"/>
          <w:szCs w:val="24"/>
        </w:rPr>
      </w:pPr>
      <w:r>
        <w:rPr>
          <w:rFonts w:ascii="宋体" w:hAnsi="宋体" w:cs="Arial" w:hint="eastAsia"/>
          <w:b/>
          <w:kern w:val="0"/>
          <w:sz w:val="32"/>
          <w:szCs w:val="24"/>
        </w:rPr>
        <w:t>关于旗下部分基金开通转换业务的公告</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为更好地满足广大投资者的需求，中国人保资产管理有限公司（以下简称“基金管理人”或“本公司”）决定自202</w:t>
      </w:r>
      <w:r>
        <w:rPr>
          <w:rFonts w:ascii="宋体" w:hAnsi="宋体" w:cs="Arial"/>
          <w:kern w:val="0"/>
          <w:sz w:val="24"/>
          <w:szCs w:val="24"/>
        </w:rPr>
        <w:t>6</w:t>
      </w:r>
      <w:r>
        <w:rPr>
          <w:rFonts w:ascii="宋体" w:hAnsi="宋体" w:cs="Arial" w:hint="eastAsia"/>
          <w:kern w:val="0"/>
          <w:sz w:val="24"/>
          <w:szCs w:val="24"/>
        </w:rPr>
        <w:t>年</w:t>
      </w:r>
      <w:r>
        <w:rPr>
          <w:rFonts w:ascii="宋体" w:hAnsi="宋体" w:cs="Arial"/>
          <w:kern w:val="0"/>
          <w:sz w:val="24"/>
          <w:szCs w:val="24"/>
        </w:rPr>
        <w:t>2</w:t>
      </w:r>
      <w:r>
        <w:rPr>
          <w:rFonts w:ascii="宋体" w:hAnsi="宋体" w:cs="Arial" w:hint="eastAsia"/>
          <w:kern w:val="0"/>
          <w:sz w:val="24"/>
          <w:szCs w:val="24"/>
        </w:rPr>
        <w:t>月</w:t>
      </w:r>
      <w:r>
        <w:rPr>
          <w:rFonts w:ascii="宋体" w:hAnsi="宋体" w:cs="Arial"/>
          <w:kern w:val="0"/>
          <w:sz w:val="24"/>
          <w:szCs w:val="24"/>
        </w:rPr>
        <w:t>28</w:t>
      </w:r>
      <w:r>
        <w:rPr>
          <w:rFonts w:ascii="宋体" w:hAnsi="宋体" w:cs="Arial" w:hint="eastAsia"/>
          <w:kern w:val="0"/>
          <w:sz w:val="24"/>
          <w:szCs w:val="24"/>
        </w:rPr>
        <w:t>日起，开通旗下部分基金在同一登记机构内的转换业务。现将相关事项公告如下：</w:t>
      </w:r>
    </w:p>
    <w:p w:rsidR="007B4EA8" w:rsidRDefault="007A2116" w:rsidP="00A13590">
      <w:pPr>
        <w:widowControl/>
        <w:spacing w:beforeLines="50" w:afterLines="50" w:line="360" w:lineRule="auto"/>
        <w:outlineLvl w:val="0"/>
        <w:rPr>
          <w:rFonts w:ascii="宋体" w:hAnsi="宋体" w:cs="Arial"/>
          <w:b/>
          <w:kern w:val="0"/>
          <w:sz w:val="24"/>
          <w:szCs w:val="24"/>
        </w:rPr>
      </w:pPr>
      <w:r>
        <w:rPr>
          <w:rFonts w:ascii="宋体" w:hAnsi="宋体" w:cs="Arial" w:hint="eastAsia"/>
          <w:b/>
          <w:kern w:val="0"/>
          <w:sz w:val="24"/>
          <w:szCs w:val="24"/>
        </w:rPr>
        <w:t>一、日常转换业务</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1、转换费率</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（1）转换费用由两部分组成：转出基金赎回费和转入基金与转出基金的申购补差费。</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（2）赎回费：转出基金的赎回费用按照各基金最新的更新招募说明书及相关公告规定的赎回费率和计费方式收取。</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3）申购补差费：从不收取申购费用的基金或申购费用低的基金向申购费用高的基金转换时，每次收取申购补差费用；从申购费用高的基金向申购费用低的基金或不收取申购费用的基金转换时，不收取申购补差费用。申购补差费用原则上按照转出确认金额对应分档的转入基金与转出基金的申购费率差额进行补差，具体收取情况视每次转换时两只基金的申购费率的差异情况而定。</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（4）投资者可以发起多次基金转换业务，基金转换费用按每笔申请单独计算。计算基金转换费用所涉及的赎回费率和申购费率均按正常费率执行。</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（5）转换费用以人民币元为单位，计算结果按照四舍五入方法，保留小数点后两位，由此误差产生的损失由基金财产承担，产生的收益归基金财产所有。</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（6）本公司不对销售机构转换基金申购补差费设折扣限制，具体转换基金申购补差费折扣以各销售机构业务规定为准。</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（7）转换份额的计算</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转出确认金额＝转出基金份额×转换申请当日转出基金的基金份额净值</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转出基金的赎回费用＝转出确认金额×转出基金对应的赎回费率</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转入确认金额＝转出确认金额－转出基金的赎回费用</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lastRenderedPageBreak/>
        <w:t>转出与转入基金的申购补差费用＝转入确认金额×对应的转入基金的申购费率/（1+对应的转入基金的申购费率）－转入确认金额×对应的转出基金的申购费率/（1+对应的转出基金的申购费率）</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（注：对于适用固定金额申购补差费用的，转出与转入基金的申购补差费＝固定金额的申购补差费）</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净转入确认金额＝转入确认金额-转出与转入基金的申购补差费用</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转入基金确认份额＝净转入确认金额÷转换申请当日转入基金的基金份额净值</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转入基金确认份额计算结果按四舍五入方法，保留到小数点后2位，由此产生的收益或损失由基金财产承担。</w:t>
      </w:r>
    </w:p>
    <w:p w:rsidR="007B4EA8" w:rsidRDefault="007A2116" w:rsidP="00A13590">
      <w:pPr>
        <w:widowControl/>
        <w:spacing w:beforeLines="50" w:afterLines="50" w:line="360" w:lineRule="auto"/>
        <w:outlineLvl w:val="0"/>
        <w:rPr>
          <w:rFonts w:ascii="宋体" w:hAnsi="宋体" w:cs="Arial"/>
          <w:b/>
          <w:kern w:val="0"/>
          <w:sz w:val="24"/>
          <w:szCs w:val="24"/>
        </w:rPr>
      </w:pPr>
      <w:r>
        <w:rPr>
          <w:rFonts w:ascii="宋体" w:hAnsi="宋体" w:cs="Arial" w:hint="eastAsia"/>
          <w:b/>
          <w:kern w:val="0"/>
          <w:sz w:val="24"/>
          <w:szCs w:val="24"/>
        </w:rPr>
        <w:t>二、其他与转换相关的事项</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（1）基金转换定义</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基金转换指基金份额持有人按照基金合同和基金管理人届时有效公告规定的条件，申请将其持有基金管理人管理的某一基金的基金份额转换为基金管理人管理的其他基金基金份额的行为。</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（2）适用基金</w:t>
      </w:r>
      <w:bookmarkStart w:id="1" w:name="_Toc86561412"/>
      <w:bookmarkEnd w:id="0"/>
    </w:p>
    <w:tbl>
      <w:tblPr>
        <w:tblStyle w:val="aa"/>
        <w:tblW w:w="0" w:type="auto"/>
        <w:tblLook w:val="04A0"/>
      </w:tblPr>
      <w:tblGrid>
        <w:gridCol w:w="6374"/>
        <w:gridCol w:w="1922"/>
      </w:tblGrid>
      <w:tr w:rsidR="007B4EA8">
        <w:tc>
          <w:tcPr>
            <w:tcW w:w="6374" w:type="dxa"/>
          </w:tcPr>
          <w:p w:rsidR="007B4EA8" w:rsidRDefault="007A2116">
            <w:pPr>
              <w:widowControl/>
              <w:spacing w:line="360" w:lineRule="auto"/>
              <w:jc w:val="center"/>
              <w:rPr>
                <w:rFonts w:ascii="宋体" w:hAnsi="宋体" w:cs="Arial"/>
                <w:kern w:val="0"/>
                <w:sz w:val="24"/>
                <w:szCs w:val="24"/>
              </w:rPr>
            </w:pPr>
            <w:r>
              <w:rPr>
                <w:rFonts w:ascii="宋体" w:hAnsi="宋体" w:cs="Arial"/>
                <w:kern w:val="0"/>
                <w:sz w:val="24"/>
                <w:szCs w:val="24"/>
              </w:rPr>
              <w:t>基金名称</w:t>
            </w:r>
          </w:p>
        </w:tc>
        <w:tc>
          <w:tcPr>
            <w:tcW w:w="1922" w:type="dxa"/>
          </w:tcPr>
          <w:p w:rsidR="007B4EA8" w:rsidRDefault="007A2116">
            <w:pPr>
              <w:widowControl/>
              <w:spacing w:line="360" w:lineRule="auto"/>
              <w:jc w:val="center"/>
              <w:rPr>
                <w:rFonts w:ascii="宋体" w:hAnsi="宋体" w:cs="Arial"/>
                <w:kern w:val="0"/>
                <w:sz w:val="24"/>
                <w:szCs w:val="24"/>
              </w:rPr>
            </w:pPr>
            <w:r>
              <w:rPr>
                <w:rFonts w:ascii="宋体" w:hAnsi="宋体" w:cs="Arial"/>
                <w:kern w:val="0"/>
                <w:sz w:val="24"/>
                <w:szCs w:val="24"/>
              </w:rPr>
              <w:t>基金代码</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人保安睿一年定期开放债券型发起式证券投资基金</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008432</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人保创业板综合指数增强型证券投资基金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E91E92">
            <w:pPr>
              <w:widowControl/>
              <w:spacing w:line="360" w:lineRule="auto"/>
              <w:jc w:val="center"/>
              <w:rPr>
                <w:rFonts w:ascii="宋体" w:hAnsi="宋体" w:cs="Arial"/>
                <w:kern w:val="0"/>
                <w:sz w:val="24"/>
                <w:szCs w:val="24"/>
              </w:rPr>
            </w:pPr>
            <w:r>
              <w:rPr>
                <w:rFonts w:ascii="宋体" w:hAnsi="宋体" w:cs="Arial"/>
                <w:sz w:val="24"/>
                <w:szCs w:val="24"/>
              </w:rPr>
              <w:t>026738</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人保创业板综合指数增强型证券投资基金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rsidP="00E91E92">
            <w:pPr>
              <w:widowControl/>
              <w:spacing w:line="360" w:lineRule="auto"/>
              <w:jc w:val="center"/>
              <w:rPr>
                <w:rFonts w:ascii="宋体" w:hAnsi="宋体" w:cs="Arial"/>
                <w:kern w:val="0"/>
                <w:sz w:val="24"/>
                <w:szCs w:val="24"/>
              </w:rPr>
            </w:pPr>
            <w:r>
              <w:rPr>
                <w:rFonts w:ascii="宋体" w:hAnsi="宋体" w:cs="Arial"/>
                <w:sz w:val="24"/>
                <w:szCs w:val="24"/>
              </w:rPr>
              <w:t>026739</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人保福欣</w:t>
            </w:r>
            <w:r>
              <w:rPr>
                <w:rFonts w:ascii="宋体" w:hAnsi="宋体" w:cs="Arial"/>
                <w:sz w:val="24"/>
                <w:szCs w:val="24"/>
              </w:rPr>
              <w:t>3</w:t>
            </w:r>
            <w:r>
              <w:rPr>
                <w:rFonts w:ascii="宋体" w:hAnsi="宋体" w:cs="Arial" w:hint="eastAsia"/>
                <w:sz w:val="24"/>
                <w:szCs w:val="24"/>
              </w:rPr>
              <w:t>个月定期开放债券型证券投资基金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rsidP="00E91E92">
            <w:pPr>
              <w:widowControl/>
              <w:spacing w:line="360" w:lineRule="auto"/>
              <w:jc w:val="center"/>
              <w:rPr>
                <w:rFonts w:ascii="宋体" w:hAnsi="宋体" w:cs="Arial"/>
                <w:kern w:val="0"/>
                <w:sz w:val="24"/>
                <w:szCs w:val="24"/>
              </w:rPr>
            </w:pPr>
            <w:r>
              <w:rPr>
                <w:rFonts w:ascii="宋体" w:hAnsi="宋体" w:cs="Arial"/>
                <w:sz w:val="24"/>
                <w:szCs w:val="24"/>
              </w:rPr>
              <w:t>009517</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人保福欣</w:t>
            </w:r>
            <w:r>
              <w:rPr>
                <w:rFonts w:ascii="宋体" w:hAnsi="宋体" w:cs="Arial"/>
                <w:sz w:val="24"/>
                <w:szCs w:val="24"/>
              </w:rPr>
              <w:t>3</w:t>
            </w:r>
            <w:r>
              <w:rPr>
                <w:rFonts w:ascii="宋体" w:hAnsi="宋体" w:cs="Arial" w:hint="eastAsia"/>
                <w:sz w:val="24"/>
                <w:szCs w:val="24"/>
              </w:rPr>
              <w:t>个月定期开放债券型证券投资基金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rsidP="00E91E92">
            <w:pPr>
              <w:widowControl/>
              <w:spacing w:line="360" w:lineRule="auto"/>
              <w:jc w:val="center"/>
              <w:rPr>
                <w:rFonts w:ascii="宋体" w:hAnsi="宋体" w:cs="Arial"/>
                <w:kern w:val="0"/>
                <w:sz w:val="24"/>
                <w:szCs w:val="24"/>
              </w:rPr>
            </w:pPr>
            <w:r>
              <w:rPr>
                <w:rFonts w:ascii="宋体" w:hAnsi="宋体" w:cs="Arial"/>
                <w:sz w:val="24"/>
                <w:szCs w:val="24"/>
              </w:rPr>
              <w:t>009518</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人保核心智选混合型证券投资基金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022702</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人保核心智选混合型证券投资基金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022703</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人保红利智享混合型证券投资基金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022211</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人保红利智享混合型证券投资基金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022212</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人保沪深</w:t>
            </w:r>
            <w:r>
              <w:rPr>
                <w:rFonts w:ascii="宋体" w:hAnsi="宋体" w:cs="Arial"/>
                <w:sz w:val="24"/>
                <w:szCs w:val="24"/>
              </w:rPr>
              <w:t>300</w:t>
            </w:r>
            <w:r>
              <w:rPr>
                <w:rFonts w:ascii="宋体" w:hAnsi="宋体" w:cs="Arial" w:hint="eastAsia"/>
                <w:sz w:val="24"/>
                <w:szCs w:val="24"/>
              </w:rPr>
              <w:t>指数型证券投资基金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006600</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人保沪深</w:t>
            </w:r>
            <w:r>
              <w:rPr>
                <w:rFonts w:ascii="宋体" w:hAnsi="宋体" w:cs="Arial"/>
                <w:sz w:val="24"/>
                <w:szCs w:val="24"/>
              </w:rPr>
              <w:t>300</w:t>
            </w:r>
            <w:r>
              <w:rPr>
                <w:rFonts w:ascii="宋体" w:hAnsi="宋体" w:cs="Arial" w:hint="eastAsia"/>
                <w:sz w:val="24"/>
                <w:szCs w:val="24"/>
              </w:rPr>
              <w:t>指数型证券投资基金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021635</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人保均衡智选混合型证券投资基金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023871</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人保均衡智选混合型证券投资基金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023872</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人保利丰纯债债券型证券投资基金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008430</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人保利丰纯债债券型证券投资基金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008431</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人保民享利率债债券型证券投资基金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020381</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人保民享利率债债券型证券投资基金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020382</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人保上证科创板综合指数增强型证券投资基金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024741</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人保上证科创板综合指数增强型证券投资基金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024742</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人保双利优选混合型证券投资基金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004988</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人保双利优选混合型证券投资基金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004989</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人保鑫利回报债券型证券投资基金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006114</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人保鑫利回报债券型证券投资基金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006115</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人保鑫利回报债券型证券投资基金</w:t>
            </w:r>
            <w:r>
              <w:rPr>
                <w:rFonts w:ascii="宋体" w:hAnsi="宋体" w:cs="Arial"/>
                <w:sz w:val="24"/>
                <w:szCs w:val="24"/>
              </w:rPr>
              <w:t>E</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024588</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人保鑫瑞中短债债券型证券投资基金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006073</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人保鑫瑞中短债债券型证券投资基金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006074</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人保鑫瑞中短债债券型证券投资基金</w:t>
            </w:r>
            <w:r>
              <w:rPr>
                <w:rFonts w:ascii="宋体" w:hAnsi="宋体" w:cs="Arial"/>
                <w:sz w:val="24"/>
                <w:szCs w:val="24"/>
              </w:rPr>
              <w:t>E</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022591</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人保鑫盛纯债债券型证券投资基金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006638</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人保鑫盛纯债债券型证券投资基金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006639</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人保鑫盛纯债债券型证券投资基金</w:t>
            </w:r>
            <w:r>
              <w:rPr>
                <w:rFonts w:ascii="宋体" w:hAnsi="宋体" w:cs="Arial"/>
                <w:sz w:val="24"/>
                <w:szCs w:val="24"/>
              </w:rPr>
              <w:t>E</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022593</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人保鑫裕增强债券型证券投资基金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006459</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人保鑫裕增强债券型证券投资基金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006460</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人保鑫泽纯债债券型证券投资基金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006854</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人保鑫泽纯债债券型证券投资基金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006855</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人保鑫泽纯债债券型证券投资基金</w:t>
            </w:r>
            <w:r>
              <w:rPr>
                <w:rFonts w:ascii="宋体" w:hAnsi="宋体" w:cs="Arial"/>
                <w:sz w:val="24"/>
                <w:szCs w:val="24"/>
              </w:rPr>
              <w:t>E</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022608</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人保行业轮动混合型证券投资基金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006573</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人保行业轮动混合型证券投资基金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006574</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人保研究精选混合型证券投资基金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005041</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人保研究精选混合型证券投资基金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005042</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人保中债</w:t>
            </w:r>
            <w:r>
              <w:rPr>
                <w:rFonts w:ascii="宋体" w:hAnsi="宋体" w:cs="Arial"/>
                <w:sz w:val="24"/>
                <w:szCs w:val="24"/>
              </w:rPr>
              <w:t>1-5</w:t>
            </w:r>
            <w:r>
              <w:rPr>
                <w:rFonts w:ascii="宋体" w:hAnsi="宋体" w:cs="Arial" w:hint="eastAsia"/>
                <w:sz w:val="24"/>
                <w:szCs w:val="24"/>
              </w:rPr>
              <w:t>年政策性金融债指数证券投资基金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019192</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人保中债</w:t>
            </w:r>
            <w:r>
              <w:rPr>
                <w:rFonts w:ascii="宋体" w:hAnsi="宋体" w:cs="Arial"/>
                <w:sz w:val="24"/>
                <w:szCs w:val="24"/>
              </w:rPr>
              <w:t>1-5</w:t>
            </w:r>
            <w:r>
              <w:rPr>
                <w:rFonts w:ascii="宋体" w:hAnsi="宋体" w:cs="Arial" w:hint="eastAsia"/>
                <w:sz w:val="24"/>
                <w:szCs w:val="24"/>
              </w:rPr>
              <w:t>年政策性金融债指数证券投资基金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019193</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人保中证</w:t>
            </w:r>
            <w:r>
              <w:rPr>
                <w:rFonts w:ascii="宋体" w:hAnsi="宋体" w:cs="Arial"/>
                <w:sz w:val="24"/>
                <w:szCs w:val="24"/>
              </w:rPr>
              <w:t>500</w:t>
            </w:r>
            <w:r>
              <w:rPr>
                <w:rFonts w:ascii="宋体" w:hAnsi="宋体" w:cs="Arial" w:hint="eastAsia"/>
                <w:sz w:val="24"/>
                <w:szCs w:val="24"/>
              </w:rPr>
              <w:t>指数型证券投资基金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006611</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人保中证</w:t>
            </w:r>
            <w:r>
              <w:rPr>
                <w:rFonts w:ascii="宋体" w:hAnsi="宋体" w:cs="Arial"/>
                <w:sz w:val="24"/>
                <w:szCs w:val="24"/>
              </w:rPr>
              <w:t>500</w:t>
            </w:r>
            <w:r>
              <w:rPr>
                <w:rFonts w:ascii="宋体" w:hAnsi="宋体" w:cs="Arial" w:hint="eastAsia"/>
                <w:sz w:val="24"/>
                <w:szCs w:val="24"/>
              </w:rPr>
              <w:t>指数型证券投资基金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023498</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人保中证</w:t>
            </w:r>
            <w:r>
              <w:rPr>
                <w:rFonts w:ascii="宋体" w:hAnsi="宋体" w:cs="Arial"/>
                <w:sz w:val="24"/>
                <w:szCs w:val="24"/>
              </w:rPr>
              <w:t>500</w:t>
            </w:r>
            <w:r>
              <w:rPr>
                <w:rFonts w:ascii="宋体" w:hAnsi="宋体" w:cs="Arial" w:hint="eastAsia"/>
                <w:sz w:val="24"/>
                <w:szCs w:val="24"/>
              </w:rPr>
              <w:t>指数增强型证券投资基金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025334</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人保中证</w:t>
            </w:r>
            <w:r>
              <w:rPr>
                <w:rFonts w:ascii="宋体" w:hAnsi="宋体" w:cs="Arial"/>
                <w:sz w:val="24"/>
                <w:szCs w:val="24"/>
              </w:rPr>
              <w:t>500</w:t>
            </w:r>
            <w:r>
              <w:rPr>
                <w:rFonts w:ascii="宋体" w:hAnsi="宋体" w:cs="Arial" w:hint="eastAsia"/>
                <w:sz w:val="24"/>
                <w:szCs w:val="24"/>
              </w:rPr>
              <w:t>指数增强型证券投资基金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025335</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人保中证</w:t>
            </w:r>
            <w:r>
              <w:rPr>
                <w:rFonts w:ascii="宋体" w:hAnsi="宋体" w:cs="Arial"/>
                <w:sz w:val="24"/>
                <w:szCs w:val="24"/>
              </w:rPr>
              <w:t>800</w:t>
            </w:r>
            <w:r>
              <w:rPr>
                <w:rFonts w:ascii="宋体" w:hAnsi="宋体" w:cs="Arial" w:hint="eastAsia"/>
                <w:sz w:val="24"/>
                <w:szCs w:val="24"/>
              </w:rPr>
              <w:t>指数增强型证券投资基金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022513</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人保中证</w:t>
            </w:r>
            <w:r>
              <w:rPr>
                <w:rFonts w:ascii="宋体" w:hAnsi="宋体" w:cs="Arial"/>
                <w:sz w:val="24"/>
                <w:szCs w:val="24"/>
              </w:rPr>
              <w:t>800</w:t>
            </w:r>
            <w:r>
              <w:rPr>
                <w:rFonts w:ascii="宋体" w:hAnsi="宋体" w:cs="Arial" w:hint="eastAsia"/>
                <w:sz w:val="24"/>
                <w:szCs w:val="24"/>
              </w:rPr>
              <w:t>指数增强型证券投资基金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022514</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人保中证</w:t>
            </w:r>
            <w:r>
              <w:rPr>
                <w:rFonts w:ascii="宋体" w:hAnsi="宋体" w:cs="Arial"/>
                <w:sz w:val="24"/>
                <w:szCs w:val="24"/>
              </w:rPr>
              <w:t>A500</w:t>
            </w:r>
            <w:r>
              <w:rPr>
                <w:rFonts w:ascii="宋体" w:hAnsi="宋体" w:cs="Arial" w:hint="eastAsia"/>
                <w:sz w:val="24"/>
                <w:szCs w:val="24"/>
              </w:rPr>
              <w:t>指数增强型证券投资基金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022811</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人保中证</w:t>
            </w:r>
            <w:r>
              <w:rPr>
                <w:rFonts w:ascii="宋体" w:hAnsi="宋体" w:cs="Arial"/>
                <w:sz w:val="24"/>
                <w:szCs w:val="24"/>
              </w:rPr>
              <w:t>A500</w:t>
            </w:r>
            <w:r>
              <w:rPr>
                <w:rFonts w:ascii="宋体" w:hAnsi="宋体" w:cs="Arial" w:hint="eastAsia"/>
                <w:sz w:val="24"/>
                <w:szCs w:val="24"/>
              </w:rPr>
              <w:t>指数增强型证券投资基金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022812</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人保中证</w:t>
            </w:r>
            <w:r>
              <w:rPr>
                <w:rFonts w:ascii="宋体" w:hAnsi="宋体" w:cs="Arial"/>
                <w:sz w:val="24"/>
                <w:szCs w:val="24"/>
              </w:rPr>
              <w:t>A50</w:t>
            </w:r>
            <w:r>
              <w:rPr>
                <w:rFonts w:ascii="宋体" w:hAnsi="宋体" w:cs="Arial" w:hint="eastAsia"/>
                <w:sz w:val="24"/>
                <w:szCs w:val="24"/>
              </w:rPr>
              <w:t>指数增强型证券投资基金</w:t>
            </w:r>
            <w:r>
              <w:rPr>
                <w:rFonts w:ascii="宋体" w:hAnsi="宋体" w:cs="Arial"/>
                <w:sz w:val="24"/>
                <w:szCs w:val="24"/>
              </w:rPr>
              <w:t>A</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024231</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人保中证</w:t>
            </w:r>
            <w:r>
              <w:rPr>
                <w:rFonts w:ascii="宋体" w:hAnsi="宋体" w:cs="Arial"/>
                <w:sz w:val="24"/>
                <w:szCs w:val="24"/>
              </w:rPr>
              <w:t>A50</w:t>
            </w:r>
            <w:r>
              <w:rPr>
                <w:rFonts w:ascii="宋体" w:hAnsi="宋体" w:cs="Arial" w:hint="eastAsia"/>
                <w:sz w:val="24"/>
                <w:szCs w:val="24"/>
              </w:rPr>
              <w:t>指数增强型证券投资基金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024232</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人保转型新动力灵活配置混合型证券投资基金A类份额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005953</w:t>
            </w:r>
          </w:p>
        </w:tc>
      </w:tr>
      <w:tr w:rsidR="007B4EA8">
        <w:tc>
          <w:tcPr>
            <w:tcW w:w="6374"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hint="eastAsia"/>
                <w:sz w:val="24"/>
                <w:szCs w:val="24"/>
              </w:rPr>
              <w:t>人保转型新动力灵活配置混合型证券投资基金</w:t>
            </w:r>
            <w:r>
              <w:rPr>
                <w:rFonts w:ascii="宋体" w:hAnsi="宋体" w:cs="Arial"/>
                <w:sz w:val="24"/>
                <w:szCs w:val="24"/>
              </w:rPr>
              <w:t>C</w:t>
            </w:r>
            <w:r>
              <w:rPr>
                <w:rFonts w:ascii="宋体" w:hAnsi="宋体" w:cs="Arial" w:hint="eastAsia"/>
                <w:sz w:val="24"/>
                <w:szCs w:val="24"/>
              </w:rPr>
              <w:t>类份额</w:t>
            </w:r>
          </w:p>
        </w:tc>
        <w:tc>
          <w:tcPr>
            <w:tcW w:w="1922" w:type="dxa"/>
            <w:vAlign w:val="bottom"/>
          </w:tcPr>
          <w:p w:rsidR="007B4EA8" w:rsidRDefault="007A2116">
            <w:pPr>
              <w:widowControl/>
              <w:spacing w:line="360" w:lineRule="auto"/>
              <w:jc w:val="center"/>
              <w:rPr>
                <w:rFonts w:ascii="宋体" w:hAnsi="宋体" w:cs="Arial"/>
                <w:kern w:val="0"/>
                <w:sz w:val="24"/>
                <w:szCs w:val="24"/>
              </w:rPr>
            </w:pPr>
            <w:r>
              <w:rPr>
                <w:rFonts w:ascii="宋体" w:hAnsi="宋体" w:cs="Arial"/>
                <w:sz w:val="24"/>
                <w:szCs w:val="24"/>
              </w:rPr>
              <w:t>005954</w:t>
            </w:r>
          </w:p>
        </w:tc>
      </w:tr>
    </w:tbl>
    <w:bookmarkEnd w:id="1"/>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投资人办理基金转换业务时，转出方的基金必须处于可赎回状态，转入方的基金必须处于可申购状态，基金转换只能在同一销售机构进行，转换的两只基金必须是同一销售机构同时代理销售的本公司管理的已开通转换业务的基金。各基金转换业务的开放状态及交易限制可从各基金相关公告或基金管理人官方网站进行查询。</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各销售机构参加基金转换的具体基金以各销售机构的规定为准。</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（3）转换业务办理地点</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自2026年</w:t>
      </w:r>
      <w:r>
        <w:rPr>
          <w:rFonts w:ascii="宋体" w:hAnsi="宋体" w:cs="Arial"/>
          <w:kern w:val="0"/>
          <w:sz w:val="24"/>
          <w:szCs w:val="24"/>
        </w:rPr>
        <w:t>2</w:t>
      </w:r>
      <w:r>
        <w:rPr>
          <w:rFonts w:ascii="宋体" w:hAnsi="宋体" w:cs="Arial" w:hint="eastAsia"/>
          <w:kern w:val="0"/>
          <w:sz w:val="24"/>
          <w:szCs w:val="24"/>
        </w:rPr>
        <w:t>月</w:t>
      </w:r>
      <w:r>
        <w:rPr>
          <w:rFonts w:ascii="宋体" w:hAnsi="宋体" w:cs="Arial"/>
          <w:kern w:val="0"/>
          <w:sz w:val="24"/>
          <w:szCs w:val="24"/>
        </w:rPr>
        <w:t>28</w:t>
      </w:r>
      <w:r>
        <w:rPr>
          <w:rFonts w:ascii="宋体" w:hAnsi="宋体" w:cs="Arial" w:hint="eastAsia"/>
          <w:kern w:val="0"/>
          <w:sz w:val="24"/>
          <w:szCs w:val="24"/>
        </w:rPr>
        <w:t>日起，投资者可通过直销机构办理上述基金在同一登记机构内的转换业务。除直销机构以外的其他销售机构的业务支持情况，以各销售机构的业务安排为准。</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（4）转换业务规则</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1）基金转换只能在同一销售机构进行。转换的两只基金必须都是该销售机构代理的同一基金管理人管理的、在同一注册登记机构处注册登记的基金。投资者办理基金转换业务时，转出方的基金必须处于可赎回状态，转入方的基金必须处于可申购状态。</w:t>
      </w:r>
      <w:bookmarkStart w:id="2" w:name="_GoBack"/>
      <w:bookmarkEnd w:id="2"/>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2）基金转换采取“未知价”法，即基金的转换价格以申请受理当日各转出、转入基金的基金份额净值为基准进行计算。</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3）转出基金份额遵循“先进先出”的原则，转换后，转入基金份额的持有时间将重新计算，即转入基金份额的持有期将自转入基金份额确认日起重新开始计算。</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4）当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（5）基金转换的注册登记</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基金管理人应以交易时间结束前受理有效转换申请的当天作为转换申请日（T日）正常情况下，基金登记机构将在T+1日对该交易的有效性进行确认，办理转换转出基金的权益扣除以及转换转入基金的权益登记。在T+2日后（包括该日）投资者可向销售机构查询基金转换的确认情况。</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（6）基金单笔最低转换份额为1.00份。投资者通过销售机构申请转换时，除需满足基金管理人最低转换份额限制外，当销售机构设定的最低份额高于上述份额限制时，投资者还应遵循相关销售机构的业务规定。</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基金管理人直销机构对基金单笔转换的最低份额为1.00份。投资者申请转换时，如在销售机构保留的基金份额低于规定限额的（具体限额参见相关公告和基金招募说明书及其更新），则需一次性全额申请转出。单笔转入申请不受转入基金最低申购限额限制。各销售机构对基金最低转换份额有其他规定的，以各销售机构的业务规定为准。</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7）基金转换业务的解释权归基金管理人，基金管理人可以根据市场情况在不违反有关法律法规和基金合同的规定之前提下调整上述转换的收费方式、费率水平、业务规则及有关限制，但应在调整生效前依照《公开募集证券投资基金信息披露管理办法》的有关规定在规定媒介上公告。</w:t>
      </w:r>
    </w:p>
    <w:p w:rsidR="007B4EA8" w:rsidRDefault="007A2116">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投资者可登陆本公司网站（http://fund.piccamc.com）查询相关信息，或拨打本公司的客户服务电话（400-820-7999）咨询相关事宜。</w:t>
      </w:r>
    </w:p>
    <w:p w:rsidR="007B4EA8" w:rsidRDefault="007A2116">
      <w:pPr>
        <w:spacing w:line="360" w:lineRule="auto"/>
        <w:ind w:firstLineChars="200" w:firstLine="482"/>
        <w:jc w:val="left"/>
        <w:rPr>
          <w:rFonts w:ascii="宋体" w:hAnsi="宋体" w:cs="Arial"/>
          <w:kern w:val="0"/>
          <w:sz w:val="24"/>
          <w:szCs w:val="24"/>
        </w:rPr>
      </w:pPr>
      <w:r>
        <w:rPr>
          <w:rFonts w:ascii="宋体" w:hAnsi="宋体" w:cs="Arial" w:hint="eastAsia"/>
          <w:b/>
          <w:kern w:val="0"/>
          <w:sz w:val="24"/>
          <w:szCs w:val="24"/>
        </w:rPr>
        <w:t>风险提示：</w:t>
      </w:r>
      <w:r>
        <w:rPr>
          <w:rFonts w:ascii="宋体" w:hAnsi="宋体" w:cs="Arial" w:hint="eastAsia"/>
          <w:kern w:val="0"/>
          <w:sz w:val="24"/>
          <w:szCs w:val="24"/>
        </w:rPr>
        <w:t>基金管理人承诺以诚实信用、勤勉尽责的原则管理和运用基金财产，但不保证基金一定盈利，也不保证最低收益。基金的过往业绩不代表未来表现，基金管理人管理的其他基金的业绩及投资人员的过往业绩也不构成对基金业绩表现的保证。敬请投资者于投资前认真阅读基金的《基金合同》、《招募说明书》及《基金产品资料概要》等信息披露文件，全面认识基金产品的风险收益特征和产品特性，自主判断基金的投资价值，并根据自身的投资目的、投资期限、投资经验、资产状况等判断基金是否和自身的风险承受能力相适。基金投资需谨慎，敬请投资者注意投资风险。</w:t>
      </w:r>
    </w:p>
    <w:p w:rsidR="007B4EA8" w:rsidRDefault="007B4EA8">
      <w:pPr>
        <w:widowControl/>
        <w:spacing w:line="360" w:lineRule="auto"/>
        <w:jc w:val="left"/>
        <w:rPr>
          <w:rFonts w:ascii="宋体" w:hAnsi="宋体" w:cs="Arial"/>
          <w:kern w:val="0"/>
          <w:sz w:val="24"/>
          <w:szCs w:val="24"/>
        </w:rPr>
      </w:pPr>
    </w:p>
    <w:p w:rsidR="007B4EA8" w:rsidRDefault="007A2116">
      <w:pPr>
        <w:widowControl/>
        <w:spacing w:line="360" w:lineRule="auto"/>
        <w:ind w:firstLineChars="2150" w:firstLine="5160"/>
        <w:jc w:val="right"/>
        <w:rPr>
          <w:rFonts w:ascii="宋体" w:hAnsi="宋体" w:cs="Arial"/>
          <w:kern w:val="0"/>
          <w:sz w:val="24"/>
          <w:szCs w:val="24"/>
        </w:rPr>
      </w:pPr>
      <w:r>
        <w:rPr>
          <w:rFonts w:ascii="宋体" w:hAnsi="宋体" w:cs="Arial" w:hint="eastAsia"/>
          <w:kern w:val="0"/>
          <w:sz w:val="24"/>
          <w:szCs w:val="24"/>
        </w:rPr>
        <w:t>中国人保资产管理有限公司</w:t>
      </w:r>
    </w:p>
    <w:p w:rsidR="007B4EA8" w:rsidRDefault="007A2116">
      <w:pPr>
        <w:widowControl/>
        <w:spacing w:line="360" w:lineRule="auto"/>
        <w:jc w:val="right"/>
        <w:rPr>
          <w:rFonts w:ascii="宋体" w:hAnsi="宋体"/>
          <w:b/>
          <w:sz w:val="24"/>
          <w:szCs w:val="24"/>
        </w:rPr>
      </w:pPr>
      <w:r>
        <w:rPr>
          <w:rFonts w:ascii="宋体" w:hAnsi="宋体" w:cs="Arial" w:hint="eastAsia"/>
          <w:kern w:val="0"/>
          <w:sz w:val="24"/>
          <w:szCs w:val="24"/>
        </w:rPr>
        <w:t>2</w:t>
      </w:r>
      <w:r>
        <w:rPr>
          <w:rFonts w:ascii="宋体" w:hAnsi="宋体" w:cs="Arial"/>
          <w:kern w:val="0"/>
          <w:sz w:val="24"/>
          <w:szCs w:val="24"/>
        </w:rPr>
        <w:t>026</w:t>
      </w:r>
      <w:r>
        <w:rPr>
          <w:rFonts w:ascii="宋体" w:hAnsi="宋体" w:cs="Arial" w:hint="eastAsia"/>
          <w:kern w:val="0"/>
          <w:sz w:val="24"/>
          <w:szCs w:val="24"/>
        </w:rPr>
        <w:t>年</w:t>
      </w:r>
      <w:r>
        <w:rPr>
          <w:rFonts w:ascii="宋体" w:hAnsi="宋体" w:cs="Arial"/>
          <w:kern w:val="0"/>
          <w:sz w:val="24"/>
          <w:szCs w:val="24"/>
        </w:rPr>
        <w:t>2</w:t>
      </w:r>
      <w:r>
        <w:rPr>
          <w:rFonts w:ascii="宋体" w:hAnsi="宋体" w:cs="Arial" w:hint="eastAsia"/>
          <w:kern w:val="0"/>
          <w:sz w:val="24"/>
          <w:szCs w:val="24"/>
        </w:rPr>
        <w:t>月</w:t>
      </w:r>
      <w:r>
        <w:rPr>
          <w:rFonts w:ascii="宋体" w:hAnsi="宋体" w:cs="Arial"/>
          <w:kern w:val="0"/>
          <w:sz w:val="24"/>
          <w:szCs w:val="24"/>
        </w:rPr>
        <w:t>28</w:t>
      </w:r>
      <w:r>
        <w:rPr>
          <w:rFonts w:ascii="宋体" w:hAnsi="宋体" w:cs="Arial" w:hint="eastAsia"/>
          <w:kern w:val="0"/>
          <w:sz w:val="24"/>
          <w:szCs w:val="24"/>
        </w:rPr>
        <w:t>日</w:t>
      </w:r>
    </w:p>
    <w:sectPr w:rsidR="007B4EA8" w:rsidSect="009C09C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116" w:rsidRDefault="007A2116">
      <w:r>
        <w:separator/>
      </w:r>
    </w:p>
  </w:endnote>
  <w:endnote w:type="continuationSeparator" w:id="0">
    <w:p w:rsidR="007A2116" w:rsidRDefault="007A2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A8" w:rsidRDefault="009C09CA">
    <w:pPr>
      <w:pStyle w:val="a7"/>
      <w:jc w:val="center"/>
    </w:pPr>
    <w:r>
      <w:fldChar w:fldCharType="begin"/>
    </w:r>
    <w:r w:rsidR="007A2116">
      <w:instrText>PAGE   \* MERGEFORMAT</w:instrText>
    </w:r>
    <w:r>
      <w:fldChar w:fldCharType="separate"/>
    </w:r>
    <w:r w:rsidR="00A13590" w:rsidRPr="00A13590">
      <w:rPr>
        <w:noProof/>
        <w:lang w:val="zh-CN"/>
      </w:rPr>
      <w:t>1</w:t>
    </w:r>
    <w:r>
      <w:fldChar w:fldCharType="end"/>
    </w:r>
  </w:p>
  <w:p w:rsidR="007B4EA8" w:rsidRDefault="007B4EA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116" w:rsidRDefault="007A2116">
      <w:r>
        <w:separator/>
      </w:r>
    </w:p>
  </w:footnote>
  <w:footnote w:type="continuationSeparator" w:id="0">
    <w:p w:rsidR="007A2116" w:rsidRDefault="007A21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RmZWIyZThiZGFjMWE2YzMwNGY2ZmUwODUzM2I4NmMifQ=="/>
  </w:docVars>
  <w:rsids>
    <w:rsidRoot w:val="00287D94"/>
    <w:rsid w:val="00005411"/>
    <w:rsid w:val="00005A56"/>
    <w:rsid w:val="00006931"/>
    <w:rsid w:val="000107C4"/>
    <w:rsid w:val="00013B59"/>
    <w:rsid w:val="00014171"/>
    <w:rsid w:val="0002401A"/>
    <w:rsid w:val="00025814"/>
    <w:rsid w:val="00026124"/>
    <w:rsid w:val="00030A83"/>
    <w:rsid w:val="000310F5"/>
    <w:rsid w:val="00032E69"/>
    <w:rsid w:val="00033D49"/>
    <w:rsid w:val="00035100"/>
    <w:rsid w:val="00036A93"/>
    <w:rsid w:val="00037CB2"/>
    <w:rsid w:val="000407B8"/>
    <w:rsid w:val="00044B14"/>
    <w:rsid w:val="000461F7"/>
    <w:rsid w:val="000555C3"/>
    <w:rsid w:val="000560FC"/>
    <w:rsid w:val="0006028C"/>
    <w:rsid w:val="000630BA"/>
    <w:rsid w:val="000646CD"/>
    <w:rsid w:val="000648BF"/>
    <w:rsid w:val="00066A67"/>
    <w:rsid w:val="00067DD7"/>
    <w:rsid w:val="0007057B"/>
    <w:rsid w:val="000711D5"/>
    <w:rsid w:val="0007418D"/>
    <w:rsid w:val="00074CD5"/>
    <w:rsid w:val="000754A2"/>
    <w:rsid w:val="00077089"/>
    <w:rsid w:val="000806FC"/>
    <w:rsid w:val="00093629"/>
    <w:rsid w:val="000941A0"/>
    <w:rsid w:val="000A3417"/>
    <w:rsid w:val="000A5565"/>
    <w:rsid w:val="000A6083"/>
    <w:rsid w:val="000C01D7"/>
    <w:rsid w:val="000C2072"/>
    <w:rsid w:val="000C3AA6"/>
    <w:rsid w:val="000C3E5B"/>
    <w:rsid w:val="000C558B"/>
    <w:rsid w:val="000D0BA1"/>
    <w:rsid w:val="000D22DD"/>
    <w:rsid w:val="000D31E3"/>
    <w:rsid w:val="000D3F29"/>
    <w:rsid w:val="000D4279"/>
    <w:rsid w:val="000D462E"/>
    <w:rsid w:val="000E5503"/>
    <w:rsid w:val="000F08AB"/>
    <w:rsid w:val="000F4B56"/>
    <w:rsid w:val="000F7D2D"/>
    <w:rsid w:val="00101596"/>
    <w:rsid w:val="00103368"/>
    <w:rsid w:val="0010639C"/>
    <w:rsid w:val="001064BA"/>
    <w:rsid w:val="00106C97"/>
    <w:rsid w:val="00114BE3"/>
    <w:rsid w:val="00121B56"/>
    <w:rsid w:val="001269E7"/>
    <w:rsid w:val="00131CCA"/>
    <w:rsid w:val="001352B2"/>
    <w:rsid w:val="001410C8"/>
    <w:rsid w:val="001429EA"/>
    <w:rsid w:val="00144F5F"/>
    <w:rsid w:val="0014625F"/>
    <w:rsid w:val="00146528"/>
    <w:rsid w:val="001475E2"/>
    <w:rsid w:val="001531C2"/>
    <w:rsid w:val="00153CE7"/>
    <w:rsid w:val="00153E74"/>
    <w:rsid w:val="001559C3"/>
    <w:rsid w:val="00162B23"/>
    <w:rsid w:val="00164804"/>
    <w:rsid w:val="00171224"/>
    <w:rsid w:val="00171539"/>
    <w:rsid w:val="001716B8"/>
    <w:rsid w:val="00172E23"/>
    <w:rsid w:val="00176633"/>
    <w:rsid w:val="00183294"/>
    <w:rsid w:val="00197248"/>
    <w:rsid w:val="00197561"/>
    <w:rsid w:val="001A0E7F"/>
    <w:rsid w:val="001A356D"/>
    <w:rsid w:val="001A5135"/>
    <w:rsid w:val="001A7964"/>
    <w:rsid w:val="001B0F28"/>
    <w:rsid w:val="001C26B8"/>
    <w:rsid w:val="001C55B2"/>
    <w:rsid w:val="001C588F"/>
    <w:rsid w:val="001C7865"/>
    <w:rsid w:val="001D3C7B"/>
    <w:rsid w:val="001D4BA0"/>
    <w:rsid w:val="001D4BCD"/>
    <w:rsid w:val="001D502E"/>
    <w:rsid w:val="001E06EA"/>
    <w:rsid w:val="001E14DC"/>
    <w:rsid w:val="001E3E90"/>
    <w:rsid w:val="001E4A13"/>
    <w:rsid w:val="001F0632"/>
    <w:rsid w:val="001F08AF"/>
    <w:rsid w:val="001F0C3E"/>
    <w:rsid w:val="001F0C41"/>
    <w:rsid w:val="001F1636"/>
    <w:rsid w:val="001F1C8A"/>
    <w:rsid w:val="001F3B50"/>
    <w:rsid w:val="001F490C"/>
    <w:rsid w:val="002018DD"/>
    <w:rsid w:val="00210624"/>
    <w:rsid w:val="00211C4B"/>
    <w:rsid w:val="002124FC"/>
    <w:rsid w:val="0021381A"/>
    <w:rsid w:val="002147DA"/>
    <w:rsid w:val="0022586F"/>
    <w:rsid w:val="00231730"/>
    <w:rsid w:val="00232989"/>
    <w:rsid w:val="00233359"/>
    <w:rsid w:val="00234B92"/>
    <w:rsid w:val="00244A4C"/>
    <w:rsid w:val="0024557A"/>
    <w:rsid w:val="002474C6"/>
    <w:rsid w:val="00247C81"/>
    <w:rsid w:val="00250A67"/>
    <w:rsid w:val="00251101"/>
    <w:rsid w:val="002536B5"/>
    <w:rsid w:val="00253E21"/>
    <w:rsid w:val="00265CBD"/>
    <w:rsid w:val="00266446"/>
    <w:rsid w:val="00274031"/>
    <w:rsid w:val="002753DB"/>
    <w:rsid w:val="00282DD9"/>
    <w:rsid w:val="00287BB7"/>
    <w:rsid w:val="00287D94"/>
    <w:rsid w:val="00292890"/>
    <w:rsid w:val="00292B36"/>
    <w:rsid w:val="002950C0"/>
    <w:rsid w:val="002A3042"/>
    <w:rsid w:val="002A6ABB"/>
    <w:rsid w:val="002A7821"/>
    <w:rsid w:val="002B5013"/>
    <w:rsid w:val="002B6427"/>
    <w:rsid w:val="002C0136"/>
    <w:rsid w:val="002C319F"/>
    <w:rsid w:val="002C7DA3"/>
    <w:rsid w:val="002D5123"/>
    <w:rsid w:val="002E046C"/>
    <w:rsid w:val="002E4737"/>
    <w:rsid w:val="002E7958"/>
    <w:rsid w:val="002F2E37"/>
    <w:rsid w:val="002F34EE"/>
    <w:rsid w:val="002F49A6"/>
    <w:rsid w:val="002F6169"/>
    <w:rsid w:val="002F6849"/>
    <w:rsid w:val="003011BE"/>
    <w:rsid w:val="00302C23"/>
    <w:rsid w:val="0030795A"/>
    <w:rsid w:val="0031040B"/>
    <w:rsid w:val="003104BF"/>
    <w:rsid w:val="0031198D"/>
    <w:rsid w:val="00312B24"/>
    <w:rsid w:val="0031489F"/>
    <w:rsid w:val="003152E9"/>
    <w:rsid w:val="00317C9B"/>
    <w:rsid w:val="0032088C"/>
    <w:rsid w:val="003233D1"/>
    <w:rsid w:val="003238CD"/>
    <w:rsid w:val="00325070"/>
    <w:rsid w:val="0032600A"/>
    <w:rsid w:val="003302C5"/>
    <w:rsid w:val="0033113C"/>
    <w:rsid w:val="003320B9"/>
    <w:rsid w:val="00332A42"/>
    <w:rsid w:val="00334592"/>
    <w:rsid w:val="00337A5B"/>
    <w:rsid w:val="00341927"/>
    <w:rsid w:val="0035208E"/>
    <w:rsid w:val="003528E6"/>
    <w:rsid w:val="00352D82"/>
    <w:rsid w:val="0035625E"/>
    <w:rsid w:val="00361C66"/>
    <w:rsid w:val="00362F2A"/>
    <w:rsid w:val="00363018"/>
    <w:rsid w:val="00363701"/>
    <w:rsid w:val="00365571"/>
    <w:rsid w:val="00366709"/>
    <w:rsid w:val="0037556A"/>
    <w:rsid w:val="00376275"/>
    <w:rsid w:val="00380207"/>
    <w:rsid w:val="00383A31"/>
    <w:rsid w:val="003913B9"/>
    <w:rsid w:val="00391C5D"/>
    <w:rsid w:val="00393D86"/>
    <w:rsid w:val="00394D95"/>
    <w:rsid w:val="00394FAC"/>
    <w:rsid w:val="003963BB"/>
    <w:rsid w:val="0039685D"/>
    <w:rsid w:val="00396904"/>
    <w:rsid w:val="00396DFD"/>
    <w:rsid w:val="003976A0"/>
    <w:rsid w:val="00397946"/>
    <w:rsid w:val="003A12C5"/>
    <w:rsid w:val="003A1F4B"/>
    <w:rsid w:val="003A48A8"/>
    <w:rsid w:val="003A52C4"/>
    <w:rsid w:val="003A70AD"/>
    <w:rsid w:val="003B4024"/>
    <w:rsid w:val="003C067A"/>
    <w:rsid w:val="003C1A12"/>
    <w:rsid w:val="003C4C81"/>
    <w:rsid w:val="003C6D5D"/>
    <w:rsid w:val="003D4225"/>
    <w:rsid w:val="003E36F5"/>
    <w:rsid w:val="003E3A06"/>
    <w:rsid w:val="003F0509"/>
    <w:rsid w:val="003F0E9D"/>
    <w:rsid w:val="003F5FB1"/>
    <w:rsid w:val="00402C9A"/>
    <w:rsid w:val="00406FE8"/>
    <w:rsid w:val="0041180F"/>
    <w:rsid w:val="00416895"/>
    <w:rsid w:val="00423686"/>
    <w:rsid w:val="00425B88"/>
    <w:rsid w:val="00425E57"/>
    <w:rsid w:val="00434135"/>
    <w:rsid w:val="004354F7"/>
    <w:rsid w:val="00450A31"/>
    <w:rsid w:val="00451BC2"/>
    <w:rsid w:val="00452DA8"/>
    <w:rsid w:val="00460651"/>
    <w:rsid w:val="00460F09"/>
    <w:rsid w:val="00466D37"/>
    <w:rsid w:val="00467370"/>
    <w:rsid w:val="00467772"/>
    <w:rsid w:val="00471A1E"/>
    <w:rsid w:val="0047637B"/>
    <w:rsid w:val="00482317"/>
    <w:rsid w:val="00482C44"/>
    <w:rsid w:val="00482FA0"/>
    <w:rsid w:val="0048330A"/>
    <w:rsid w:val="0048397B"/>
    <w:rsid w:val="00487816"/>
    <w:rsid w:val="004879C2"/>
    <w:rsid w:val="004950A0"/>
    <w:rsid w:val="0049767A"/>
    <w:rsid w:val="004A06C6"/>
    <w:rsid w:val="004A0B28"/>
    <w:rsid w:val="004A7BA6"/>
    <w:rsid w:val="004B17BD"/>
    <w:rsid w:val="004C47B2"/>
    <w:rsid w:val="004D1429"/>
    <w:rsid w:val="004D1626"/>
    <w:rsid w:val="004D1EC0"/>
    <w:rsid w:val="004D3F3A"/>
    <w:rsid w:val="004D413B"/>
    <w:rsid w:val="004D6584"/>
    <w:rsid w:val="004E0AC2"/>
    <w:rsid w:val="004E2240"/>
    <w:rsid w:val="004E56FE"/>
    <w:rsid w:val="004E61AB"/>
    <w:rsid w:val="004E7046"/>
    <w:rsid w:val="004E709B"/>
    <w:rsid w:val="004E733C"/>
    <w:rsid w:val="004E7FBC"/>
    <w:rsid w:val="004F0B25"/>
    <w:rsid w:val="004F0B71"/>
    <w:rsid w:val="004F11E4"/>
    <w:rsid w:val="004F4189"/>
    <w:rsid w:val="004F5E8D"/>
    <w:rsid w:val="00501AFE"/>
    <w:rsid w:val="00501D0B"/>
    <w:rsid w:val="00504D55"/>
    <w:rsid w:val="00506010"/>
    <w:rsid w:val="00506317"/>
    <w:rsid w:val="00513B88"/>
    <w:rsid w:val="0051426F"/>
    <w:rsid w:val="005142C5"/>
    <w:rsid w:val="0051572D"/>
    <w:rsid w:val="00516BA7"/>
    <w:rsid w:val="0052189B"/>
    <w:rsid w:val="00522470"/>
    <w:rsid w:val="00523231"/>
    <w:rsid w:val="00527580"/>
    <w:rsid w:val="00531BCE"/>
    <w:rsid w:val="005323DC"/>
    <w:rsid w:val="00535739"/>
    <w:rsid w:val="005409EE"/>
    <w:rsid w:val="0054113B"/>
    <w:rsid w:val="00541F2D"/>
    <w:rsid w:val="0054202D"/>
    <w:rsid w:val="005466C6"/>
    <w:rsid w:val="005503B1"/>
    <w:rsid w:val="005532F6"/>
    <w:rsid w:val="0055770D"/>
    <w:rsid w:val="00564624"/>
    <w:rsid w:val="00564A66"/>
    <w:rsid w:val="0056620C"/>
    <w:rsid w:val="00566518"/>
    <w:rsid w:val="00570635"/>
    <w:rsid w:val="005708FC"/>
    <w:rsid w:val="0057289C"/>
    <w:rsid w:val="00572A9D"/>
    <w:rsid w:val="00573543"/>
    <w:rsid w:val="005735F0"/>
    <w:rsid w:val="00574760"/>
    <w:rsid w:val="0058019F"/>
    <w:rsid w:val="00580603"/>
    <w:rsid w:val="00583190"/>
    <w:rsid w:val="00585A22"/>
    <w:rsid w:val="00585C2D"/>
    <w:rsid w:val="0058788F"/>
    <w:rsid w:val="00591E1C"/>
    <w:rsid w:val="005931EF"/>
    <w:rsid w:val="0059589D"/>
    <w:rsid w:val="00595E72"/>
    <w:rsid w:val="00597812"/>
    <w:rsid w:val="00597DB8"/>
    <w:rsid w:val="005A066F"/>
    <w:rsid w:val="005A1B65"/>
    <w:rsid w:val="005A588F"/>
    <w:rsid w:val="005A654E"/>
    <w:rsid w:val="005B1DB0"/>
    <w:rsid w:val="005B2B72"/>
    <w:rsid w:val="005B4D93"/>
    <w:rsid w:val="005C0235"/>
    <w:rsid w:val="005C1713"/>
    <w:rsid w:val="005C2374"/>
    <w:rsid w:val="005D096B"/>
    <w:rsid w:val="005D15C7"/>
    <w:rsid w:val="005D19FE"/>
    <w:rsid w:val="005D2B43"/>
    <w:rsid w:val="005D3E51"/>
    <w:rsid w:val="005D648F"/>
    <w:rsid w:val="005E1226"/>
    <w:rsid w:val="005E26FA"/>
    <w:rsid w:val="005E384E"/>
    <w:rsid w:val="005E69A2"/>
    <w:rsid w:val="00600A7A"/>
    <w:rsid w:val="006027F5"/>
    <w:rsid w:val="00605B10"/>
    <w:rsid w:val="00605F03"/>
    <w:rsid w:val="006078DC"/>
    <w:rsid w:val="006100DE"/>
    <w:rsid w:val="0061281F"/>
    <w:rsid w:val="00614540"/>
    <w:rsid w:val="00616A7A"/>
    <w:rsid w:val="00617291"/>
    <w:rsid w:val="0062136F"/>
    <w:rsid w:val="00624072"/>
    <w:rsid w:val="00624141"/>
    <w:rsid w:val="00626C1E"/>
    <w:rsid w:val="00627584"/>
    <w:rsid w:val="0063172E"/>
    <w:rsid w:val="006342F8"/>
    <w:rsid w:val="00635A1B"/>
    <w:rsid w:val="00635E91"/>
    <w:rsid w:val="006424D5"/>
    <w:rsid w:val="00650632"/>
    <w:rsid w:val="00651008"/>
    <w:rsid w:val="00655565"/>
    <w:rsid w:val="00656469"/>
    <w:rsid w:val="00656DF6"/>
    <w:rsid w:val="00661264"/>
    <w:rsid w:val="00661859"/>
    <w:rsid w:val="006627E1"/>
    <w:rsid w:val="00662DE0"/>
    <w:rsid w:val="0066374E"/>
    <w:rsid w:val="006645BA"/>
    <w:rsid w:val="006648A6"/>
    <w:rsid w:val="00664BB5"/>
    <w:rsid w:val="006710A3"/>
    <w:rsid w:val="00672BEE"/>
    <w:rsid w:val="006736DC"/>
    <w:rsid w:val="00673B69"/>
    <w:rsid w:val="0067634E"/>
    <w:rsid w:val="00680D9D"/>
    <w:rsid w:val="00683575"/>
    <w:rsid w:val="00687362"/>
    <w:rsid w:val="006910A8"/>
    <w:rsid w:val="00692557"/>
    <w:rsid w:val="006947D6"/>
    <w:rsid w:val="00696BA5"/>
    <w:rsid w:val="006979DA"/>
    <w:rsid w:val="006A02EC"/>
    <w:rsid w:val="006A27AD"/>
    <w:rsid w:val="006A4D43"/>
    <w:rsid w:val="006A7CEA"/>
    <w:rsid w:val="006B6ECA"/>
    <w:rsid w:val="006C1BD0"/>
    <w:rsid w:val="006C34FD"/>
    <w:rsid w:val="006C4F56"/>
    <w:rsid w:val="006C621B"/>
    <w:rsid w:val="006C759B"/>
    <w:rsid w:val="006D2568"/>
    <w:rsid w:val="006D2A88"/>
    <w:rsid w:val="006D5144"/>
    <w:rsid w:val="006D6E5A"/>
    <w:rsid w:val="006E0C29"/>
    <w:rsid w:val="006E2A45"/>
    <w:rsid w:val="006F1AA6"/>
    <w:rsid w:val="006F62F1"/>
    <w:rsid w:val="006F6770"/>
    <w:rsid w:val="00703280"/>
    <w:rsid w:val="00703952"/>
    <w:rsid w:val="00703E83"/>
    <w:rsid w:val="0070538D"/>
    <w:rsid w:val="007101E8"/>
    <w:rsid w:val="0071130E"/>
    <w:rsid w:val="007125AE"/>
    <w:rsid w:val="00713E1B"/>
    <w:rsid w:val="00714E51"/>
    <w:rsid w:val="00717639"/>
    <w:rsid w:val="007233CA"/>
    <w:rsid w:val="007266A3"/>
    <w:rsid w:val="00730662"/>
    <w:rsid w:val="00736DDB"/>
    <w:rsid w:val="0074094E"/>
    <w:rsid w:val="00753642"/>
    <w:rsid w:val="007539A0"/>
    <w:rsid w:val="007550FB"/>
    <w:rsid w:val="007563E7"/>
    <w:rsid w:val="007566F1"/>
    <w:rsid w:val="00761E59"/>
    <w:rsid w:val="007623B1"/>
    <w:rsid w:val="00770989"/>
    <w:rsid w:val="007717FD"/>
    <w:rsid w:val="00773FC8"/>
    <w:rsid w:val="007874CD"/>
    <w:rsid w:val="00787E75"/>
    <w:rsid w:val="00793060"/>
    <w:rsid w:val="00796175"/>
    <w:rsid w:val="007A0628"/>
    <w:rsid w:val="007A2116"/>
    <w:rsid w:val="007A29BD"/>
    <w:rsid w:val="007A3997"/>
    <w:rsid w:val="007A7551"/>
    <w:rsid w:val="007A7BCA"/>
    <w:rsid w:val="007B3B70"/>
    <w:rsid w:val="007B4EA8"/>
    <w:rsid w:val="007C0EE4"/>
    <w:rsid w:val="007D0F8C"/>
    <w:rsid w:val="007D1724"/>
    <w:rsid w:val="007D4DA4"/>
    <w:rsid w:val="007E1BA9"/>
    <w:rsid w:val="007E3665"/>
    <w:rsid w:val="007E4FDA"/>
    <w:rsid w:val="007E6B40"/>
    <w:rsid w:val="007E7444"/>
    <w:rsid w:val="007F07DE"/>
    <w:rsid w:val="007F2A0C"/>
    <w:rsid w:val="007F6CFE"/>
    <w:rsid w:val="008022DC"/>
    <w:rsid w:val="00802427"/>
    <w:rsid w:val="0080242C"/>
    <w:rsid w:val="00802EDC"/>
    <w:rsid w:val="00813FB1"/>
    <w:rsid w:val="00823826"/>
    <w:rsid w:val="00824DE2"/>
    <w:rsid w:val="00826656"/>
    <w:rsid w:val="00827A2C"/>
    <w:rsid w:val="008332BF"/>
    <w:rsid w:val="00833473"/>
    <w:rsid w:val="00835237"/>
    <w:rsid w:val="008372EF"/>
    <w:rsid w:val="00837891"/>
    <w:rsid w:val="008400F8"/>
    <w:rsid w:val="008401CA"/>
    <w:rsid w:val="00840AC5"/>
    <w:rsid w:val="00844F14"/>
    <w:rsid w:val="00846AF2"/>
    <w:rsid w:val="00850E6E"/>
    <w:rsid w:val="00851D59"/>
    <w:rsid w:val="00862321"/>
    <w:rsid w:val="008636F0"/>
    <w:rsid w:val="00865C15"/>
    <w:rsid w:val="00866286"/>
    <w:rsid w:val="0086793F"/>
    <w:rsid w:val="00867B66"/>
    <w:rsid w:val="00883E18"/>
    <w:rsid w:val="00884264"/>
    <w:rsid w:val="00886CF4"/>
    <w:rsid w:val="00893218"/>
    <w:rsid w:val="008964C0"/>
    <w:rsid w:val="0089790E"/>
    <w:rsid w:val="008A16A2"/>
    <w:rsid w:val="008A621B"/>
    <w:rsid w:val="008B1450"/>
    <w:rsid w:val="008B30D7"/>
    <w:rsid w:val="008B39BB"/>
    <w:rsid w:val="008B5FC4"/>
    <w:rsid w:val="008B685F"/>
    <w:rsid w:val="008B716E"/>
    <w:rsid w:val="008B7A10"/>
    <w:rsid w:val="008C313E"/>
    <w:rsid w:val="008D11E6"/>
    <w:rsid w:val="008D1B98"/>
    <w:rsid w:val="008D2F4F"/>
    <w:rsid w:val="008D4C79"/>
    <w:rsid w:val="008E4D19"/>
    <w:rsid w:val="008F30C2"/>
    <w:rsid w:val="008F3188"/>
    <w:rsid w:val="008F731C"/>
    <w:rsid w:val="008F7925"/>
    <w:rsid w:val="00900A7E"/>
    <w:rsid w:val="00901E13"/>
    <w:rsid w:val="00904022"/>
    <w:rsid w:val="009042D2"/>
    <w:rsid w:val="00904488"/>
    <w:rsid w:val="009057D7"/>
    <w:rsid w:val="0090648D"/>
    <w:rsid w:val="0090792D"/>
    <w:rsid w:val="00916277"/>
    <w:rsid w:val="009204E1"/>
    <w:rsid w:val="009252FA"/>
    <w:rsid w:val="00932506"/>
    <w:rsid w:val="009330AF"/>
    <w:rsid w:val="009332D5"/>
    <w:rsid w:val="00933A03"/>
    <w:rsid w:val="00934552"/>
    <w:rsid w:val="0093690A"/>
    <w:rsid w:val="00937687"/>
    <w:rsid w:val="00940149"/>
    <w:rsid w:val="009408F3"/>
    <w:rsid w:val="00940A17"/>
    <w:rsid w:val="00942D71"/>
    <w:rsid w:val="009448A9"/>
    <w:rsid w:val="00945FAD"/>
    <w:rsid w:val="00953849"/>
    <w:rsid w:val="009555D5"/>
    <w:rsid w:val="009557B0"/>
    <w:rsid w:val="00961221"/>
    <w:rsid w:val="009625DA"/>
    <w:rsid w:val="00962DC6"/>
    <w:rsid w:val="009704DF"/>
    <w:rsid w:val="00970E3D"/>
    <w:rsid w:val="0097121B"/>
    <w:rsid w:val="00974784"/>
    <w:rsid w:val="009747D4"/>
    <w:rsid w:val="009747E8"/>
    <w:rsid w:val="009761B3"/>
    <w:rsid w:val="0097653E"/>
    <w:rsid w:val="00980A60"/>
    <w:rsid w:val="00980E5F"/>
    <w:rsid w:val="00981850"/>
    <w:rsid w:val="009860E9"/>
    <w:rsid w:val="00990C3F"/>
    <w:rsid w:val="00991C96"/>
    <w:rsid w:val="0099293C"/>
    <w:rsid w:val="00993FB8"/>
    <w:rsid w:val="00994F18"/>
    <w:rsid w:val="00995764"/>
    <w:rsid w:val="00996095"/>
    <w:rsid w:val="009A1186"/>
    <w:rsid w:val="009A29C1"/>
    <w:rsid w:val="009B19A2"/>
    <w:rsid w:val="009B4B82"/>
    <w:rsid w:val="009B639D"/>
    <w:rsid w:val="009C09CA"/>
    <w:rsid w:val="009C1E2B"/>
    <w:rsid w:val="009C3966"/>
    <w:rsid w:val="009D0A83"/>
    <w:rsid w:val="009D11F2"/>
    <w:rsid w:val="009D1D5D"/>
    <w:rsid w:val="009D49E6"/>
    <w:rsid w:val="009E2FA3"/>
    <w:rsid w:val="009E4325"/>
    <w:rsid w:val="009E6FDA"/>
    <w:rsid w:val="009E7BDA"/>
    <w:rsid w:val="009F1672"/>
    <w:rsid w:val="009F22F9"/>
    <w:rsid w:val="009F6235"/>
    <w:rsid w:val="009F70C5"/>
    <w:rsid w:val="009F7341"/>
    <w:rsid w:val="009F7B7E"/>
    <w:rsid w:val="00A06239"/>
    <w:rsid w:val="00A0645A"/>
    <w:rsid w:val="00A06F4A"/>
    <w:rsid w:val="00A11370"/>
    <w:rsid w:val="00A13590"/>
    <w:rsid w:val="00A14967"/>
    <w:rsid w:val="00A156EB"/>
    <w:rsid w:val="00A16AB2"/>
    <w:rsid w:val="00A17052"/>
    <w:rsid w:val="00A17309"/>
    <w:rsid w:val="00A201DE"/>
    <w:rsid w:val="00A218B3"/>
    <w:rsid w:val="00A245D2"/>
    <w:rsid w:val="00A24AE2"/>
    <w:rsid w:val="00A254CA"/>
    <w:rsid w:val="00A27A0C"/>
    <w:rsid w:val="00A30FD4"/>
    <w:rsid w:val="00A32C6A"/>
    <w:rsid w:val="00A351FF"/>
    <w:rsid w:val="00A43885"/>
    <w:rsid w:val="00A43B1E"/>
    <w:rsid w:val="00A45994"/>
    <w:rsid w:val="00A46087"/>
    <w:rsid w:val="00A47C1C"/>
    <w:rsid w:val="00A51603"/>
    <w:rsid w:val="00A531AE"/>
    <w:rsid w:val="00A537FD"/>
    <w:rsid w:val="00A566C2"/>
    <w:rsid w:val="00A60528"/>
    <w:rsid w:val="00A6123B"/>
    <w:rsid w:val="00A617B9"/>
    <w:rsid w:val="00A62286"/>
    <w:rsid w:val="00A6275B"/>
    <w:rsid w:val="00A631D9"/>
    <w:rsid w:val="00A80324"/>
    <w:rsid w:val="00A82A61"/>
    <w:rsid w:val="00A83425"/>
    <w:rsid w:val="00A84FFD"/>
    <w:rsid w:val="00A92E8A"/>
    <w:rsid w:val="00A96089"/>
    <w:rsid w:val="00A97B43"/>
    <w:rsid w:val="00AA00A0"/>
    <w:rsid w:val="00AA0C6B"/>
    <w:rsid w:val="00AA1502"/>
    <w:rsid w:val="00AA46BA"/>
    <w:rsid w:val="00AA4C59"/>
    <w:rsid w:val="00AA4ED5"/>
    <w:rsid w:val="00AA619B"/>
    <w:rsid w:val="00AA6FFB"/>
    <w:rsid w:val="00AB076C"/>
    <w:rsid w:val="00AB42AD"/>
    <w:rsid w:val="00AB4456"/>
    <w:rsid w:val="00AB4562"/>
    <w:rsid w:val="00AB56C1"/>
    <w:rsid w:val="00AB5DCA"/>
    <w:rsid w:val="00AB6FBA"/>
    <w:rsid w:val="00AC0B3D"/>
    <w:rsid w:val="00AC2CE4"/>
    <w:rsid w:val="00AC387C"/>
    <w:rsid w:val="00AC72F2"/>
    <w:rsid w:val="00AD46D0"/>
    <w:rsid w:val="00AE3DA4"/>
    <w:rsid w:val="00AE4337"/>
    <w:rsid w:val="00AE4A6B"/>
    <w:rsid w:val="00AF1E16"/>
    <w:rsid w:val="00AF3D03"/>
    <w:rsid w:val="00AF43BD"/>
    <w:rsid w:val="00AF7217"/>
    <w:rsid w:val="00B04525"/>
    <w:rsid w:val="00B10518"/>
    <w:rsid w:val="00B16B4C"/>
    <w:rsid w:val="00B21286"/>
    <w:rsid w:val="00B22345"/>
    <w:rsid w:val="00B24E71"/>
    <w:rsid w:val="00B276D7"/>
    <w:rsid w:val="00B30867"/>
    <w:rsid w:val="00B375B1"/>
    <w:rsid w:val="00B417F4"/>
    <w:rsid w:val="00B42C74"/>
    <w:rsid w:val="00B436DE"/>
    <w:rsid w:val="00B52A06"/>
    <w:rsid w:val="00B53272"/>
    <w:rsid w:val="00B533F0"/>
    <w:rsid w:val="00B53FC4"/>
    <w:rsid w:val="00B66F8A"/>
    <w:rsid w:val="00B70405"/>
    <w:rsid w:val="00B71F56"/>
    <w:rsid w:val="00B72A3E"/>
    <w:rsid w:val="00B80031"/>
    <w:rsid w:val="00B84B23"/>
    <w:rsid w:val="00B9088C"/>
    <w:rsid w:val="00B9107D"/>
    <w:rsid w:val="00B92846"/>
    <w:rsid w:val="00B93807"/>
    <w:rsid w:val="00B95192"/>
    <w:rsid w:val="00B97093"/>
    <w:rsid w:val="00B97CBA"/>
    <w:rsid w:val="00BA0946"/>
    <w:rsid w:val="00BA6149"/>
    <w:rsid w:val="00BA7FE6"/>
    <w:rsid w:val="00BB2047"/>
    <w:rsid w:val="00BB4D12"/>
    <w:rsid w:val="00BC2442"/>
    <w:rsid w:val="00BC2C3D"/>
    <w:rsid w:val="00BC3232"/>
    <w:rsid w:val="00BC4EF4"/>
    <w:rsid w:val="00BC6C1E"/>
    <w:rsid w:val="00BC78A4"/>
    <w:rsid w:val="00BD4C4B"/>
    <w:rsid w:val="00BD540E"/>
    <w:rsid w:val="00BE4172"/>
    <w:rsid w:val="00BF3966"/>
    <w:rsid w:val="00BF79DF"/>
    <w:rsid w:val="00C04528"/>
    <w:rsid w:val="00C06492"/>
    <w:rsid w:val="00C06500"/>
    <w:rsid w:val="00C1103B"/>
    <w:rsid w:val="00C1165F"/>
    <w:rsid w:val="00C11BAF"/>
    <w:rsid w:val="00C15186"/>
    <w:rsid w:val="00C15409"/>
    <w:rsid w:val="00C25C85"/>
    <w:rsid w:val="00C26056"/>
    <w:rsid w:val="00C30B6D"/>
    <w:rsid w:val="00C32D1A"/>
    <w:rsid w:val="00C343F7"/>
    <w:rsid w:val="00C34ACF"/>
    <w:rsid w:val="00C3631D"/>
    <w:rsid w:val="00C373B3"/>
    <w:rsid w:val="00C40A6E"/>
    <w:rsid w:val="00C4175D"/>
    <w:rsid w:val="00C42300"/>
    <w:rsid w:val="00C42E65"/>
    <w:rsid w:val="00C42F6F"/>
    <w:rsid w:val="00C43065"/>
    <w:rsid w:val="00C4378B"/>
    <w:rsid w:val="00C451AE"/>
    <w:rsid w:val="00C46BB6"/>
    <w:rsid w:val="00C503A9"/>
    <w:rsid w:val="00C504D3"/>
    <w:rsid w:val="00C51A5B"/>
    <w:rsid w:val="00C55487"/>
    <w:rsid w:val="00C55BEB"/>
    <w:rsid w:val="00C55F1A"/>
    <w:rsid w:val="00C56E64"/>
    <w:rsid w:val="00C575EF"/>
    <w:rsid w:val="00C61DBF"/>
    <w:rsid w:val="00C6308E"/>
    <w:rsid w:val="00C65FB6"/>
    <w:rsid w:val="00C673D1"/>
    <w:rsid w:val="00C86FB2"/>
    <w:rsid w:val="00C913D6"/>
    <w:rsid w:val="00C92120"/>
    <w:rsid w:val="00C94759"/>
    <w:rsid w:val="00CA062A"/>
    <w:rsid w:val="00CA175F"/>
    <w:rsid w:val="00CA38A6"/>
    <w:rsid w:val="00CA49B1"/>
    <w:rsid w:val="00CA4F98"/>
    <w:rsid w:val="00CA704B"/>
    <w:rsid w:val="00CB182F"/>
    <w:rsid w:val="00CB65BE"/>
    <w:rsid w:val="00CC12AB"/>
    <w:rsid w:val="00CD0741"/>
    <w:rsid w:val="00CD0CA6"/>
    <w:rsid w:val="00CD0E9A"/>
    <w:rsid w:val="00CD137D"/>
    <w:rsid w:val="00CD49E5"/>
    <w:rsid w:val="00CD5A57"/>
    <w:rsid w:val="00CD6EE3"/>
    <w:rsid w:val="00CD7608"/>
    <w:rsid w:val="00CE12A5"/>
    <w:rsid w:val="00CE1B93"/>
    <w:rsid w:val="00CE1CAA"/>
    <w:rsid w:val="00CE5280"/>
    <w:rsid w:val="00CF108B"/>
    <w:rsid w:val="00CF1DB7"/>
    <w:rsid w:val="00CF2426"/>
    <w:rsid w:val="00CF2610"/>
    <w:rsid w:val="00CF444F"/>
    <w:rsid w:val="00CF75D6"/>
    <w:rsid w:val="00CF7C2F"/>
    <w:rsid w:val="00D0001E"/>
    <w:rsid w:val="00D007F3"/>
    <w:rsid w:val="00D02E10"/>
    <w:rsid w:val="00D0307F"/>
    <w:rsid w:val="00D03806"/>
    <w:rsid w:val="00D11B3F"/>
    <w:rsid w:val="00D15A33"/>
    <w:rsid w:val="00D16D4E"/>
    <w:rsid w:val="00D17D3E"/>
    <w:rsid w:val="00D20A18"/>
    <w:rsid w:val="00D23A0A"/>
    <w:rsid w:val="00D23D36"/>
    <w:rsid w:val="00D273C6"/>
    <w:rsid w:val="00D32A61"/>
    <w:rsid w:val="00D42A2C"/>
    <w:rsid w:val="00D43A81"/>
    <w:rsid w:val="00D46F2F"/>
    <w:rsid w:val="00D4737B"/>
    <w:rsid w:val="00D537F0"/>
    <w:rsid w:val="00D560F0"/>
    <w:rsid w:val="00D566CF"/>
    <w:rsid w:val="00D61380"/>
    <w:rsid w:val="00D6236A"/>
    <w:rsid w:val="00D6404D"/>
    <w:rsid w:val="00D70DA3"/>
    <w:rsid w:val="00D714DB"/>
    <w:rsid w:val="00D758DD"/>
    <w:rsid w:val="00D77A80"/>
    <w:rsid w:val="00D8148D"/>
    <w:rsid w:val="00D850E6"/>
    <w:rsid w:val="00D85730"/>
    <w:rsid w:val="00D86B7F"/>
    <w:rsid w:val="00D87505"/>
    <w:rsid w:val="00D91741"/>
    <w:rsid w:val="00D93894"/>
    <w:rsid w:val="00D9417D"/>
    <w:rsid w:val="00D941CB"/>
    <w:rsid w:val="00D94D0F"/>
    <w:rsid w:val="00DA0CF2"/>
    <w:rsid w:val="00DA3BA8"/>
    <w:rsid w:val="00DA44BE"/>
    <w:rsid w:val="00DB5B50"/>
    <w:rsid w:val="00DB6895"/>
    <w:rsid w:val="00DB6CB7"/>
    <w:rsid w:val="00DB7376"/>
    <w:rsid w:val="00DC628E"/>
    <w:rsid w:val="00DD229E"/>
    <w:rsid w:val="00DD2573"/>
    <w:rsid w:val="00DD7647"/>
    <w:rsid w:val="00DD7BC8"/>
    <w:rsid w:val="00DE09AA"/>
    <w:rsid w:val="00DE1B1C"/>
    <w:rsid w:val="00DE3C50"/>
    <w:rsid w:val="00DF146D"/>
    <w:rsid w:val="00DF341A"/>
    <w:rsid w:val="00DF6794"/>
    <w:rsid w:val="00E00247"/>
    <w:rsid w:val="00E01ED7"/>
    <w:rsid w:val="00E10597"/>
    <w:rsid w:val="00E1300A"/>
    <w:rsid w:val="00E1309A"/>
    <w:rsid w:val="00E1393D"/>
    <w:rsid w:val="00E13ACD"/>
    <w:rsid w:val="00E15288"/>
    <w:rsid w:val="00E16DBD"/>
    <w:rsid w:val="00E20EAF"/>
    <w:rsid w:val="00E23910"/>
    <w:rsid w:val="00E2594C"/>
    <w:rsid w:val="00E27428"/>
    <w:rsid w:val="00E3004A"/>
    <w:rsid w:val="00E30FDC"/>
    <w:rsid w:val="00E32338"/>
    <w:rsid w:val="00E34D23"/>
    <w:rsid w:val="00E34E27"/>
    <w:rsid w:val="00E36364"/>
    <w:rsid w:val="00E37B5E"/>
    <w:rsid w:val="00E37EB2"/>
    <w:rsid w:val="00E407D9"/>
    <w:rsid w:val="00E40F84"/>
    <w:rsid w:val="00E41E38"/>
    <w:rsid w:val="00E431F6"/>
    <w:rsid w:val="00E47A90"/>
    <w:rsid w:val="00E51802"/>
    <w:rsid w:val="00E5307C"/>
    <w:rsid w:val="00E540CC"/>
    <w:rsid w:val="00E55DE6"/>
    <w:rsid w:val="00E606DD"/>
    <w:rsid w:val="00E64EB5"/>
    <w:rsid w:val="00E65399"/>
    <w:rsid w:val="00E65AC0"/>
    <w:rsid w:val="00E66404"/>
    <w:rsid w:val="00E66C46"/>
    <w:rsid w:val="00E6786B"/>
    <w:rsid w:val="00E67B98"/>
    <w:rsid w:val="00E71C97"/>
    <w:rsid w:val="00E73023"/>
    <w:rsid w:val="00E7343E"/>
    <w:rsid w:val="00E73A88"/>
    <w:rsid w:val="00E74590"/>
    <w:rsid w:val="00E7491E"/>
    <w:rsid w:val="00E74E51"/>
    <w:rsid w:val="00E757F4"/>
    <w:rsid w:val="00E77F46"/>
    <w:rsid w:val="00E82CF0"/>
    <w:rsid w:val="00E8309E"/>
    <w:rsid w:val="00E87F73"/>
    <w:rsid w:val="00E91E92"/>
    <w:rsid w:val="00E92B8D"/>
    <w:rsid w:val="00E96A66"/>
    <w:rsid w:val="00E97895"/>
    <w:rsid w:val="00EA1243"/>
    <w:rsid w:val="00EA210E"/>
    <w:rsid w:val="00EA2268"/>
    <w:rsid w:val="00EA31E5"/>
    <w:rsid w:val="00EA41FD"/>
    <w:rsid w:val="00EA4A8A"/>
    <w:rsid w:val="00EA59EA"/>
    <w:rsid w:val="00EB1411"/>
    <w:rsid w:val="00EB2B16"/>
    <w:rsid w:val="00EB4038"/>
    <w:rsid w:val="00EB44BE"/>
    <w:rsid w:val="00EB4E81"/>
    <w:rsid w:val="00EC02A4"/>
    <w:rsid w:val="00EC05E3"/>
    <w:rsid w:val="00EC0897"/>
    <w:rsid w:val="00EC0A19"/>
    <w:rsid w:val="00EC3079"/>
    <w:rsid w:val="00EC4DD1"/>
    <w:rsid w:val="00EC5F1F"/>
    <w:rsid w:val="00EC74AB"/>
    <w:rsid w:val="00ED65D2"/>
    <w:rsid w:val="00ED7EB3"/>
    <w:rsid w:val="00EE23D8"/>
    <w:rsid w:val="00EE38FB"/>
    <w:rsid w:val="00EE592F"/>
    <w:rsid w:val="00EF3024"/>
    <w:rsid w:val="00EF5955"/>
    <w:rsid w:val="00F01334"/>
    <w:rsid w:val="00F013A8"/>
    <w:rsid w:val="00F0156B"/>
    <w:rsid w:val="00F03EBC"/>
    <w:rsid w:val="00F05EF1"/>
    <w:rsid w:val="00F0784D"/>
    <w:rsid w:val="00F12C14"/>
    <w:rsid w:val="00F13522"/>
    <w:rsid w:val="00F13A06"/>
    <w:rsid w:val="00F147E3"/>
    <w:rsid w:val="00F14961"/>
    <w:rsid w:val="00F17166"/>
    <w:rsid w:val="00F21A9F"/>
    <w:rsid w:val="00F25724"/>
    <w:rsid w:val="00F312AB"/>
    <w:rsid w:val="00F33E0E"/>
    <w:rsid w:val="00F3618A"/>
    <w:rsid w:val="00F406CF"/>
    <w:rsid w:val="00F41F45"/>
    <w:rsid w:val="00F4211B"/>
    <w:rsid w:val="00F513F1"/>
    <w:rsid w:val="00F51EA3"/>
    <w:rsid w:val="00F541AA"/>
    <w:rsid w:val="00F55936"/>
    <w:rsid w:val="00F55D33"/>
    <w:rsid w:val="00F6099A"/>
    <w:rsid w:val="00F66333"/>
    <w:rsid w:val="00F70AD6"/>
    <w:rsid w:val="00F746CF"/>
    <w:rsid w:val="00F77479"/>
    <w:rsid w:val="00F809EB"/>
    <w:rsid w:val="00F812C7"/>
    <w:rsid w:val="00F815F2"/>
    <w:rsid w:val="00F83D8D"/>
    <w:rsid w:val="00F86B0B"/>
    <w:rsid w:val="00F92782"/>
    <w:rsid w:val="00F95757"/>
    <w:rsid w:val="00F9627C"/>
    <w:rsid w:val="00F97F8E"/>
    <w:rsid w:val="00FA033C"/>
    <w:rsid w:val="00FA4668"/>
    <w:rsid w:val="00FA5054"/>
    <w:rsid w:val="00FA568C"/>
    <w:rsid w:val="00FA5899"/>
    <w:rsid w:val="00FA5A8E"/>
    <w:rsid w:val="00FB14DA"/>
    <w:rsid w:val="00FB2067"/>
    <w:rsid w:val="00FB31E9"/>
    <w:rsid w:val="00FB46E8"/>
    <w:rsid w:val="00FC615E"/>
    <w:rsid w:val="00FC7F0D"/>
    <w:rsid w:val="00FD03C7"/>
    <w:rsid w:val="00FD2118"/>
    <w:rsid w:val="00FD36E2"/>
    <w:rsid w:val="00FD4EBE"/>
    <w:rsid w:val="00FD78CD"/>
    <w:rsid w:val="00FE4003"/>
    <w:rsid w:val="00FE46F8"/>
    <w:rsid w:val="00FE5B4C"/>
    <w:rsid w:val="00FE666E"/>
    <w:rsid w:val="00FF49D7"/>
    <w:rsid w:val="016C2DD1"/>
    <w:rsid w:val="01CC5EE4"/>
    <w:rsid w:val="0275603A"/>
    <w:rsid w:val="03D50EA6"/>
    <w:rsid w:val="04C6111A"/>
    <w:rsid w:val="0AFA71AA"/>
    <w:rsid w:val="0B3F1D1F"/>
    <w:rsid w:val="0CF462A0"/>
    <w:rsid w:val="0D1F259A"/>
    <w:rsid w:val="0FC76E62"/>
    <w:rsid w:val="1161312F"/>
    <w:rsid w:val="147D47DF"/>
    <w:rsid w:val="1B6F3710"/>
    <w:rsid w:val="1BB831D3"/>
    <w:rsid w:val="1D34221F"/>
    <w:rsid w:val="1E5A478A"/>
    <w:rsid w:val="1FD9030A"/>
    <w:rsid w:val="21866D73"/>
    <w:rsid w:val="35632BDB"/>
    <w:rsid w:val="3C17152E"/>
    <w:rsid w:val="40A115BF"/>
    <w:rsid w:val="426E5572"/>
    <w:rsid w:val="4BAC601E"/>
    <w:rsid w:val="4F123D93"/>
    <w:rsid w:val="52954488"/>
    <w:rsid w:val="609C4A91"/>
    <w:rsid w:val="662446C4"/>
    <w:rsid w:val="687C07E7"/>
    <w:rsid w:val="6B023815"/>
    <w:rsid w:val="6BAE5F5B"/>
    <w:rsid w:val="6CEB452D"/>
    <w:rsid w:val="6D5B7AB5"/>
    <w:rsid w:val="75A52BEF"/>
    <w:rsid w:val="7AB93E23"/>
    <w:rsid w:val="7CED54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9CA"/>
    <w:pPr>
      <w:widowControl w:val="0"/>
      <w:jc w:val="both"/>
    </w:pPr>
    <w:rPr>
      <w:kern w:val="2"/>
      <w:sz w:val="21"/>
      <w:szCs w:val="22"/>
    </w:rPr>
  </w:style>
  <w:style w:type="paragraph" w:styleId="1">
    <w:name w:val="heading 1"/>
    <w:basedOn w:val="a"/>
    <w:next w:val="a"/>
    <w:link w:val="1Char"/>
    <w:uiPriority w:val="9"/>
    <w:qFormat/>
    <w:rsid w:val="009C09C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C09CA"/>
    <w:pPr>
      <w:ind w:firstLine="420"/>
    </w:pPr>
    <w:rPr>
      <w:rFonts w:ascii="Times New Roman" w:hAnsi="Times New Roman"/>
      <w:szCs w:val="20"/>
    </w:rPr>
  </w:style>
  <w:style w:type="paragraph" w:styleId="a4">
    <w:name w:val="annotation text"/>
    <w:basedOn w:val="a"/>
    <w:link w:val="Char"/>
    <w:qFormat/>
    <w:rsid w:val="009C09CA"/>
    <w:pPr>
      <w:jc w:val="left"/>
    </w:pPr>
    <w:rPr>
      <w:rFonts w:ascii="Times New Roman" w:hAnsi="Times New Roman"/>
      <w:szCs w:val="20"/>
    </w:rPr>
  </w:style>
  <w:style w:type="paragraph" w:styleId="a5">
    <w:name w:val="Date"/>
    <w:basedOn w:val="a"/>
    <w:next w:val="a"/>
    <w:link w:val="Char0"/>
    <w:uiPriority w:val="99"/>
    <w:semiHidden/>
    <w:unhideWhenUsed/>
    <w:qFormat/>
    <w:rsid w:val="009C09CA"/>
    <w:pPr>
      <w:ind w:leftChars="2500" w:left="100"/>
    </w:pPr>
  </w:style>
  <w:style w:type="paragraph" w:styleId="a6">
    <w:name w:val="Balloon Text"/>
    <w:basedOn w:val="a"/>
    <w:link w:val="Char1"/>
    <w:uiPriority w:val="99"/>
    <w:semiHidden/>
    <w:unhideWhenUsed/>
    <w:qFormat/>
    <w:rsid w:val="009C09CA"/>
    <w:rPr>
      <w:sz w:val="18"/>
      <w:szCs w:val="18"/>
    </w:rPr>
  </w:style>
  <w:style w:type="paragraph" w:styleId="a7">
    <w:name w:val="footer"/>
    <w:basedOn w:val="a"/>
    <w:link w:val="Char2"/>
    <w:uiPriority w:val="99"/>
    <w:unhideWhenUsed/>
    <w:qFormat/>
    <w:rsid w:val="009C09CA"/>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9C09C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9C09CA"/>
  </w:style>
  <w:style w:type="paragraph" w:styleId="HTML">
    <w:name w:val="HTML Preformatted"/>
    <w:basedOn w:val="a"/>
    <w:link w:val="HTMLChar"/>
    <w:uiPriority w:val="99"/>
    <w:semiHidden/>
    <w:unhideWhenUsed/>
    <w:qFormat/>
    <w:rsid w:val="009C09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annotation subject"/>
    <w:basedOn w:val="a4"/>
    <w:next w:val="a4"/>
    <w:link w:val="Char4"/>
    <w:uiPriority w:val="99"/>
    <w:semiHidden/>
    <w:unhideWhenUsed/>
    <w:qFormat/>
    <w:rsid w:val="009C09CA"/>
    <w:rPr>
      <w:rFonts w:ascii="Calibri" w:hAnsi="Calibri"/>
      <w:b/>
      <w:bCs/>
      <w:szCs w:val="22"/>
    </w:rPr>
  </w:style>
  <w:style w:type="table" w:styleId="aa">
    <w:name w:val="Table Grid"/>
    <w:basedOn w:val="a1"/>
    <w:uiPriority w:val="59"/>
    <w:qFormat/>
    <w:rsid w:val="009C09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9C09CA"/>
    <w:rPr>
      <w:color w:val="4C4948"/>
      <w:u w:val="none"/>
    </w:rPr>
  </w:style>
  <w:style w:type="character" w:styleId="ac">
    <w:name w:val="annotation reference"/>
    <w:qFormat/>
    <w:rsid w:val="009C09CA"/>
    <w:rPr>
      <w:sz w:val="21"/>
    </w:rPr>
  </w:style>
  <w:style w:type="character" w:customStyle="1" w:styleId="Char3">
    <w:name w:val="页眉 Char"/>
    <w:link w:val="a8"/>
    <w:uiPriority w:val="99"/>
    <w:qFormat/>
    <w:rsid w:val="009C09CA"/>
    <w:rPr>
      <w:sz w:val="18"/>
      <w:szCs w:val="18"/>
    </w:rPr>
  </w:style>
  <w:style w:type="character" w:customStyle="1" w:styleId="Char2">
    <w:name w:val="页脚 Char"/>
    <w:link w:val="a7"/>
    <w:uiPriority w:val="99"/>
    <w:qFormat/>
    <w:rsid w:val="009C09CA"/>
    <w:rPr>
      <w:sz w:val="18"/>
      <w:szCs w:val="18"/>
    </w:rPr>
  </w:style>
  <w:style w:type="character" w:customStyle="1" w:styleId="Char">
    <w:name w:val="批注文字 Char"/>
    <w:link w:val="a4"/>
    <w:qFormat/>
    <w:rsid w:val="009C09CA"/>
    <w:rPr>
      <w:rFonts w:ascii="Times New Roman" w:eastAsia="宋体" w:hAnsi="Times New Roman" w:cs="Times New Roman"/>
      <w:szCs w:val="20"/>
    </w:rPr>
  </w:style>
  <w:style w:type="character" w:customStyle="1" w:styleId="Char1">
    <w:name w:val="批注框文本 Char"/>
    <w:link w:val="a6"/>
    <w:uiPriority w:val="99"/>
    <w:semiHidden/>
    <w:qFormat/>
    <w:rsid w:val="009C09CA"/>
    <w:rPr>
      <w:sz w:val="18"/>
      <w:szCs w:val="18"/>
    </w:rPr>
  </w:style>
  <w:style w:type="paragraph" w:customStyle="1" w:styleId="ad">
    <w:name w:val="正文所"/>
    <w:basedOn w:val="a"/>
    <w:qFormat/>
    <w:rsid w:val="009C09CA"/>
    <w:pPr>
      <w:spacing w:line="360" w:lineRule="auto"/>
      <w:ind w:firstLineChars="200" w:firstLine="420"/>
    </w:pPr>
    <w:rPr>
      <w:rFonts w:ascii="宋体" w:hAnsi="Times New Roman"/>
      <w:szCs w:val="20"/>
    </w:rPr>
  </w:style>
  <w:style w:type="character" w:customStyle="1" w:styleId="Char4">
    <w:name w:val="批注主题 Char"/>
    <w:link w:val="a9"/>
    <w:uiPriority w:val="99"/>
    <w:semiHidden/>
    <w:qFormat/>
    <w:rsid w:val="009C09CA"/>
    <w:rPr>
      <w:rFonts w:ascii="Times New Roman" w:eastAsia="宋体" w:hAnsi="Times New Roman" w:cs="Times New Roman"/>
      <w:b/>
      <w:bCs/>
      <w:kern w:val="2"/>
      <w:sz w:val="21"/>
      <w:szCs w:val="22"/>
    </w:rPr>
  </w:style>
  <w:style w:type="paragraph" w:customStyle="1" w:styleId="11">
    <w:name w:val="修订1"/>
    <w:hidden/>
    <w:uiPriority w:val="99"/>
    <w:semiHidden/>
    <w:qFormat/>
    <w:rsid w:val="009C09CA"/>
    <w:rPr>
      <w:kern w:val="2"/>
      <w:sz w:val="21"/>
      <w:szCs w:val="22"/>
    </w:rPr>
  </w:style>
  <w:style w:type="character" w:customStyle="1" w:styleId="12">
    <w:name w:val="未处理的提及1"/>
    <w:uiPriority w:val="99"/>
    <w:semiHidden/>
    <w:unhideWhenUsed/>
    <w:qFormat/>
    <w:rsid w:val="009C09CA"/>
    <w:rPr>
      <w:color w:val="605E5C"/>
      <w:shd w:val="clear" w:color="auto" w:fill="E1DFDD"/>
    </w:rPr>
  </w:style>
  <w:style w:type="character" w:customStyle="1" w:styleId="Char0">
    <w:name w:val="日期 Char"/>
    <w:link w:val="a5"/>
    <w:uiPriority w:val="99"/>
    <w:semiHidden/>
    <w:qFormat/>
    <w:rsid w:val="009C09CA"/>
    <w:rPr>
      <w:kern w:val="2"/>
      <w:sz w:val="21"/>
      <w:szCs w:val="22"/>
    </w:rPr>
  </w:style>
  <w:style w:type="character" w:customStyle="1" w:styleId="HTMLChar">
    <w:name w:val="HTML 预设格式 Char"/>
    <w:link w:val="HTML"/>
    <w:uiPriority w:val="99"/>
    <w:semiHidden/>
    <w:qFormat/>
    <w:rsid w:val="009C09CA"/>
    <w:rPr>
      <w:rFonts w:ascii="宋体" w:hAnsi="宋体" w:cs="宋体"/>
      <w:sz w:val="24"/>
      <w:szCs w:val="24"/>
    </w:rPr>
  </w:style>
  <w:style w:type="character" w:customStyle="1" w:styleId="ae">
    <w:name w:val="页眉 字符"/>
    <w:uiPriority w:val="99"/>
    <w:qFormat/>
    <w:rsid w:val="009C09CA"/>
    <w:rPr>
      <w:rFonts w:ascii="宋体" w:eastAsia="宋体" w:hAnsi="宋体" w:cs="宋体"/>
      <w:sz w:val="18"/>
      <w:szCs w:val="18"/>
      <w:lang w:val="zh-CN" w:eastAsia="zh-CN" w:bidi="zh-CN"/>
    </w:rPr>
  </w:style>
  <w:style w:type="character" w:customStyle="1" w:styleId="af">
    <w:name w:val="页脚 字符"/>
    <w:basedOn w:val="a0"/>
    <w:uiPriority w:val="99"/>
    <w:qFormat/>
    <w:rsid w:val="009C09CA"/>
  </w:style>
  <w:style w:type="character" w:customStyle="1" w:styleId="1Char">
    <w:name w:val="标题 1 Char"/>
    <w:link w:val="1"/>
    <w:uiPriority w:val="9"/>
    <w:qFormat/>
    <w:rsid w:val="009C09CA"/>
    <w:rPr>
      <w:b/>
      <w:bCs/>
      <w:kern w:val="44"/>
      <w:sz w:val="44"/>
      <w:szCs w:val="44"/>
    </w:rPr>
  </w:style>
  <w:style w:type="paragraph" w:customStyle="1" w:styleId="TOC1">
    <w:name w:val="TOC 标题1"/>
    <w:basedOn w:val="1"/>
    <w:next w:val="a"/>
    <w:uiPriority w:val="39"/>
    <w:unhideWhenUsed/>
    <w:qFormat/>
    <w:rsid w:val="009C09CA"/>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af0">
    <w:name w:val="List Paragraph"/>
    <w:basedOn w:val="a"/>
    <w:uiPriority w:val="34"/>
    <w:qFormat/>
    <w:rsid w:val="009C09CA"/>
    <w:pPr>
      <w:ind w:firstLineChars="200" w:firstLine="420"/>
    </w:pPr>
  </w:style>
  <w:style w:type="table" w:customStyle="1" w:styleId="TableNormal">
    <w:name w:val="Table Normal"/>
    <w:semiHidden/>
    <w:unhideWhenUsed/>
    <w:qFormat/>
    <w:rsid w:val="009C09CA"/>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customStyle="1" w:styleId="2">
    <w:name w:val="修订2"/>
    <w:hidden/>
    <w:uiPriority w:val="99"/>
    <w:unhideWhenUsed/>
    <w:qFormat/>
    <w:rsid w:val="009C09CA"/>
    <w:rPr>
      <w:kern w:val="2"/>
      <w:sz w:val="21"/>
      <w:szCs w:val="22"/>
    </w:rPr>
  </w:style>
  <w:style w:type="character" w:customStyle="1" w:styleId="15">
    <w:name w:val="15"/>
    <w:basedOn w:val="a0"/>
    <w:qFormat/>
    <w:rsid w:val="009C09CA"/>
    <w:rPr>
      <w:rFonts w:ascii="Calibri" w:hAnsi="Calibri" w:cs="Calibri" w:hint="default"/>
      <w:color w:val="4C4948"/>
    </w:rPr>
  </w:style>
  <w:style w:type="paragraph" w:customStyle="1" w:styleId="3">
    <w:name w:val="修订3"/>
    <w:hidden/>
    <w:uiPriority w:val="99"/>
    <w:unhideWhenUsed/>
    <w:qFormat/>
    <w:rsid w:val="009C09CA"/>
    <w:rPr>
      <w:kern w:val="2"/>
      <w:sz w:val="21"/>
      <w:szCs w:val="22"/>
    </w:rPr>
  </w:style>
  <w:style w:type="paragraph" w:customStyle="1" w:styleId="4">
    <w:name w:val="修订4"/>
    <w:hidden/>
    <w:uiPriority w:val="99"/>
    <w:unhideWhenUsed/>
    <w:qFormat/>
    <w:rsid w:val="009C09CA"/>
    <w:rPr>
      <w:kern w:val="2"/>
      <w:sz w:val="21"/>
      <w:szCs w:val="22"/>
    </w:rPr>
  </w:style>
  <w:style w:type="character" w:customStyle="1" w:styleId="20">
    <w:name w:val="未处理的提及2"/>
    <w:basedOn w:val="a0"/>
    <w:uiPriority w:val="99"/>
    <w:semiHidden/>
    <w:unhideWhenUsed/>
    <w:qFormat/>
    <w:rsid w:val="009C09CA"/>
    <w:rPr>
      <w:color w:val="605E5C"/>
      <w:shd w:val="clear" w:color="auto" w:fill="E1DFDD"/>
    </w:rPr>
  </w:style>
  <w:style w:type="paragraph" w:customStyle="1" w:styleId="5">
    <w:name w:val="修订5"/>
    <w:hidden/>
    <w:uiPriority w:val="99"/>
    <w:semiHidden/>
    <w:qFormat/>
    <w:rsid w:val="009C09CA"/>
    <w:rPr>
      <w:kern w:val="2"/>
      <w:sz w:val="21"/>
      <w:szCs w:val="22"/>
    </w:rPr>
  </w:style>
  <w:style w:type="paragraph" w:customStyle="1" w:styleId="6">
    <w:name w:val="修订6"/>
    <w:hidden/>
    <w:uiPriority w:val="99"/>
    <w:semiHidden/>
    <w:qFormat/>
    <w:rsid w:val="009C09CA"/>
    <w:rPr>
      <w:kern w:val="2"/>
      <w:sz w:val="21"/>
      <w:szCs w:val="22"/>
    </w:rPr>
  </w:style>
  <w:style w:type="paragraph" w:customStyle="1" w:styleId="7">
    <w:name w:val="修订7"/>
    <w:hidden/>
    <w:uiPriority w:val="99"/>
    <w:semiHidden/>
    <w:qFormat/>
    <w:rsid w:val="009C09CA"/>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47BA5-3DB7-4E39-AAFB-606C513E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3518</Characters>
  <Application>Microsoft Office Word</Application>
  <DocSecurity>4</DocSecurity>
  <Lines>29</Lines>
  <Paragraphs>8</Paragraphs>
  <ScaleCrop>false</ScaleCrop>
  <Company>wind</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wwwang</dc:creator>
  <cp:lastModifiedBy>ZHONGM</cp:lastModifiedBy>
  <cp:revision>2</cp:revision>
  <cp:lastPrinted>2017-10-27T03:04:00Z</cp:lastPrinted>
  <dcterms:created xsi:type="dcterms:W3CDTF">2026-02-27T16:01:00Z</dcterms:created>
  <dcterms:modified xsi:type="dcterms:W3CDTF">2026-02-27T16:01:00Z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138C05795DDD4BD298066415D9B14A7E</vt:lpwstr>
  </property>
  <property fmtid="{D5CDD505-2E9C-101B-9397-08002B2CF9AE}" pid="4" name="KSOTemplateDocerSaveRecord">
    <vt:lpwstr>eyJoZGlkIjoiNWM0OTg5MWUxYzJlYzMxYjZhN2QyYjcxMWZiYjUyMWUiLCJ1c2VySWQiOiIyODE5NDM0ODcifQ==</vt:lpwstr>
  </property>
</Properties>
</file>