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074E" w:rsidRDefault="00024E35">
      <w:pPr>
        <w:pStyle w:val="biaogecenter"/>
        <w:rPr>
          <w:b/>
          <w:bCs/>
          <w:sz w:val="30"/>
          <w:szCs w:val="30"/>
        </w:rPr>
      </w:pPr>
      <w:r>
        <w:rPr>
          <w:rFonts w:hint="eastAsia"/>
          <w:b/>
          <w:bCs/>
          <w:sz w:val="30"/>
          <w:szCs w:val="30"/>
        </w:rPr>
        <w:t>山证资管裕利定期开放债券型发起式证券投资基金</w:t>
      </w:r>
    </w:p>
    <w:p w:rsidR="00024E35" w:rsidRDefault="00024E35">
      <w:pPr>
        <w:pStyle w:val="biaogecenter"/>
        <w:rPr>
          <w:sz w:val="30"/>
          <w:szCs w:val="30"/>
        </w:rPr>
      </w:pPr>
      <w:r>
        <w:rPr>
          <w:rFonts w:hint="eastAsia"/>
          <w:b/>
          <w:bCs/>
          <w:sz w:val="30"/>
          <w:szCs w:val="30"/>
        </w:rPr>
        <w:t>开放日常申购（赎回）业务公告</w:t>
      </w:r>
    </w:p>
    <w:p w:rsidR="00024E35" w:rsidRDefault="00024E35">
      <w:pPr>
        <w:pStyle w:val="biaogecenter"/>
        <w:rPr>
          <w:rFonts w:hint="eastAsia"/>
        </w:rPr>
      </w:pPr>
    </w:p>
    <w:p w:rsidR="00024E35" w:rsidRDefault="00024E35">
      <w:pPr>
        <w:pStyle w:val="biaogecenter"/>
        <w:rPr>
          <w:rFonts w:hint="eastAsia"/>
        </w:rPr>
      </w:pPr>
      <w:r>
        <w:rPr>
          <w:rFonts w:hint="eastAsia"/>
        </w:rPr>
        <w:t>公告送出日期：2026年02月28日</w:t>
      </w:r>
    </w:p>
    <w:p w:rsidR="00024E35" w:rsidRDefault="00024E35">
      <w:pPr>
        <w:pStyle w:val="dazhangjie"/>
        <w:rPr>
          <w:rFonts w:hint="eastAsia"/>
        </w:rPr>
      </w:pPr>
      <w:r w:rsidRPr="004F5E6D">
        <w:rPr>
          <w:rFonts w:hAnsi="Calibri" w:hint="eastAsia"/>
          <w:b/>
          <w:color w:val="000000"/>
        </w:rPr>
        <w:t>1 公告基本信息</w:t>
      </w:r>
    </w:p>
    <w:p w:rsidR="00024E35" w:rsidRDefault="00024E35">
      <w:pPr>
        <w:widowControl/>
        <w:jc w:val="left"/>
        <w:rPr>
          <w:rFonts w:ascii="宋体" w:hAnsi="宋体" w:cs="宋体" w:hint="eastAsia"/>
          <w:kern w:val="0"/>
          <w:sz w:val="24"/>
          <w:szCs w:val="24"/>
        </w:rPr>
      </w:pPr>
    </w:p>
    <w:tbl>
      <w:tblPr>
        <w:tblW w:w="8250" w:type="dxa"/>
        <w:tblInd w:w="108" w:type="dxa"/>
        <w:tblLook w:val="04A0"/>
      </w:tblPr>
      <w:tblGrid>
        <w:gridCol w:w="3300"/>
        <w:gridCol w:w="4950"/>
      </w:tblGrid>
      <w:tr w:rsidR="00024E35" w:rsidRPr="004F5E6D">
        <w:tc>
          <w:tcPr>
            <w:tcW w:w="2000" w:type="pct"/>
            <w:tcBorders>
              <w:top w:val="single" w:sz="8" w:space="0" w:color="000000"/>
              <w:left w:val="single" w:sz="8" w:space="0" w:color="000000"/>
              <w:bottom w:val="single" w:sz="6" w:space="0" w:color="000000"/>
              <w:right w:val="single" w:sz="8" w:space="0" w:color="000000"/>
            </w:tcBorders>
            <w:vAlign w:val="center"/>
            <w:hideMark/>
          </w:tcPr>
          <w:p w:rsidR="00024E35" w:rsidRDefault="00024E35">
            <w:pPr>
              <w:pStyle w:val="biaogeleft"/>
              <w:wordWrap w:val="0"/>
              <w:rPr>
                <w:rFonts w:hint="eastAsia"/>
              </w:rPr>
            </w:pPr>
            <w:r>
              <w:rPr>
                <w:rFonts w:hint="eastAsia"/>
              </w:rPr>
              <w:t>基金名称</w:t>
            </w:r>
          </w:p>
        </w:tc>
        <w:tc>
          <w:tcPr>
            <w:tcW w:w="0" w:type="auto"/>
            <w:tcBorders>
              <w:top w:val="single" w:sz="8" w:space="0" w:color="000000"/>
              <w:left w:val="single" w:sz="8" w:space="0" w:color="000000"/>
              <w:bottom w:val="single" w:sz="6" w:space="0" w:color="000000"/>
              <w:right w:val="single" w:sz="8" w:space="0" w:color="000000"/>
            </w:tcBorders>
            <w:vAlign w:val="center"/>
            <w:hideMark/>
          </w:tcPr>
          <w:p w:rsidR="00024E35" w:rsidRDefault="00024E35">
            <w:pPr>
              <w:pStyle w:val="biaogeleft"/>
              <w:wordWrap w:val="0"/>
              <w:rPr>
                <w:rFonts w:hint="eastAsia"/>
              </w:rPr>
            </w:pPr>
            <w:r>
              <w:rPr>
                <w:rFonts w:hint="eastAsia"/>
              </w:rPr>
              <w:t>山证资管裕利定期开放债券型发起式证券投资基金</w:t>
            </w:r>
          </w:p>
        </w:tc>
      </w:tr>
      <w:tr w:rsidR="00024E35" w:rsidRPr="004F5E6D">
        <w:tc>
          <w:tcPr>
            <w:tcW w:w="0" w:type="auto"/>
            <w:tcBorders>
              <w:top w:val="single" w:sz="8" w:space="0" w:color="000000"/>
              <w:left w:val="single" w:sz="8" w:space="0" w:color="000000"/>
              <w:bottom w:val="single" w:sz="6" w:space="0" w:color="000000"/>
              <w:right w:val="single" w:sz="8" w:space="0" w:color="000000"/>
            </w:tcBorders>
            <w:vAlign w:val="center"/>
            <w:hideMark/>
          </w:tcPr>
          <w:p w:rsidR="00024E35" w:rsidRDefault="00024E35">
            <w:pPr>
              <w:pStyle w:val="biaogeleft"/>
              <w:wordWrap w:val="0"/>
              <w:rPr>
                <w:rFonts w:hint="eastAsia"/>
              </w:rPr>
            </w:pPr>
            <w:r>
              <w:rPr>
                <w:rFonts w:hint="eastAsia"/>
              </w:rPr>
              <w:t>基金简称</w:t>
            </w:r>
          </w:p>
        </w:tc>
        <w:tc>
          <w:tcPr>
            <w:tcW w:w="0" w:type="auto"/>
            <w:tcBorders>
              <w:top w:val="single" w:sz="8" w:space="0" w:color="000000"/>
              <w:left w:val="single" w:sz="8" w:space="0" w:color="000000"/>
              <w:bottom w:val="single" w:sz="6" w:space="0" w:color="000000"/>
              <w:right w:val="single" w:sz="8" w:space="0" w:color="000000"/>
            </w:tcBorders>
            <w:vAlign w:val="center"/>
            <w:hideMark/>
          </w:tcPr>
          <w:p w:rsidR="00024E35" w:rsidRDefault="00024E35">
            <w:pPr>
              <w:pStyle w:val="biaogeleft"/>
              <w:wordWrap w:val="0"/>
              <w:rPr>
                <w:rFonts w:hint="eastAsia"/>
              </w:rPr>
            </w:pPr>
            <w:r>
              <w:rPr>
                <w:rFonts w:hint="eastAsia"/>
              </w:rPr>
              <w:t>山证资管裕利3个月定开债券发起式</w:t>
            </w:r>
          </w:p>
        </w:tc>
      </w:tr>
      <w:tr w:rsidR="00024E35" w:rsidRPr="004F5E6D">
        <w:tc>
          <w:tcPr>
            <w:tcW w:w="0" w:type="auto"/>
            <w:tcBorders>
              <w:top w:val="single" w:sz="8" w:space="0" w:color="000000"/>
              <w:left w:val="single" w:sz="8" w:space="0" w:color="000000"/>
              <w:bottom w:val="single" w:sz="6" w:space="0" w:color="000000"/>
              <w:right w:val="single" w:sz="8" w:space="0" w:color="000000"/>
            </w:tcBorders>
            <w:vAlign w:val="center"/>
            <w:hideMark/>
          </w:tcPr>
          <w:p w:rsidR="00024E35" w:rsidRDefault="00024E35">
            <w:pPr>
              <w:pStyle w:val="biaogeleft"/>
              <w:wordWrap w:val="0"/>
              <w:rPr>
                <w:rFonts w:hint="eastAsia"/>
              </w:rPr>
            </w:pPr>
            <w:r>
              <w:rPr>
                <w:rFonts w:hint="eastAsia"/>
              </w:rPr>
              <w:t>基金主代码</w:t>
            </w:r>
          </w:p>
        </w:tc>
        <w:tc>
          <w:tcPr>
            <w:tcW w:w="0" w:type="auto"/>
            <w:tcBorders>
              <w:top w:val="single" w:sz="8" w:space="0" w:color="000000"/>
              <w:left w:val="single" w:sz="8" w:space="0" w:color="000000"/>
              <w:bottom w:val="single" w:sz="6" w:space="0" w:color="000000"/>
              <w:right w:val="single" w:sz="8" w:space="0" w:color="000000"/>
            </w:tcBorders>
            <w:vAlign w:val="center"/>
            <w:hideMark/>
          </w:tcPr>
          <w:p w:rsidR="00024E35" w:rsidRDefault="00024E35">
            <w:pPr>
              <w:pStyle w:val="biaogeleft"/>
              <w:wordWrap w:val="0"/>
              <w:rPr>
                <w:rFonts w:hint="eastAsia"/>
              </w:rPr>
            </w:pPr>
            <w:r>
              <w:rPr>
                <w:rFonts w:hint="eastAsia"/>
              </w:rPr>
              <w:t>003179</w:t>
            </w:r>
          </w:p>
        </w:tc>
      </w:tr>
      <w:tr w:rsidR="00024E35" w:rsidRPr="004F5E6D">
        <w:tc>
          <w:tcPr>
            <w:tcW w:w="0" w:type="auto"/>
            <w:tcBorders>
              <w:top w:val="single" w:sz="8" w:space="0" w:color="000000"/>
              <w:left w:val="single" w:sz="8" w:space="0" w:color="000000"/>
              <w:bottom w:val="single" w:sz="6" w:space="0" w:color="000000"/>
              <w:right w:val="single" w:sz="8" w:space="0" w:color="000000"/>
            </w:tcBorders>
            <w:vAlign w:val="center"/>
            <w:hideMark/>
          </w:tcPr>
          <w:p w:rsidR="00024E35" w:rsidRDefault="00024E35">
            <w:pPr>
              <w:pStyle w:val="biaogeleft"/>
              <w:wordWrap w:val="0"/>
              <w:rPr>
                <w:rFonts w:hint="eastAsia"/>
              </w:rPr>
            </w:pPr>
            <w:r>
              <w:rPr>
                <w:rFonts w:hint="eastAsia"/>
              </w:rPr>
              <w:t>基金运作方式</w:t>
            </w:r>
          </w:p>
        </w:tc>
        <w:tc>
          <w:tcPr>
            <w:tcW w:w="0" w:type="auto"/>
            <w:tcBorders>
              <w:top w:val="single" w:sz="8" w:space="0" w:color="000000"/>
              <w:left w:val="single" w:sz="8" w:space="0" w:color="000000"/>
              <w:bottom w:val="single" w:sz="6" w:space="0" w:color="000000"/>
              <w:right w:val="single" w:sz="8" w:space="0" w:color="000000"/>
            </w:tcBorders>
            <w:vAlign w:val="center"/>
            <w:hideMark/>
          </w:tcPr>
          <w:p w:rsidR="00024E35" w:rsidRDefault="00024E35">
            <w:pPr>
              <w:pStyle w:val="biaogeleft"/>
              <w:wordWrap w:val="0"/>
              <w:rPr>
                <w:rFonts w:hint="eastAsia"/>
              </w:rPr>
            </w:pPr>
            <w:r>
              <w:rPr>
                <w:rFonts w:hint="eastAsia"/>
              </w:rPr>
              <w:t>契约型定期开放式、发起式</w:t>
            </w:r>
          </w:p>
        </w:tc>
      </w:tr>
      <w:tr w:rsidR="00024E35" w:rsidRPr="004F5E6D">
        <w:tc>
          <w:tcPr>
            <w:tcW w:w="0" w:type="auto"/>
            <w:tcBorders>
              <w:top w:val="single" w:sz="8" w:space="0" w:color="000000"/>
              <w:left w:val="single" w:sz="8" w:space="0" w:color="000000"/>
              <w:bottom w:val="single" w:sz="6" w:space="0" w:color="000000"/>
              <w:right w:val="single" w:sz="8" w:space="0" w:color="000000"/>
            </w:tcBorders>
            <w:vAlign w:val="center"/>
            <w:hideMark/>
          </w:tcPr>
          <w:p w:rsidR="00024E35" w:rsidRDefault="00024E35">
            <w:pPr>
              <w:pStyle w:val="biaogeleft"/>
              <w:wordWrap w:val="0"/>
              <w:rPr>
                <w:rFonts w:hint="eastAsia"/>
              </w:rPr>
            </w:pPr>
            <w:r>
              <w:rPr>
                <w:rFonts w:hint="eastAsia"/>
              </w:rPr>
              <w:t>基金合同生效日</w:t>
            </w:r>
          </w:p>
        </w:tc>
        <w:tc>
          <w:tcPr>
            <w:tcW w:w="0" w:type="auto"/>
            <w:tcBorders>
              <w:top w:val="single" w:sz="8" w:space="0" w:color="000000"/>
              <w:left w:val="single" w:sz="8" w:space="0" w:color="000000"/>
              <w:bottom w:val="single" w:sz="6" w:space="0" w:color="000000"/>
              <w:right w:val="single" w:sz="8" w:space="0" w:color="000000"/>
            </w:tcBorders>
            <w:vAlign w:val="center"/>
            <w:hideMark/>
          </w:tcPr>
          <w:p w:rsidR="00024E35" w:rsidRDefault="00024E35">
            <w:pPr>
              <w:pStyle w:val="biaogeleft"/>
              <w:wordWrap w:val="0"/>
              <w:rPr>
                <w:rFonts w:hint="eastAsia"/>
              </w:rPr>
            </w:pPr>
            <w:r>
              <w:rPr>
                <w:rFonts w:hint="eastAsia"/>
              </w:rPr>
              <w:t>2018年08月25日</w:t>
            </w:r>
          </w:p>
        </w:tc>
      </w:tr>
      <w:tr w:rsidR="00024E35" w:rsidRPr="004F5E6D">
        <w:tc>
          <w:tcPr>
            <w:tcW w:w="3600" w:type="dxa"/>
            <w:tcBorders>
              <w:top w:val="single" w:sz="8" w:space="0" w:color="000000"/>
              <w:left w:val="single" w:sz="8" w:space="0" w:color="000000"/>
              <w:bottom w:val="single" w:sz="6" w:space="0" w:color="000000"/>
              <w:right w:val="single" w:sz="8" w:space="0" w:color="000000"/>
            </w:tcBorders>
            <w:vAlign w:val="center"/>
            <w:hideMark/>
          </w:tcPr>
          <w:p w:rsidR="00024E35" w:rsidRDefault="00024E35">
            <w:pPr>
              <w:pStyle w:val="biaogeleft"/>
              <w:wordWrap w:val="0"/>
              <w:rPr>
                <w:rFonts w:hint="eastAsia"/>
              </w:rPr>
            </w:pPr>
            <w:r>
              <w:rPr>
                <w:rFonts w:hint="eastAsia"/>
              </w:rPr>
              <w:t>基金管理人名称</w:t>
            </w:r>
          </w:p>
        </w:tc>
        <w:tc>
          <w:tcPr>
            <w:tcW w:w="0" w:type="auto"/>
            <w:tcBorders>
              <w:top w:val="single" w:sz="8" w:space="0" w:color="000000"/>
              <w:left w:val="single" w:sz="8" w:space="0" w:color="000000"/>
              <w:bottom w:val="single" w:sz="6" w:space="0" w:color="000000"/>
              <w:right w:val="single" w:sz="8" w:space="0" w:color="000000"/>
            </w:tcBorders>
            <w:vAlign w:val="center"/>
            <w:hideMark/>
          </w:tcPr>
          <w:p w:rsidR="00024E35" w:rsidRDefault="00024E35">
            <w:pPr>
              <w:pStyle w:val="biaogeleft"/>
              <w:wordWrap w:val="0"/>
              <w:rPr>
                <w:rFonts w:hint="eastAsia"/>
              </w:rPr>
            </w:pPr>
            <w:r>
              <w:rPr>
                <w:rFonts w:hint="eastAsia"/>
              </w:rPr>
              <w:t>山证（上海）资产管理有限公司</w:t>
            </w:r>
          </w:p>
        </w:tc>
      </w:tr>
      <w:tr w:rsidR="00024E35" w:rsidRPr="004F5E6D">
        <w:tc>
          <w:tcPr>
            <w:tcW w:w="0" w:type="auto"/>
            <w:tcBorders>
              <w:top w:val="single" w:sz="8" w:space="0" w:color="000000"/>
              <w:left w:val="single" w:sz="8" w:space="0" w:color="000000"/>
              <w:bottom w:val="single" w:sz="6" w:space="0" w:color="000000"/>
              <w:right w:val="single" w:sz="8" w:space="0" w:color="000000"/>
            </w:tcBorders>
            <w:vAlign w:val="center"/>
            <w:hideMark/>
          </w:tcPr>
          <w:p w:rsidR="00024E35" w:rsidRDefault="00024E35">
            <w:pPr>
              <w:pStyle w:val="biaogeleft"/>
              <w:wordWrap w:val="0"/>
              <w:rPr>
                <w:rFonts w:hint="eastAsia"/>
              </w:rPr>
            </w:pPr>
            <w:r>
              <w:rPr>
                <w:rFonts w:hint="eastAsia"/>
              </w:rPr>
              <w:t>基金托管人名称</w:t>
            </w:r>
          </w:p>
        </w:tc>
        <w:tc>
          <w:tcPr>
            <w:tcW w:w="0" w:type="auto"/>
            <w:tcBorders>
              <w:top w:val="single" w:sz="8" w:space="0" w:color="000000"/>
              <w:left w:val="single" w:sz="8" w:space="0" w:color="000000"/>
              <w:bottom w:val="single" w:sz="6" w:space="0" w:color="000000"/>
              <w:right w:val="single" w:sz="8" w:space="0" w:color="000000"/>
            </w:tcBorders>
            <w:vAlign w:val="center"/>
            <w:hideMark/>
          </w:tcPr>
          <w:p w:rsidR="00024E35" w:rsidRDefault="00024E35">
            <w:pPr>
              <w:pStyle w:val="biaogeleft"/>
              <w:wordWrap w:val="0"/>
              <w:rPr>
                <w:rFonts w:hint="eastAsia"/>
              </w:rPr>
            </w:pPr>
            <w:r>
              <w:rPr>
                <w:rFonts w:hint="eastAsia"/>
              </w:rPr>
              <w:t>交通银行股份有限公司</w:t>
            </w:r>
          </w:p>
        </w:tc>
      </w:tr>
      <w:tr w:rsidR="00024E35" w:rsidRPr="004F5E6D">
        <w:tc>
          <w:tcPr>
            <w:tcW w:w="0" w:type="auto"/>
            <w:tcBorders>
              <w:top w:val="single" w:sz="8" w:space="0" w:color="000000"/>
              <w:left w:val="single" w:sz="8" w:space="0" w:color="000000"/>
              <w:bottom w:val="single" w:sz="6" w:space="0" w:color="000000"/>
              <w:right w:val="single" w:sz="8" w:space="0" w:color="000000"/>
            </w:tcBorders>
            <w:vAlign w:val="center"/>
            <w:hideMark/>
          </w:tcPr>
          <w:p w:rsidR="00024E35" w:rsidRDefault="00024E35">
            <w:pPr>
              <w:pStyle w:val="biaogeleft"/>
              <w:wordWrap w:val="0"/>
              <w:rPr>
                <w:rFonts w:hint="eastAsia"/>
              </w:rPr>
            </w:pPr>
            <w:r>
              <w:rPr>
                <w:rFonts w:hint="eastAsia"/>
              </w:rPr>
              <w:t>基金注册登记机构名称</w:t>
            </w:r>
          </w:p>
        </w:tc>
        <w:tc>
          <w:tcPr>
            <w:tcW w:w="0" w:type="auto"/>
            <w:tcBorders>
              <w:top w:val="single" w:sz="8" w:space="0" w:color="000000"/>
              <w:left w:val="single" w:sz="8" w:space="0" w:color="000000"/>
              <w:bottom w:val="single" w:sz="6" w:space="0" w:color="000000"/>
              <w:right w:val="single" w:sz="8" w:space="0" w:color="000000"/>
            </w:tcBorders>
            <w:vAlign w:val="center"/>
            <w:hideMark/>
          </w:tcPr>
          <w:p w:rsidR="00024E35" w:rsidRDefault="00024E35">
            <w:pPr>
              <w:pStyle w:val="biaogeleft"/>
              <w:wordWrap w:val="0"/>
              <w:rPr>
                <w:rFonts w:hint="eastAsia"/>
              </w:rPr>
            </w:pPr>
            <w:r>
              <w:rPr>
                <w:rFonts w:hint="eastAsia"/>
              </w:rPr>
              <w:t>山证（上海）资产管理有限公司</w:t>
            </w:r>
          </w:p>
        </w:tc>
      </w:tr>
      <w:tr w:rsidR="00024E35" w:rsidRPr="004F5E6D">
        <w:tc>
          <w:tcPr>
            <w:tcW w:w="0" w:type="auto"/>
            <w:tcBorders>
              <w:top w:val="single" w:sz="8" w:space="0" w:color="000000"/>
              <w:left w:val="single" w:sz="8" w:space="0" w:color="000000"/>
              <w:bottom w:val="single" w:sz="6" w:space="0" w:color="000000"/>
              <w:right w:val="single" w:sz="8" w:space="0" w:color="000000"/>
            </w:tcBorders>
            <w:vAlign w:val="center"/>
            <w:hideMark/>
          </w:tcPr>
          <w:p w:rsidR="00024E35" w:rsidRDefault="00024E35">
            <w:pPr>
              <w:pStyle w:val="biaogeleft"/>
              <w:wordWrap w:val="0"/>
              <w:rPr>
                <w:rFonts w:hint="eastAsia"/>
              </w:rPr>
            </w:pPr>
            <w:r>
              <w:rPr>
                <w:rFonts w:hint="eastAsia"/>
              </w:rPr>
              <w:t>公告依据</w:t>
            </w:r>
          </w:p>
        </w:tc>
        <w:tc>
          <w:tcPr>
            <w:tcW w:w="0" w:type="auto"/>
            <w:tcBorders>
              <w:top w:val="single" w:sz="8" w:space="0" w:color="000000"/>
              <w:left w:val="single" w:sz="8" w:space="0" w:color="000000"/>
              <w:bottom w:val="single" w:sz="6" w:space="0" w:color="000000"/>
              <w:right w:val="single" w:sz="8" w:space="0" w:color="000000"/>
            </w:tcBorders>
            <w:vAlign w:val="center"/>
            <w:hideMark/>
          </w:tcPr>
          <w:p w:rsidR="00024E35" w:rsidRDefault="00024E35">
            <w:pPr>
              <w:pStyle w:val="biaogeleft"/>
              <w:wordWrap w:val="0"/>
              <w:rPr>
                <w:rFonts w:hint="eastAsia"/>
              </w:rPr>
            </w:pPr>
            <w:r>
              <w:rPr>
                <w:rFonts w:hint="eastAsia"/>
              </w:rPr>
              <w:t>《中华人民共和国证券投资基金法》、《公开募集证券投资基金运作管理办法》等法律法规以及《山证资管裕利定期开放债券型发起式证券投资基金基金合同》、《山证资管裕利定期开放债券型发起式证券投资基金招募说明书》、《山西证券股份有限公司关于山西证券裕利债券型证券投资基金基金份额持有人大会表决结果暨决议生效的公告》、《山西证券股份有限公司关于山西证券裕利定期开放债券型发起式证券投资基金基金份额持有人大会表决结果暨决议生效的公告》等</w:t>
            </w:r>
          </w:p>
        </w:tc>
      </w:tr>
      <w:tr w:rsidR="00024E35" w:rsidRPr="004F5E6D">
        <w:tc>
          <w:tcPr>
            <w:tcW w:w="0" w:type="auto"/>
            <w:tcBorders>
              <w:top w:val="single" w:sz="8" w:space="0" w:color="000000"/>
              <w:left w:val="single" w:sz="8" w:space="0" w:color="000000"/>
              <w:bottom w:val="single" w:sz="6" w:space="0" w:color="000000"/>
              <w:right w:val="single" w:sz="8" w:space="0" w:color="000000"/>
            </w:tcBorders>
            <w:vAlign w:val="center"/>
            <w:hideMark/>
          </w:tcPr>
          <w:p w:rsidR="00024E35" w:rsidRDefault="00024E35">
            <w:pPr>
              <w:pStyle w:val="biaogeleft"/>
              <w:wordWrap w:val="0"/>
              <w:rPr>
                <w:rFonts w:hint="eastAsia"/>
              </w:rPr>
            </w:pPr>
            <w:r>
              <w:rPr>
                <w:rFonts w:hint="eastAsia"/>
              </w:rPr>
              <w:t>申购起始日</w:t>
            </w:r>
          </w:p>
        </w:tc>
        <w:tc>
          <w:tcPr>
            <w:tcW w:w="0" w:type="auto"/>
            <w:tcBorders>
              <w:top w:val="single" w:sz="8" w:space="0" w:color="000000"/>
              <w:left w:val="single" w:sz="8" w:space="0" w:color="000000"/>
              <w:bottom w:val="single" w:sz="6" w:space="0" w:color="000000"/>
              <w:right w:val="single" w:sz="8" w:space="0" w:color="000000"/>
            </w:tcBorders>
            <w:vAlign w:val="center"/>
            <w:hideMark/>
          </w:tcPr>
          <w:p w:rsidR="00024E35" w:rsidRDefault="00024E35">
            <w:pPr>
              <w:pStyle w:val="biaogeleft"/>
              <w:wordWrap w:val="0"/>
              <w:rPr>
                <w:rFonts w:hint="eastAsia"/>
              </w:rPr>
            </w:pPr>
            <w:r>
              <w:rPr>
                <w:rFonts w:hint="eastAsia"/>
              </w:rPr>
              <w:t>2026年03月02日</w:t>
            </w:r>
          </w:p>
        </w:tc>
      </w:tr>
      <w:tr w:rsidR="00024E35" w:rsidRPr="004F5E6D">
        <w:tc>
          <w:tcPr>
            <w:tcW w:w="0" w:type="auto"/>
            <w:tcBorders>
              <w:top w:val="single" w:sz="8" w:space="0" w:color="000000"/>
              <w:left w:val="single" w:sz="8" w:space="0" w:color="000000"/>
              <w:bottom w:val="single" w:sz="6" w:space="0" w:color="000000"/>
              <w:right w:val="single" w:sz="8" w:space="0" w:color="000000"/>
            </w:tcBorders>
            <w:vAlign w:val="center"/>
            <w:hideMark/>
          </w:tcPr>
          <w:p w:rsidR="00024E35" w:rsidRDefault="00024E35">
            <w:pPr>
              <w:pStyle w:val="biaogeleft"/>
              <w:wordWrap w:val="0"/>
              <w:rPr>
                <w:rFonts w:hint="eastAsia"/>
              </w:rPr>
            </w:pPr>
            <w:r>
              <w:rPr>
                <w:rFonts w:hint="eastAsia"/>
              </w:rPr>
              <w:t>赎回起始日</w:t>
            </w:r>
          </w:p>
        </w:tc>
        <w:tc>
          <w:tcPr>
            <w:tcW w:w="0" w:type="auto"/>
            <w:tcBorders>
              <w:top w:val="single" w:sz="8" w:space="0" w:color="000000"/>
              <w:left w:val="single" w:sz="8" w:space="0" w:color="000000"/>
              <w:bottom w:val="single" w:sz="6" w:space="0" w:color="000000"/>
              <w:right w:val="single" w:sz="8" w:space="0" w:color="000000"/>
            </w:tcBorders>
            <w:vAlign w:val="center"/>
            <w:hideMark/>
          </w:tcPr>
          <w:p w:rsidR="00024E35" w:rsidRDefault="00024E35">
            <w:pPr>
              <w:pStyle w:val="biaogeleft"/>
              <w:wordWrap w:val="0"/>
              <w:rPr>
                <w:rFonts w:hint="eastAsia"/>
              </w:rPr>
            </w:pPr>
            <w:r>
              <w:rPr>
                <w:rFonts w:hint="eastAsia"/>
              </w:rPr>
              <w:t>2026年03月02日</w:t>
            </w:r>
          </w:p>
        </w:tc>
      </w:tr>
      <w:tr w:rsidR="00024E35" w:rsidRPr="004F5E6D">
        <w:tc>
          <w:tcPr>
            <w:tcW w:w="0" w:type="auto"/>
            <w:tcBorders>
              <w:top w:val="single" w:sz="8" w:space="0" w:color="000000"/>
              <w:left w:val="single" w:sz="8" w:space="0" w:color="000000"/>
              <w:bottom w:val="single" w:sz="6" w:space="0" w:color="000000"/>
              <w:right w:val="single" w:sz="8" w:space="0" w:color="000000"/>
            </w:tcBorders>
            <w:vAlign w:val="center"/>
            <w:hideMark/>
          </w:tcPr>
          <w:p w:rsidR="00024E35" w:rsidRDefault="00024E35">
            <w:pPr>
              <w:pStyle w:val="biaogeleft"/>
              <w:wordWrap w:val="0"/>
              <w:rPr>
                <w:rFonts w:hint="eastAsia"/>
              </w:rPr>
            </w:pPr>
            <w:r>
              <w:rPr>
                <w:rFonts w:hint="eastAsia"/>
              </w:rPr>
              <w:t>转换转入起始日</w:t>
            </w:r>
          </w:p>
        </w:tc>
        <w:tc>
          <w:tcPr>
            <w:tcW w:w="0" w:type="auto"/>
            <w:tcBorders>
              <w:top w:val="single" w:sz="8" w:space="0" w:color="000000"/>
              <w:left w:val="single" w:sz="8" w:space="0" w:color="000000"/>
              <w:bottom w:val="single" w:sz="6" w:space="0" w:color="000000"/>
              <w:right w:val="single" w:sz="8" w:space="0" w:color="000000"/>
            </w:tcBorders>
            <w:vAlign w:val="center"/>
            <w:hideMark/>
          </w:tcPr>
          <w:p w:rsidR="00024E35" w:rsidRDefault="00024E35">
            <w:pPr>
              <w:pStyle w:val="biaogeleft"/>
              <w:wordWrap w:val="0"/>
              <w:rPr>
                <w:rFonts w:hint="eastAsia"/>
              </w:rPr>
            </w:pPr>
            <w:r>
              <w:rPr>
                <w:rFonts w:hint="eastAsia"/>
              </w:rPr>
              <w:t>-</w:t>
            </w:r>
          </w:p>
        </w:tc>
      </w:tr>
      <w:tr w:rsidR="00024E35" w:rsidRPr="004F5E6D">
        <w:tc>
          <w:tcPr>
            <w:tcW w:w="0" w:type="auto"/>
            <w:tcBorders>
              <w:top w:val="single" w:sz="8" w:space="0" w:color="000000"/>
              <w:left w:val="single" w:sz="8" w:space="0" w:color="000000"/>
              <w:bottom w:val="single" w:sz="6" w:space="0" w:color="000000"/>
              <w:right w:val="single" w:sz="8" w:space="0" w:color="000000"/>
            </w:tcBorders>
            <w:vAlign w:val="center"/>
            <w:hideMark/>
          </w:tcPr>
          <w:p w:rsidR="00024E35" w:rsidRDefault="00024E35">
            <w:pPr>
              <w:pStyle w:val="biaogeleft"/>
              <w:wordWrap w:val="0"/>
              <w:rPr>
                <w:rFonts w:hint="eastAsia"/>
              </w:rPr>
            </w:pPr>
            <w:r>
              <w:rPr>
                <w:rFonts w:hint="eastAsia"/>
              </w:rPr>
              <w:t>转换转出起始日</w:t>
            </w:r>
          </w:p>
        </w:tc>
        <w:tc>
          <w:tcPr>
            <w:tcW w:w="0" w:type="auto"/>
            <w:tcBorders>
              <w:top w:val="single" w:sz="8" w:space="0" w:color="000000"/>
              <w:left w:val="single" w:sz="8" w:space="0" w:color="000000"/>
              <w:bottom w:val="single" w:sz="6" w:space="0" w:color="000000"/>
              <w:right w:val="single" w:sz="8" w:space="0" w:color="000000"/>
            </w:tcBorders>
            <w:vAlign w:val="center"/>
            <w:hideMark/>
          </w:tcPr>
          <w:p w:rsidR="00024E35" w:rsidRDefault="00024E35">
            <w:pPr>
              <w:pStyle w:val="biaogeleft"/>
              <w:wordWrap w:val="0"/>
              <w:rPr>
                <w:rFonts w:hint="eastAsia"/>
              </w:rPr>
            </w:pPr>
            <w:r>
              <w:rPr>
                <w:rFonts w:hint="eastAsia"/>
              </w:rPr>
              <w:t>-</w:t>
            </w:r>
          </w:p>
        </w:tc>
      </w:tr>
      <w:tr w:rsidR="00024E35" w:rsidRPr="004F5E6D">
        <w:tc>
          <w:tcPr>
            <w:tcW w:w="0" w:type="auto"/>
            <w:tcBorders>
              <w:top w:val="single" w:sz="8" w:space="0" w:color="000000"/>
              <w:left w:val="single" w:sz="8" w:space="0" w:color="000000"/>
              <w:bottom w:val="single" w:sz="6" w:space="0" w:color="000000"/>
              <w:right w:val="single" w:sz="8" w:space="0" w:color="000000"/>
            </w:tcBorders>
            <w:vAlign w:val="center"/>
            <w:hideMark/>
          </w:tcPr>
          <w:p w:rsidR="00024E35" w:rsidRDefault="00024E35">
            <w:pPr>
              <w:pStyle w:val="biaogeleft"/>
              <w:wordWrap w:val="0"/>
              <w:rPr>
                <w:rFonts w:hint="eastAsia"/>
              </w:rPr>
            </w:pPr>
            <w:r>
              <w:rPr>
                <w:rFonts w:hint="eastAsia"/>
              </w:rPr>
              <w:t>定期定额投资起始日</w:t>
            </w:r>
          </w:p>
        </w:tc>
        <w:tc>
          <w:tcPr>
            <w:tcW w:w="0" w:type="auto"/>
            <w:tcBorders>
              <w:top w:val="single" w:sz="8" w:space="0" w:color="000000"/>
              <w:left w:val="single" w:sz="8" w:space="0" w:color="000000"/>
              <w:bottom w:val="single" w:sz="6" w:space="0" w:color="000000"/>
              <w:right w:val="single" w:sz="8" w:space="0" w:color="000000"/>
            </w:tcBorders>
            <w:vAlign w:val="center"/>
            <w:hideMark/>
          </w:tcPr>
          <w:p w:rsidR="00024E35" w:rsidRDefault="00024E35">
            <w:pPr>
              <w:pStyle w:val="biaogeleft"/>
              <w:wordWrap w:val="0"/>
              <w:rPr>
                <w:rFonts w:hint="eastAsia"/>
              </w:rPr>
            </w:pPr>
            <w:r>
              <w:rPr>
                <w:rFonts w:hint="eastAsia"/>
              </w:rPr>
              <w:t>-</w:t>
            </w:r>
          </w:p>
        </w:tc>
      </w:tr>
    </w:tbl>
    <w:p w:rsidR="00024E35" w:rsidRDefault="00024E35">
      <w:pPr>
        <w:pStyle w:val="neirong"/>
        <w:rPr>
          <w:rFonts w:hint="eastAsia"/>
        </w:rPr>
      </w:pPr>
      <w:r>
        <w:rPr>
          <w:rFonts w:hint="eastAsia"/>
        </w:rPr>
        <w:t>注：1、本基金以定期开放方式运作。本基金的封闭期为自基金每一开放期结束之日次日起（包括该日）3个月的期间。如果封闭期到期日的次日为非工作日的，封闭期相应</w:t>
      </w:r>
      <w:r>
        <w:rPr>
          <w:rFonts w:hint="eastAsia"/>
        </w:rPr>
        <w:lastRenderedPageBreak/>
        <w:t>顺延。本基金的第二十七个封闭期为2025年11月29日至2026年3月1日。</w:t>
      </w:r>
      <w:r>
        <w:rPr>
          <w:rFonts w:hint="eastAsia"/>
        </w:rPr>
        <w:br/>
        <w:t>2、本次开放期为2026年3月2日至2026年3月13日，开放期内本基金接受申购、赎回申请。</w:t>
      </w:r>
      <w:r>
        <w:rPr>
          <w:rFonts w:hint="eastAsia"/>
        </w:rPr>
        <w:br/>
        <w:t>3、自2026年3月14日（含该日）起进入本基金的下一个封闭期，封闭期内本基金不接受申购、赎回申请，直至下一个开放期。届时将不再另行公告。</w:t>
      </w:r>
    </w:p>
    <w:p w:rsidR="00024E35" w:rsidRDefault="00024E35">
      <w:pPr>
        <w:widowControl/>
        <w:jc w:val="left"/>
        <w:rPr>
          <w:rFonts w:ascii="宋体" w:hAnsi="宋体" w:cs="宋体" w:hint="eastAsia"/>
          <w:kern w:val="0"/>
          <w:sz w:val="24"/>
          <w:szCs w:val="24"/>
        </w:rPr>
      </w:pPr>
    </w:p>
    <w:p w:rsidR="00024E35" w:rsidRDefault="00024E35">
      <w:pPr>
        <w:pStyle w:val="dazhangjie"/>
        <w:divId w:val="159974072"/>
        <w:rPr>
          <w:rFonts w:hint="eastAsia"/>
        </w:rPr>
      </w:pPr>
      <w:r>
        <w:rPr>
          <w:rFonts w:hint="eastAsia"/>
          <w:b/>
          <w:bCs/>
        </w:rPr>
        <w:t>2 日常申购、赎回（转换、定期定额投资）业务的办理时间</w:t>
      </w:r>
    </w:p>
    <w:p w:rsidR="00024E35" w:rsidRDefault="00024E35">
      <w:pPr>
        <w:pStyle w:val="neirong"/>
        <w:divId w:val="159974072"/>
        <w:rPr>
          <w:rFonts w:hint="eastAsia"/>
        </w:rPr>
      </w:pPr>
      <w:r>
        <w:rPr>
          <w:rFonts w:hint="eastAsia"/>
        </w:rPr>
        <w:t>  1、开放日及开放时间</w:t>
      </w:r>
      <w:r>
        <w:rPr>
          <w:rFonts w:hint="eastAsia"/>
        </w:rPr>
        <w:br/>
        <w:t>  本基金以定期开放方式运作，每3个月开放一次申购和赎回。</w:t>
      </w:r>
      <w:r>
        <w:rPr>
          <w:rFonts w:hint="eastAsia"/>
        </w:rPr>
        <w:br/>
        <w:t>  本基金的开放日为开放期内的每个工作日。投资人在开放日办理基金份额的申购和赎回，具体办理时间为上海证券交易所、深圳证券交易所的正常交易日的交易时间，但基金管理人根据法律法规、中国证监会的要求或基金合同的规定公告暂停申购、赎回时除外。</w:t>
      </w:r>
      <w:r>
        <w:rPr>
          <w:rFonts w:hint="eastAsia"/>
        </w:rPr>
        <w:br/>
        <w:t>  基金合同生效后，若出现新的证券交易市场，证券交易所交易时间变更或其他特殊情况，基金管理人将视情况对前述开放日及开放时间进行相应的调整，但应在实施日前依照《信息披露办法》的有关规定进行公告。</w:t>
      </w:r>
      <w:r>
        <w:rPr>
          <w:rFonts w:hint="eastAsia"/>
        </w:rPr>
        <w:br/>
        <w:t>  2、申购、赎回开始日及业务办理时间</w:t>
      </w:r>
      <w:r>
        <w:rPr>
          <w:rFonts w:hint="eastAsia"/>
        </w:rPr>
        <w:br/>
        <w:t>  (1)基金的封闭期</w:t>
      </w:r>
      <w:r>
        <w:rPr>
          <w:rFonts w:hint="eastAsia"/>
        </w:rPr>
        <w:br/>
        <w:t>  本基金的封闭期为自基金每一开放期结束之日次日起（包括该日）3个月的期间。本基金自基金合同生效之日起（包括基金合同生效之日）进入首个开放期。基金的首个封闭期为自首个开放期结束之后次日起（包括该日）3个月的期间，如果封闭期到期日的次日为非工作日的，封闭期相应顺延。首个封闭期结束之后第一个工作日起（包括该日）进入第二个开放期，第二个封闭期为第二个开放期结束之日次日起（包括该日）3个月的期间，如果封闭期到期日的次日为非工作日的，封闭期相应顺延，以此类推。本基金封闭期内不办理申购与赎回业务，也不上市交易。</w:t>
      </w:r>
      <w:r>
        <w:rPr>
          <w:rFonts w:hint="eastAsia"/>
        </w:rPr>
        <w:br/>
        <w:t>  (2)基金的开放期</w:t>
      </w:r>
      <w:r>
        <w:rPr>
          <w:rFonts w:hint="eastAsia"/>
        </w:rPr>
        <w:br/>
        <w:t>  本基金自基金合同生效之日起（包括基金合同生效之日）或自每个封闭期结束之后第一个工作日起（包括该日）进入开放期，期间可以办理申购与赎回业务。本基金每个开放期最短不少于5个工作日、最长不超过10个工作日，开放期的具体时间以基金管理人届时公告为准，除首个开放期外，基金管理人最迟应于开放期前2日进行公告。</w:t>
      </w:r>
      <w:r>
        <w:rPr>
          <w:rFonts w:hint="eastAsia"/>
        </w:rPr>
        <w:br/>
        <w:t>  若由于不可抗力或基金合同约定的其他情形导致原定开放期起始日不能办理基金的申购与赎回，则开放期起始日顺延至不可抗力或基金合同约定的其他情形的影响因素消除之日起的下一个工作日。如在开放期内发生不可抗力或基金合同约定的其他情形致使基金无法按时开放申购与赎回业务的，开放期时间中止计算，在不可抗力或基金合同约定的其他情形影响因素消除之日起的下一个工作日继续计算该开放期时间，直至满足开放期的时间要求。在此情形下，开放期以管理人届时公告（如有）为准。</w:t>
      </w:r>
      <w:r>
        <w:rPr>
          <w:rFonts w:hint="eastAsia"/>
        </w:rPr>
        <w:br/>
        <w:t>  (3)本基金本次办理申购与赎回业务的开放期为2026年3月2日-2026年3月13日，共10个工作日。开放期内，本基金采取开放运作模式，投资人可以办理申购与赎回业务。2026年3月14日--2026年6月14日，本基金将进入下一个封闭期，封闭期内本基金不办理申购与赎回业务。</w:t>
      </w:r>
      <w:r>
        <w:rPr>
          <w:rFonts w:hint="eastAsia"/>
        </w:rPr>
        <w:br/>
        <w:t>  基金管理人不得在基金合同约定之外的日期或者时间办理基金份额的申购、赎回。在开放期内，投资人在基金合同约定之外的日期和时间提出申购、赎回申请且登记机构确认接受的，其基金份额申购、赎回价格为该开放期内下一开放日基金份额申购、赎回的价格；但若投资人在开放期最后一日业务办理时间结束之后提出申购、赎回申请的，视为无效申请。</w:t>
      </w:r>
    </w:p>
    <w:p w:rsidR="00024E35" w:rsidRDefault="00024E35">
      <w:pPr>
        <w:widowControl/>
        <w:jc w:val="left"/>
        <w:divId w:val="159974072"/>
        <w:rPr>
          <w:rFonts w:ascii="宋体" w:hAnsi="宋体" w:cs="宋体" w:hint="eastAsia"/>
          <w:kern w:val="0"/>
          <w:sz w:val="24"/>
          <w:szCs w:val="24"/>
        </w:rPr>
      </w:pPr>
    </w:p>
    <w:p w:rsidR="00024E35" w:rsidRDefault="00024E35">
      <w:pPr>
        <w:pStyle w:val="dazhangjie"/>
        <w:divId w:val="2000113902"/>
        <w:rPr>
          <w:rFonts w:hint="eastAsia"/>
        </w:rPr>
      </w:pPr>
      <w:r>
        <w:rPr>
          <w:rFonts w:hint="eastAsia"/>
          <w:b/>
          <w:bCs/>
        </w:rPr>
        <w:t>3 日常申购业务</w:t>
      </w:r>
    </w:p>
    <w:p w:rsidR="00024E35" w:rsidRDefault="00024E35">
      <w:pPr>
        <w:widowControl/>
        <w:jc w:val="left"/>
        <w:divId w:val="2000113902"/>
        <w:rPr>
          <w:rFonts w:ascii="宋体" w:hAnsi="宋体" w:cs="宋体" w:hint="eastAsia"/>
          <w:kern w:val="0"/>
          <w:sz w:val="24"/>
          <w:szCs w:val="24"/>
        </w:rPr>
      </w:pPr>
    </w:p>
    <w:p w:rsidR="00024E35" w:rsidRDefault="00024E35">
      <w:pPr>
        <w:pStyle w:val="zhangjiep"/>
        <w:divId w:val="2000113902"/>
        <w:rPr>
          <w:rFonts w:hint="eastAsia"/>
        </w:rPr>
      </w:pPr>
      <w:r>
        <w:rPr>
          <w:rFonts w:hint="eastAsia"/>
          <w:b/>
          <w:bCs/>
        </w:rPr>
        <w:t>3.1 申购金额限制</w:t>
      </w:r>
    </w:p>
    <w:p w:rsidR="00024E35" w:rsidRDefault="00024E35">
      <w:pPr>
        <w:pStyle w:val="neirong"/>
        <w:divId w:val="2000113902"/>
        <w:rPr>
          <w:rFonts w:hint="eastAsia"/>
        </w:rPr>
      </w:pPr>
      <w:r>
        <w:rPr>
          <w:rFonts w:hint="eastAsia"/>
        </w:rPr>
        <w:t>  1、首次购买基金份额的最低金额为1.00元，追加购买最低金额为1.00元。</w:t>
      </w:r>
      <w:r>
        <w:rPr>
          <w:rFonts w:hint="eastAsia"/>
        </w:rPr>
        <w:br/>
        <w:t>  2、本基金目前对单个投资人累计持有份额不设上限限制，基金管理人可以规定单个投资者累计持有的基金份额数量限制，具体规定见定期更新的招募说明书或相关公告。</w:t>
      </w:r>
      <w:r>
        <w:rPr>
          <w:rFonts w:hint="eastAsia"/>
        </w:rPr>
        <w:br/>
        <w:t>  3、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具体请参见相关公告。</w:t>
      </w:r>
      <w:r>
        <w:rPr>
          <w:rFonts w:hint="eastAsia"/>
        </w:rPr>
        <w:br/>
        <w:t>  4、基金管理人可在法律法规允许的情况下，调整上述规定申购金额等数量限制。基金管理人必须在调整实施前依照《信息披露办法》的有关规定进行公告。</w:t>
      </w:r>
    </w:p>
    <w:p w:rsidR="00024E35" w:rsidRDefault="00024E35">
      <w:pPr>
        <w:widowControl/>
        <w:jc w:val="left"/>
        <w:divId w:val="2000113902"/>
        <w:rPr>
          <w:rFonts w:ascii="宋体" w:hAnsi="宋体" w:cs="宋体" w:hint="eastAsia"/>
          <w:kern w:val="0"/>
          <w:sz w:val="24"/>
          <w:szCs w:val="24"/>
        </w:rPr>
      </w:pPr>
    </w:p>
    <w:p w:rsidR="00024E35" w:rsidRDefault="00024E35">
      <w:pPr>
        <w:pStyle w:val="zhangjiep"/>
        <w:divId w:val="2000113902"/>
        <w:rPr>
          <w:rFonts w:hint="eastAsia"/>
        </w:rPr>
      </w:pPr>
      <w:r>
        <w:rPr>
          <w:rFonts w:hint="eastAsia"/>
          <w:b/>
          <w:bCs/>
        </w:rPr>
        <w:t>3.2 申购费率</w:t>
      </w:r>
    </w:p>
    <w:p w:rsidR="00024E35" w:rsidRDefault="00024E35">
      <w:pPr>
        <w:pStyle w:val="neirong"/>
        <w:divId w:val="2000113902"/>
        <w:rPr>
          <w:rFonts w:hint="eastAsia"/>
        </w:rPr>
      </w:pPr>
      <w:r>
        <w:rPr>
          <w:rFonts w:hint="eastAsia"/>
        </w:rPr>
        <w:t>  投资者可以多次申购本基金，申购费率按每笔申购申请单独计算。</w:t>
      </w:r>
      <w:r>
        <w:rPr>
          <w:rFonts w:hint="eastAsia"/>
        </w:rPr>
        <w:br/>
        <w:t>  本基金基金份额采用前端收费模式收取基金申购费用。投资者的申购费用如下：</w:t>
      </w:r>
    </w:p>
    <w:p w:rsidR="00024E35" w:rsidRDefault="00024E35">
      <w:pPr>
        <w:widowControl/>
        <w:jc w:val="left"/>
        <w:divId w:val="2000113902"/>
        <w:rPr>
          <w:rFonts w:ascii="宋体" w:hAnsi="宋体" w:cs="宋体" w:hint="eastAsia"/>
          <w:kern w:val="0"/>
          <w:sz w:val="24"/>
          <w:szCs w:val="24"/>
        </w:rPr>
      </w:pPr>
    </w:p>
    <w:p w:rsidR="00024E35" w:rsidRDefault="00024E35">
      <w:pPr>
        <w:pStyle w:val="zhangjiep"/>
        <w:divId w:val="2000113902"/>
        <w:rPr>
          <w:rFonts w:hint="eastAsia"/>
        </w:rPr>
      </w:pPr>
      <w:r>
        <w:rPr>
          <w:rFonts w:hint="eastAsia"/>
          <w:b/>
          <w:bCs/>
        </w:rPr>
        <w:t>3.2.1 前端收费</w:t>
      </w:r>
    </w:p>
    <w:tbl>
      <w:tblPr>
        <w:tblW w:w="0" w:type="auto"/>
        <w:tblInd w:w="108" w:type="dxa"/>
        <w:tblLook w:val="04A0"/>
      </w:tblPr>
      <w:tblGrid>
        <w:gridCol w:w="8594"/>
      </w:tblGrid>
      <w:tr w:rsidR="00024E35" w:rsidRPr="004F5E6D">
        <w:trPr>
          <w:divId w:val="2000113902"/>
        </w:trPr>
        <w:tc>
          <w:tcPr>
            <w:tcW w:w="0" w:type="auto"/>
            <w:vAlign w:val="center"/>
            <w:hideMark/>
          </w:tcPr>
          <w:tbl>
            <w:tblPr>
              <w:tblW w:w="8250" w:type="dxa"/>
              <w:tblInd w:w="108" w:type="dxa"/>
              <w:tblLook w:val="04A0"/>
            </w:tblPr>
            <w:tblGrid>
              <w:gridCol w:w="3300"/>
              <w:gridCol w:w="2475"/>
              <w:gridCol w:w="2475"/>
            </w:tblGrid>
            <w:tr w:rsidR="00024E35" w:rsidRPr="004F5E6D">
              <w:tc>
                <w:tcPr>
                  <w:tcW w:w="2000" w:type="pct"/>
                  <w:tcBorders>
                    <w:top w:val="single" w:sz="8" w:space="0" w:color="000000"/>
                    <w:left w:val="single" w:sz="8" w:space="0" w:color="000000"/>
                    <w:bottom w:val="single" w:sz="6" w:space="0" w:color="000000"/>
                    <w:right w:val="single" w:sz="8" w:space="0" w:color="000000"/>
                  </w:tcBorders>
                  <w:vAlign w:val="center"/>
                  <w:hideMark/>
                </w:tcPr>
                <w:p w:rsidR="00024E35" w:rsidRDefault="00024E35">
                  <w:pPr>
                    <w:pStyle w:val="biaogeleft"/>
                    <w:wordWrap w:val="0"/>
                    <w:rPr>
                      <w:rFonts w:hint="eastAsia"/>
                    </w:rPr>
                  </w:pPr>
                  <w:r>
                    <w:rPr>
                      <w:rFonts w:hint="eastAsia"/>
                    </w:rPr>
                    <w:t>申购金额(M)</w:t>
                  </w:r>
                </w:p>
              </w:tc>
              <w:tc>
                <w:tcPr>
                  <w:tcW w:w="1500" w:type="pct"/>
                  <w:tcBorders>
                    <w:top w:val="single" w:sz="8" w:space="0" w:color="000000"/>
                    <w:left w:val="single" w:sz="8" w:space="0" w:color="000000"/>
                    <w:bottom w:val="single" w:sz="6" w:space="0" w:color="000000"/>
                    <w:right w:val="single" w:sz="8" w:space="0" w:color="000000"/>
                  </w:tcBorders>
                  <w:vAlign w:val="center"/>
                  <w:hideMark/>
                </w:tcPr>
                <w:p w:rsidR="00024E35" w:rsidRDefault="00024E35">
                  <w:pPr>
                    <w:pStyle w:val="biaogeleft"/>
                    <w:wordWrap w:val="0"/>
                    <w:rPr>
                      <w:rFonts w:hint="eastAsia"/>
                    </w:rPr>
                  </w:pPr>
                  <w:r>
                    <w:rPr>
                      <w:rFonts w:hint="eastAsia"/>
                    </w:rPr>
                    <w:t>申购费率</w:t>
                  </w:r>
                </w:p>
              </w:tc>
              <w:tc>
                <w:tcPr>
                  <w:tcW w:w="1500" w:type="pct"/>
                  <w:tcBorders>
                    <w:top w:val="single" w:sz="8" w:space="0" w:color="000000"/>
                    <w:left w:val="single" w:sz="8" w:space="0" w:color="000000"/>
                    <w:bottom w:val="single" w:sz="6" w:space="0" w:color="000000"/>
                    <w:right w:val="single" w:sz="8" w:space="0" w:color="000000"/>
                  </w:tcBorders>
                  <w:vAlign w:val="center"/>
                  <w:hideMark/>
                </w:tcPr>
                <w:p w:rsidR="00024E35" w:rsidRDefault="00024E35">
                  <w:pPr>
                    <w:pStyle w:val="biaogeleft"/>
                    <w:wordWrap w:val="0"/>
                    <w:rPr>
                      <w:rFonts w:hint="eastAsia"/>
                    </w:rPr>
                  </w:pPr>
                  <w:r>
                    <w:rPr>
                      <w:rFonts w:hint="eastAsia"/>
                    </w:rPr>
                    <w:t>备注</w:t>
                  </w:r>
                </w:p>
              </w:tc>
            </w:tr>
            <w:tr w:rsidR="00024E35" w:rsidRPr="004F5E6D">
              <w:tc>
                <w:tcPr>
                  <w:tcW w:w="2000" w:type="pct"/>
                  <w:tcBorders>
                    <w:top w:val="single" w:sz="8" w:space="0" w:color="000000"/>
                    <w:left w:val="single" w:sz="8" w:space="0" w:color="000000"/>
                    <w:bottom w:val="single" w:sz="6" w:space="0" w:color="000000"/>
                    <w:right w:val="single" w:sz="8" w:space="0" w:color="000000"/>
                  </w:tcBorders>
                  <w:vAlign w:val="center"/>
                  <w:hideMark/>
                </w:tcPr>
                <w:p w:rsidR="00024E35" w:rsidRDefault="00024E35">
                  <w:pPr>
                    <w:pStyle w:val="biaogeleft"/>
                    <w:wordWrap w:val="0"/>
                    <w:rPr>
                      <w:rFonts w:hint="eastAsia"/>
                    </w:rPr>
                  </w:pPr>
                  <w:r>
                    <w:rPr>
                      <w:rFonts w:hint="eastAsia"/>
                    </w:rPr>
                    <w:t>M&lt;100万</w:t>
                  </w:r>
                </w:p>
              </w:tc>
              <w:tc>
                <w:tcPr>
                  <w:tcW w:w="1500" w:type="pct"/>
                  <w:tcBorders>
                    <w:top w:val="single" w:sz="8" w:space="0" w:color="000000"/>
                    <w:left w:val="single" w:sz="8" w:space="0" w:color="000000"/>
                    <w:bottom w:val="single" w:sz="6" w:space="0" w:color="000000"/>
                    <w:right w:val="single" w:sz="8" w:space="0" w:color="000000"/>
                  </w:tcBorders>
                  <w:vAlign w:val="center"/>
                  <w:hideMark/>
                </w:tcPr>
                <w:p w:rsidR="00024E35" w:rsidRDefault="00024E35">
                  <w:pPr>
                    <w:pStyle w:val="biaogeleft"/>
                    <w:wordWrap w:val="0"/>
                    <w:rPr>
                      <w:rFonts w:hint="eastAsia"/>
                    </w:rPr>
                  </w:pPr>
                  <w:r>
                    <w:rPr>
                      <w:rFonts w:hint="eastAsia"/>
                    </w:rPr>
                    <w:t>0.80%</w:t>
                  </w:r>
                </w:p>
              </w:tc>
              <w:tc>
                <w:tcPr>
                  <w:tcW w:w="1500" w:type="pct"/>
                  <w:tcBorders>
                    <w:top w:val="single" w:sz="8" w:space="0" w:color="000000"/>
                    <w:left w:val="single" w:sz="8" w:space="0" w:color="000000"/>
                    <w:bottom w:val="single" w:sz="6" w:space="0" w:color="000000"/>
                    <w:right w:val="single" w:sz="8" w:space="0" w:color="000000"/>
                  </w:tcBorders>
                  <w:vAlign w:val="center"/>
                  <w:hideMark/>
                </w:tcPr>
                <w:p w:rsidR="00024E35" w:rsidRPr="004F5E6D" w:rsidRDefault="00024E35">
                  <w:pPr>
                    <w:rPr>
                      <w:rFonts w:hint="eastAsia"/>
                    </w:rPr>
                  </w:pPr>
                </w:p>
              </w:tc>
            </w:tr>
            <w:tr w:rsidR="00024E35" w:rsidRPr="004F5E6D">
              <w:tc>
                <w:tcPr>
                  <w:tcW w:w="2000" w:type="pct"/>
                  <w:tcBorders>
                    <w:top w:val="single" w:sz="8" w:space="0" w:color="000000"/>
                    <w:left w:val="single" w:sz="8" w:space="0" w:color="000000"/>
                    <w:bottom w:val="single" w:sz="6" w:space="0" w:color="000000"/>
                    <w:right w:val="single" w:sz="8" w:space="0" w:color="000000"/>
                  </w:tcBorders>
                  <w:vAlign w:val="center"/>
                  <w:hideMark/>
                </w:tcPr>
                <w:p w:rsidR="00024E35" w:rsidRDefault="00024E35">
                  <w:pPr>
                    <w:pStyle w:val="biaogeleft"/>
                    <w:wordWrap w:val="0"/>
                  </w:pPr>
                  <w:r>
                    <w:rPr>
                      <w:rFonts w:hint="eastAsia"/>
                    </w:rPr>
                    <w:t>100万≤M&lt;300万</w:t>
                  </w:r>
                </w:p>
              </w:tc>
              <w:tc>
                <w:tcPr>
                  <w:tcW w:w="1500" w:type="pct"/>
                  <w:tcBorders>
                    <w:top w:val="single" w:sz="8" w:space="0" w:color="000000"/>
                    <w:left w:val="single" w:sz="8" w:space="0" w:color="000000"/>
                    <w:bottom w:val="single" w:sz="6" w:space="0" w:color="000000"/>
                    <w:right w:val="single" w:sz="8" w:space="0" w:color="000000"/>
                  </w:tcBorders>
                  <w:vAlign w:val="center"/>
                  <w:hideMark/>
                </w:tcPr>
                <w:p w:rsidR="00024E35" w:rsidRDefault="00024E35">
                  <w:pPr>
                    <w:pStyle w:val="biaogeleft"/>
                    <w:wordWrap w:val="0"/>
                    <w:rPr>
                      <w:rFonts w:hint="eastAsia"/>
                    </w:rPr>
                  </w:pPr>
                  <w:r>
                    <w:rPr>
                      <w:rFonts w:hint="eastAsia"/>
                    </w:rPr>
                    <w:t>0.50%</w:t>
                  </w:r>
                </w:p>
              </w:tc>
              <w:tc>
                <w:tcPr>
                  <w:tcW w:w="1500" w:type="pct"/>
                  <w:tcBorders>
                    <w:top w:val="single" w:sz="8" w:space="0" w:color="000000"/>
                    <w:left w:val="single" w:sz="8" w:space="0" w:color="000000"/>
                    <w:bottom w:val="single" w:sz="6" w:space="0" w:color="000000"/>
                    <w:right w:val="single" w:sz="8" w:space="0" w:color="000000"/>
                  </w:tcBorders>
                  <w:vAlign w:val="center"/>
                  <w:hideMark/>
                </w:tcPr>
                <w:p w:rsidR="00024E35" w:rsidRPr="004F5E6D" w:rsidRDefault="00024E35">
                  <w:pPr>
                    <w:rPr>
                      <w:rFonts w:hint="eastAsia"/>
                    </w:rPr>
                  </w:pPr>
                </w:p>
              </w:tc>
            </w:tr>
            <w:tr w:rsidR="00024E35" w:rsidRPr="004F5E6D">
              <w:tc>
                <w:tcPr>
                  <w:tcW w:w="2000" w:type="pct"/>
                  <w:tcBorders>
                    <w:top w:val="single" w:sz="8" w:space="0" w:color="000000"/>
                    <w:left w:val="single" w:sz="8" w:space="0" w:color="000000"/>
                    <w:bottom w:val="single" w:sz="6" w:space="0" w:color="000000"/>
                    <w:right w:val="single" w:sz="8" w:space="0" w:color="000000"/>
                  </w:tcBorders>
                  <w:vAlign w:val="center"/>
                  <w:hideMark/>
                </w:tcPr>
                <w:p w:rsidR="00024E35" w:rsidRDefault="00024E35">
                  <w:pPr>
                    <w:pStyle w:val="biaogeleft"/>
                    <w:wordWrap w:val="0"/>
                  </w:pPr>
                  <w:r>
                    <w:rPr>
                      <w:rFonts w:hint="eastAsia"/>
                    </w:rPr>
                    <w:t>300万≤M&lt;500万</w:t>
                  </w:r>
                </w:p>
              </w:tc>
              <w:tc>
                <w:tcPr>
                  <w:tcW w:w="1500" w:type="pct"/>
                  <w:tcBorders>
                    <w:top w:val="single" w:sz="8" w:space="0" w:color="000000"/>
                    <w:left w:val="single" w:sz="8" w:space="0" w:color="000000"/>
                    <w:bottom w:val="single" w:sz="6" w:space="0" w:color="000000"/>
                    <w:right w:val="single" w:sz="8" w:space="0" w:color="000000"/>
                  </w:tcBorders>
                  <w:vAlign w:val="center"/>
                  <w:hideMark/>
                </w:tcPr>
                <w:p w:rsidR="00024E35" w:rsidRDefault="00024E35">
                  <w:pPr>
                    <w:pStyle w:val="biaogeleft"/>
                    <w:wordWrap w:val="0"/>
                    <w:rPr>
                      <w:rFonts w:hint="eastAsia"/>
                    </w:rPr>
                  </w:pPr>
                  <w:r>
                    <w:rPr>
                      <w:rFonts w:hint="eastAsia"/>
                    </w:rPr>
                    <w:t>0.30%</w:t>
                  </w:r>
                </w:p>
              </w:tc>
              <w:tc>
                <w:tcPr>
                  <w:tcW w:w="1500" w:type="pct"/>
                  <w:tcBorders>
                    <w:top w:val="single" w:sz="8" w:space="0" w:color="000000"/>
                    <w:left w:val="single" w:sz="8" w:space="0" w:color="000000"/>
                    <w:bottom w:val="single" w:sz="6" w:space="0" w:color="000000"/>
                    <w:right w:val="single" w:sz="8" w:space="0" w:color="000000"/>
                  </w:tcBorders>
                  <w:vAlign w:val="center"/>
                  <w:hideMark/>
                </w:tcPr>
                <w:p w:rsidR="00024E35" w:rsidRPr="004F5E6D" w:rsidRDefault="00024E35">
                  <w:pPr>
                    <w:rPr>
                      <w:rFonts w:hint="eastAsia"/>
                    </w:rPr>
                  </w:pPr>
                </w:p>
              </w:tc>
            </w:tr>
            <w:tr w:rsidR="00024E35" w:rsidRPr="004F5E6D">
              <w:tc>
                <w:tcPr>
                  <w:tcW w:w="2000" w:type="pct"/>
                  <w:tcBorders>
                    <w:top w:val="single" w:sz="8" w:space="0" w:color="000000"/>
                    <w:left w:val="single" w:sz="8" w:space="0" w:color="000000"/>
                    <w:bottom w:val="single" w:sz="6" w:space="0" w:color="000000"/>
                    <w:right w:val="single" w:sz="8" w:space="0" w:color="000000"/>
                  </w:tcBorders>
                  <w:vAlign w:val="center"/>
                  <w:hideMark/>
                </w:tcPr>
                <w:p w:rsidR="00024E35" w:rsidRDefault="00024E35">
                  <w:pPr>
                    <w:pStyle w:val="biaogeleft"/>
                    <w:wordWrap w:val="0"/>
                  </w:pPr>
                  <w:r>
                    <w:rPr>
                      <w:rFonts w:hint="eastAsia"/>
                    </w:rPr>
                    <w:t>500万≤M</w:t>
                  </w:r>
                </w:p>
              </w:tc>
              <w:tc>
                <w:tcPr>
                  <w:tcW w:w="1500" w:type="pct"/>
                  <w:tcBorders>
                    <w:top w:val="single" w:sz="8" w:space="0" w:color="000000"/>
                    <w:left w:val="single" w:sz="8" w:space="0" w:color="000000"/>
                    <w:bottom w:val="single" w:sz="6" w:space="0" w:color="000000"/>
                    <w:right w:val="single" w:sz="8" w:space="0" w:color="000000"/>
                  </w:tcBorders>
                  <w:vAlign w:val="center"/>
                  <w:hideMark/>
                </w:tcPr>
                <w:p w:rsidR="00024E35" w:rsidRDefault="00024E35">
                  <w:pPr>
                    <w:pStyle w:val="biaogeleft"/>
                    <w:wordWrap w:val="0"/>
                    <w:rPr>
                      <w:rFonts w:hint="eastAsia"/>
                    </w:rPr>
                  </w:pPr>
                  <w:r>
                    <w:rPr>
                      <w:rFonts w:hint="eastAsia"/>
                    </w:rPr>
                    <w:t>1000.00元/笔</w:t>
                  </w:r>
                </w:p>
              </w:tc>
              <w:tc>
                <w:tcPr>
                  <w:tcW w:w="1500" w:type="pct"/>
                  <w:tcBorders>
                    <w:top w:val="single" w:sz="8" w:space="0" w:color="000000"/>
                    <w:left w:val="single" w:sz="8" w:space="0" w:color="000000"/>
                    <w:bottom w:val="single" w:sz="6" w:space="0" w:color="000000"/>
                    <w:right w:val="single" w:sz="8" w:space="0" w:color="000000"/>
                  </w:tcBorders>
                  <w:vAlign w:val="center"/>
                  <w:hideMark/>
                </w:tcPr>
                <w:p w:rsidR="00024E35" w:rsidRPr="004F5E6D" w:rsidRDefault="00024E35">
                  <w:pPr>
                    <w:rPr>
                      <w:rFonts w:hint="eastAsia"/>
                    </w:rPr>
                  </w:pPr>
                </w:p>
              </w:tc>
            </w:tr>
          </w:tbl>
          <w:p w:rsidR="00024E35" w:rsidRDefault="00024E35">
            <w:pPr>
              <w:widowControl/>
              <w:jc w:val="left"/>
              <w:rPr>
                <w:rFonts w:ascii="宋体" w:hAnsi="宋体" w:cs="宋体"/>
                <w:kern w:val="0"/>
                <w:sz w:val="24"/>
                <w:szCs w:val="24"/>
              </w:rPr>
            </w:pPr>
          </w:p>
        </w:tc>
      </w:tr>
    </w:tbl>
    <w:p w:rsidR="00024E35" w:rsidRDefault="00024E35">
      <w:pPr>
        <w:pStyle w:val="neirong"/>
        <w:divId w:val="2000113902"/>
      </w:pPr>
      <w:r>
        <w:rPr>
          <w:rFonts w:hint="eastAsia"/>
        </w:rPr>
        <w:t>  本基金的申购费用由投资人承担，主要用于本基金的市场推广、销售、登记等各项费用，不列入基金财产。</w:t>
      </w:r>
      <w:r>
        <w:rPr>
          <w:rFonts w:hint="eastAsia"/>
        </w:rPr>
        <w:br/>
        <w:t>  基金管理人可以在基金合同约定的范围内调整费率或收费方式，并依照《信息披露办法》的有关规定进行公告。</w:t>
      </w:r>
    </w:p>
    <w:p w:rsidR="00024E35" w:rsidRDefault="00024E35">
      <w:pPr>
        <w:widowControl/>
        <w:jc w:val="left"/>
        <w:divId w:val="2000113902"/>
        <w:rPr>
          <w:rFonts w:ascii="宋体" w:hAnsi="宋体" w:cs="宋体" w:hint="eastAsia"/>
          <w:kern w:val="0"/>
          <w:sz w:val="24"/>
          <w:szCs w:val="24"/>
        </w:rPr>
      </w:pPr>
    </w:p>
    <w:p w:rsidR="00024E35" w:rsidRDefault="00024E35">
      <w:pPr>
        <w:pStyle w:val="zhangjiep"/>
        <w:divId w:val="2000113902"/>
        <w:rPr>
          <w:rFonts w:hint="eastAsia"/>
        </w:rPr>
      </w:pPr>
      <w:r>
        <w:rPr>
          <w:rFonts w:hint="eastAsia"/>
          <w:b/>
          <w:bCs/>
        </w:rPr>
        <w:t>3.3 其他与申购相关的事项</w:t>
      </w:r>
    </w:p>
    <w:p w:rsidR="00024E35" w:rsidRDefault="00024E35">
      <w:pPr>
        <w:pStyle w:val="biaogeleft"/>
        <w:ind w:firstLine="480"/>
        <w:divId w:val="2000113902"/>
        <w:rPr>
          <w:rFonts w:hint="eastAsia"/>
        </w:rPr>
      </w:pPr>
      <w:r>
        <w:rPr>
          <w:rFonts w:hint="eastAsia"/>
        </w:rPr>
        <w:t>1、"未知价"原则，即申购价格以申请当日收市后计算的基金份额净值为基准进行计算。</w:t>
      </w:r>
    </w:p>
    <w:p w:rsidR="00024E35" w:rsidRDefault="00024E35">
      <w:pPr>
        <w:pStyle w:val="biaogeleft"/>
        <w:ind w:firstLine="480"/>
        <w:divId w:val="2000113902"/>
        <w:rPr>
          <w:rFonts w:hint="eastAsia"/>
        </w:rPr>
      </w:pPr>
      <w:r>
        <w:rPr>
          <w:rFonts w:hint="eastAsia"/>
        </w:rPr>
        <w:t>2、"金额申购"原则，即申购以金额申请。</w:t>
      </w:r>
    </w:p>
    <w:p w:rsidR="00024E35" w:rsidRDefault="00024E35">
      <w:pPr>
        <w:pStyle w:val="biaogeleft"/>
        <w:ind w:firstLine="480"/>
        <w:divId w:val="2000113902"/>
        <w:rPr>
          <w:rFonts w:hint="eastAsia"/>
        </w:rPr>
      </w:pPr>
      <w:r>
        <w:rPr>
          <w:rFonts w:hint="eastAsia"/>
        </w:rPr>
        <w:t>3、当日的申购申请可以在基金管理人规定的时间以内撤销。</w:t>
      </w:r>
    </w:p>
    <w:p w:rsidR="00024E35" w:rsidRDefault="00024E35">
      <w:pPr>
        <w:pStyle w:val="biaogeleft"/>
        <w:ind w:firstLine="480"/>
        <w:divId w:val="2000113902"/>
        <w:rPr>
          <w:rFonts w:hint="eastAsia"/>
        </w:rPr>
      </w:pPr>
      <w:r>
        <w:rPr>
          <w:rFonts w:hint="eastAsia"/>
        </w:rPr>
        <w:t>4、办理申购业务时，应当遵循基金份额持有人利益优先原则。</w:t>
      </w:r>
    </w:p>
    <w:p w:rsidR="00024E35" w:rsidRDefault="00024E35">
      <w:pPr>
        <w:pStyle w:val="biaogeleft"/>
        <w:ind w:firstLine="480"/>
        <w:divId w:val="2000113902"/>
        <w:rPr>
          <w:rFonts w:hint="eastAsia"/>
        </w:rPr>
      </w:pPr>
      <w:r>
        <w:rPr>
          <w:rFonts w:hint="eastAsia"/>
        </w:rPr>
        <w:t>5、投资人申购基金份额时，必须全额交付申购款项，投资人全额交付申购款项，申购申请成立；登记机构确认基金份额时，申购生效。</w:t>
      </w:r>
    </w:p>
    <w:p w:rsidR="00024E35" w:rsidRDefault="00024E35">
      <w:pPr>
        <w:pStyle w:val="biaogeleft"/>
        <w:ind w:firstLine="480"/>
        <w:divId w:val="2000113902"/>
        <w:rPr>
          <w:rFonts w:hint="eastAsia"/>
        </w:rPr>
      </w:pPr>
      <w:r>
        <w:rPr>
          <w:rFonts w:hint="eastAsia"/>
        </w:rPr>
        <w:t>6、基金管理人应以交易时间结束前受理有效申购申请的当天作为申购申请日（T日），在正常情况下，本基金登记机构在T+1日内对该交易的有效性进行确认。T日提交的有效申请，投资人应在T+2日后（包括该日）及时到销售网点柜台或以销售机构规定的其他方式查询申请的确认情况。若申购不成功或无效，则申购款项本金退还给投资人。</w:t>
      </w:r>
    </w:p>
    <w:p w:rsidR="00024E35" w:rsidRDefault="00024E35">
      <w:pPr>
        <w:pStyle w:val="biaogeleft"/>
        <w:ind w:firstLine="480"/>
        <w:divId w:val="2000113902"/>
        <w:rPr>
          <w:rFonts w:hint="eastAsia"/>
        </w:rPr>
      </w:pPr>
      <w:r>
        <w:rPr>
          <w:rFonts w:hint="eastAsia"/>
        </w:rPr>
        <w:t>基金销售机构对申购申请的受理并不代表申请一定成功，而仅代表销售机构确实接收到申请。申购申请的确认以登记机构的确认结果为准。对于申请的确认情况，投资者应及时查询。</w:t>
      </w:r>
    </w:p>
    <w:p w:rsidR="00024E35" w:rsidRDefault="00024E35">
      <w:pPr>
        <w:pStyle w:val="biaogeleft"/>
        <w:ind w:firstLine="480"/>
        <w:divId w:val="2000113902"/>
        <w:rPr>
          <w:rFonts w:hint="eastAsia"/>
        </w:rPr>
      </w:pPr>
      <w:r>
        <w:rPr>
          <w:rFonts w:hint="eastAsia"/>
        </w:rPr>
        <w:t>7、当发生大额申购情形时，基金管理人可以采用摆动定价机制以确保基金估值的公平性。具体处理原则与操作规范遵循相关法律法规以及监管部门、自律规则的规定。</w:t>
      </w:r>
    </w:p>
    <w:p w:rsidR="00024E35" w:rsidRDefault="00024E35">
      <w:pPr>
        <w:pStyle w:val="biaogeleft"/>
        <w:ind w:firstLine="480"/>
        <w:divId w:val="2000113902"/>
        <w:rPr>
          <w:rFonts w:hint="eastAsia"/>
        </w:rPr>
      </w:pPr>
      <w:r>
        <w:rPr>
          <w:rFonts w:hint="eastAsia"/>
        </w:rPr>
        <w:t>8、基金管理人可以在法律法规和基金合同允许的范围内，对上述业务办理时间、业务规则等进行调整，并在调整实施前依照《信息披露办法》的有关规定在指定媒介上公告。</w:t>
      </w:r>
    </w:p>
    <w:p w:rsidR="00024E35" w:rsidRDefault="00024E35">
      <w:pPr>
        <w:widowControl/>
        <w:jc w:val="left"/>
        <w:divId w:val="2000113902"/>
        <w:rPr>
          <w:rFonts w:ascii="宋体" w:hAnsi="宋体" w:cs="宋体" w:hint="eastAsia"/>
          <w:kern w:val="0"/>
          <w:sz w:val="24"/>
          <w:szCs w:val="24"/>
        </w:rPr>
      </w:pPr>
    </w:p>
    <w:p w:rsidR="00024E35" w:rsidRDefault="00024E35">
      <w:pPr>
        <w:pStyle w:val="dazhangjie"/>
        <w:divId w:val="1575772025"/>
        <w:rPr>
          <w:rFonts w:hint="eastAsia"/>
        </w:rPr>
      </w:pPr>
      <w:r>
        <w:rPr>
          <w:rFonts w:hint="eastAsia"/>
          <w:b/>
          <w:bCs/>
        </w:rPr>
        <w:t>4 日常赎回业务</w:t>
      </w:r>
    </w:p>
    <w:p w:rsidR="00024E35" w:rsidRDefault="00024E35">
      <w:pPr>
        <w:widowControl/>
        <w:jc w:val="left"/>
        <w:divId w:val="1575772025"/>
        <w:rPr>
          <w:rFonts w:ascii="宋体" w:hAnsi="宋体" w:cs="宋体" w:hint="eastAsia"/>
          <w:kern w:val="0"/>
          <w:sz w:val="24"/>
          <w:szCs w:val="24"/>
        </w:rPr>
      </w:pPr>
    </w:p>
    <w:p w:rsidR="00024E35" w:rsidRDefault="00024E35">
      <w:pPr>
        <w:pStyle w:val="zhangjiep"/>
        <w:divId w:val="1575772025"/>
        <w:rPr>
          <w:rFonts w:hint="eastAsia"/>
        </w:rPr>
      </w:pPr>
      <w:r>
        <w:rPr>
          <w:rFonts w:hint="eastAsia"/>
          <w:b/>
          <w:bCs/>
        </w:rPr>
        <w:t>4.1 赎回份额限制</w:t>
      </w:r>
    </w:p>
    <w:p w:rsidR="00024E35" w:rsidRDefault="00024E35">
      <w:pPr>
        <w:pStyle w:val="neirong"/>
        <w:divId w:val="1575772025"/>
        <w:rPr>
          <w:rFonts w:hint="eastAsia"/>
        </w:rPr>
      </w:pPr>
      <w:r>
        <w:rPr>
          <w:rFonts w:hint="eastAsia"/>
        </w:rPr>
        <w:t>  每个交易账户最低持有基金份额余额为1份，若某笔赎回导致单个交易账户的基金份额余额少于1份时，余额部分基金份额必须一同赎回。</w:t>
      </w:r>
      <w:r>
        <w:rPr>
          <w:rFonts w:hint="eastAsia"/>
        </w:rPr>
        <w:br/>
        <w:t>  基金管理人可在法律法规允许的情况下，调整上述规定赎回份额等数量限制。基金管理人必须在调整实施前依照《信息披露办法》的有关规定进行公告。</w:t>
      </w:r>
    </w:p>
    <w:p w:rsidR="00024E35" w:rsidRDefault="00024E35">
      <w:pPr>
        <w:widowControl/>
        <w:jc w:val="left"/>
        <w:divId w:val="1575772025"/>
        <w:rPr>
          <w:rFonts w:ascii="宋体" w:hAnsi="宋体" w:cs="宋体" w:hint="eastAsia"/>
          <w:kern w:val="0"/>
          <w:sz w:val="24"/>
          <w:szCs w:val="24"/>
        </w:rPr>
      </w:pPr>
    </w:p>
    <w:p w:rsidR="00024E35" w:rsidRDefault="00024E35">
      <w:pPr>
        <w:pStyle w:val="zhangjiep"/>
        <w:divId w:val="1575772025"/>
        <w:rPr>
          <w:rFonts w:hint="eastAsia"/>
        </w:rPr>
      </w:pPr>
      <w:r>
        <w:rPr>
          <w:rFonts w:hint="eastAsia"/>
          <w:b/>
          <w:bCs/>
        </w:rPr>
        <w:t>4.2 赎回费率</w:t>
      </w:r>
    </w:p>
    <w:p w:rsidR="00024E35" w:rsidRDefault="00024E35">
      <w:pPr>
        <w:pStyle w:val="neirong"/>
        <w:divId w:val="1575772025"/>
        <w:rPr>
          <w:rFonts w:hint="eastAsia"/>
        </w:rPr>
      </w:pPr>
      <w:r>
        <w:rPr>
          <w:rFonts w:hint="eastAsia"/>
        </w:rPr>
        <w:t>赎回费率如下：</w:t>
      </w:r>
      <w:r>
        <w:rPr>
          <w:rFonts w:hint="eastAsia"/>
        </w:rPr>
        <w:br/>
        <w:t>1、持有期间在同一开放期内申购后又赎回且持续持有期少于7日，按1.50%赎回费率收取赎回费。</w:t>
      </w:r>
      <w:r>
        <w:rPr>
          <w:rFonts w:hint="eastAsia"/>
        </w:rPr>
        <w:br/>
        <w:t>2、在同一开放期内申购后又赎回且持续持有期不少于7日，按0.10%赎回费率收取赎回费。 </w:t>
      </w:r>
      <w:r>
        <w:rPr>
          <w:rFonts w:hint="eastAsia"/>
        </w:rPr>
        <w:br/>
        <w:t>3、持有一个及一个以上封闭期，按0%赎回费率收取赎回费。 </w:t>
      </w:r>
      <w:r>
        <w:rPr>
          <w:rFonts w:hint="eastAsia"/>
        </w:rPr>
        <w:br/>
        <w:t>4、本基金的赎回费用由基金份额持有人承担，赎回费100%计入基金财产。</w:t>
      </w:r>
      <w:r>
        <w:rPr>
          <w:rFonts w:hint="eastAsia"/>
        </w:rPr>
        <w:br/>
        <w:t>基金管理人可以在基金合同约定的范围内调整费率或收费方式，并依照《信息披露办法》的有关规定进行公告。</w:t>
      </w:r>
    </w:p>
    <w:p w:rsidR="00024E35" w:rsidRDefault="00024E35">
      <w:pPr>
        <w:widowControl/>
        <w:jc w:val="left"/>
        <w:divId w:val="1575772025"/>
        <w:rPr>
          <w:rFonts w:ascii="宋体" w:hAnsi="宋体" w:cs="宋体" w:hint="eastAsia"/>
          <w:kern w:val="0"/>
          <w:sz w:val="24"/>
          <w:szCs w:val="24"/>
        </w:rPr>
      </w:pPr>
    </w:p>
    <w:p w:rsidR="00024E35" w:rsidRDefault="00024E35">
      <w:pPr>
        <w:pStyle w:val="zhangjiep"/>
        <w:divId w:val="1575772025"/>
        <w:rPr>
          <w:rFonts w:hint="eastAsia"/>
        </w:rPr>
      </w:pPr>
      <w:r>
        <w:rPr>
          <w:rFonts w:hint="eastAsia"/>
          <w:b/>
          <w:bCs/>
        </w:rPr>
        <w:t>4.3 其他与赎回相关的事项</w:t>
      </w:r>
    </w:p>
    <w:p w:rsidR="00024E35" w:rsidRDefault="00024E35">
      <w:pPr>
        <w:pStyle w:val="biaogeleft"/>
        <w:ind w:firstLine="480"/>
        <w:divId w:val="1575772025"/>
        <w:rPr>
          <w:rFonts w:hint="eastAsia"/>
        </w:rPr>
      </w:pPr>
      <w:r>
        <w:rPr>
          <w:rFonts w:hint="eastAsia"/>
        </w:rPr>
        <w:t>1、"未知价"原则，即赎回价格以申请当日收市后计算的基金份额净值为基准进行计算。</w:t>
      </w:r>
    </w:p>
    <w:p w:rsidR="00024E35" w:rsidRDefault="00024E35">
      <w:pPr>
        <w:pStyle w:val="biaogeleft"/>
        <w:ind w:firstLine="480"/>
        <w:divId w:val="1575772025"/>
        <w:rPr>
          <w:rFonts w:hint="eastAsia"/>
        </w:rPr>
      </w:pPr>
      <w:r>
        <w:rPr>
          <w:rFonts w:hint="eastAsia"/>
        </w:rPr>
        <w:t>2、"份额赎回"原则，即赎回以份额申请。</w:t>
      </w:r>
    </w:p>
    <w:p w:rsidR="00024E35" w:rsidRDefault="00024E35">
      <w:pPr>
        <w:pStyle w:val="biaogeleft"/>
        <w:ind w:firstLine="480"/>
        <w:divId w:val="1575772025"/>
        <w:rPr>
          <w:rFonts w:hint="eastAsia"/>
        </w:rPr>
      </w:pPr>
      <w:r>
        <w:rPr>
          <w:rFonts w:hint="eastAsia"/>
        </w:rPr>
        <w:t>3、当日的赎回申请可以在基金管理人规定的时间以内撤销。</w:t>
      </w:r>
    </w:p>
    <w:p w:rsidR="00024E35" w:rsidRDefault="00024E35">
      <w:pPr>
        <w:pStyle w:val="biaogeleft"/>
        <w:ind w:firstLine="480"/>
        <w:divId w:val="1575772025"/>
        <w:rPr>
          <w:rFonts w:hint="eastAsia"/>
        </w:rPr>
      </w:pPr>
      <w:r>
        <w:rPr>
          <w:rFonts w:hint="eastAsia"/>
        </w:rPr>
        <w:t>4、赎回遵循"先进先出"原则，即按照投资人认购、申购的先后次序进行顺序赎回。</w:t>
      </w:r>
    </w:p>
    <w:p w:rsidR="00024E35" w:rsidRDefault="00024E35">
      <w:pPr>
        <w:pStyle w:val="biaogeleft"/>
        <w:ind w:firstLine="480"/>
        <w:divId w:val="1575772025"/>
        <w:rPr>
          <w:rFonts w:hint="eastAsia"/>
        </w:rPr>
      </w:pPr>
      <w:r>
        <w:rPr>
          <w:rFonts w:hint="eastAsia"/>
        </w:rPr>
        <w:t>5、办理赎回业务时，应当遵循基金份额持有人利益优先原则。</w:t>
      </w:r>
    </w:p>
    <w:p w:rsidR="00024E35" w:rsidRDefault="00024E35">
      <w:pPr>
        <w:pStyle w:val="biaogeleft"/>
        <w:ind w:firstLine="480"/>
        <w:divId w:val="1575772025"/>
        <w:rPr>
          <w:rFonts w:hint="eastAsia"/>
        </w:rPr>
      </w:pPr>
      <w:r>
        <w:rPr>
          <w:rFonts w:hint="eastAsia"/>
        </w:rPr>
        <w:t>6、基金份额持有人递交赎回申请，赎回成立；登记机构确认赎回时，赎回生效。投资人赎回申请生效后，基金管理人将在T＋7日（包括该日）内支付赎回款项。在发生巨额赎回或基金合同约定的其他暂停赎回或延缓支付赎回款项的情形时，款项的支付办法参照基金合同有关条款处理。</w:t>
      </w:r>
    </w:p>
    <w:p w:rsidR="00024E35" w:rsidRDefault="00024E35">
      <w:pPr>
        <w:pStyle w:val="biaogeleft"/>
        <w:ind w:firstLine="480"/>
        <w:divId w:val="1575772025"/>
        <w:rPr>
          <w:rFonts w:hint="eastAsia"/>
        </w:rPr>
      </w:pPr>
      <w:r>
        <w:rPr>
          <w:rFonts w:hint="eastAsia"/>
        </w:rPr>
        <w:t>遇交易所或交易市场数据传输延迟、通讯系统故障、银行数据交换系统故障或其他非基金管理人及基金托管人所能控制的因素影响业务处理流程，则赎回款项划付时间相应顺延至该影响因素消除的最近一个工作日。</w:t>
      </w:r>
    </w:p>
    <w:p w:rsidR="00024E35" w:rsidRDefault="00024E35">
      <w:pPr>
        <w:pStyle w:val="biaogeleft"/>
        <w:ind w:firstLine="480"/>
        <w:divId w:val="1575772025"/>
        <w:rPr>
          <w:rFonts w:hint="eastAsia"/>
        </w:rPr>
      </w:pPr>
      <w:r>
        <w:rPr>
          <w:rFonts w:hint="eastAsia"/>
        </w:rPr>
        <w:t>7、基金管理人应以交易时间结束前受理有效赎回申请的当天作为赎回申请日（T日），在正常情况下，本基金登记机构在T+1日内对该交易的有效性进行确认。T日提交的有效申请，投资人应在T+2日后（包括该日）及时到销售网点柜台或以销售机构规定的其他方式查询申请的确认情况。</w:t>
      </w:r>
    </w:p>
    <w:p w:rsidR="00024E35" w:rsidRDefault="00024E35">
      <w:pPr>
        <w:pStyle w:val="biaogeleft"/>
        <w:ind w:firstLine="480"/>
        <w:divId w:val="1575772025"/>
        <w:rPr>
          <w:rFonts w:hint="eastAsia"/>
        </w:rPr>
      </w:pPr>
      <w:r>
        <w:rPr>
          <w:rFonts w:hint="eastAsia"/>
        </w:rPr>
        <w:t>基金销售机构对赎回申请的受理并不代表申请一定成功，而仅代表销售机构确实接收到申请。赎回申请的确认以登记机构的确认结果为准。对于申请的确认情况，投资者应及时查询。</w:t>
      </w:r>
    </w:p>
    <w:p w:rsidR="00024E35" w:rsidRDefault="00024E35">
      <w:pPr>
        <w:pStyle w:val="biaogeleft"/>
        <w:ind w:firstLine="480"/>
        <w:divId w:val="1575772025"/>
        <w:rPr>
          <w:rFonts w:hint="eastAsia"/>
        </w:rPr>
      </w:pPr>
      <w:r>
        <w:rPr>
          <w:rFonts w:hint="eastAsia"/>
        </w:rPr>
        <w:t>8、当发生大额赎回情形时，基金管理人可以采用摆动定价机制以确保基金估值的公平性。具体处理原则与操作规范遵循相关法律法规以及监管部门、自律规则的规定。</w:t>
      </w:r>
    </w:p>
    <w:p w:rsidR="00024E35" w:rsidRDefault="00024E35">
      <w:pPr>
        <w:pStyle w:val="biaogeleft"/>
        <w:ind w:firstLine="480"/>
        <w:divId w:val="1575772025"/>
        <w:rPr>
          <w:rFonts w:hint="eastAsia"/>
        </w:rPr>
      </w:pPr>
      <w:r>
        <w:rPr>
          <w:rFonts w:hint="eastAsia"/>
        </w:rPr>
        <w:t>9、基金管理人可以在法律法规和基金合同允许的范围内，对上述业务办理时间、业务规则等进行调整，并在调整实施前依照《信息披露办法》的有关规定在指定媒介上公告。</w:t>
      </w:r>
    </w:p>
    <w:p w:rsidR="00024E35" w:rsidRDefault="00024E35">
      <w:pPr>
        <w:widowControl/>
        <w:jc w:val="left"/>
        <w:divId w:val="1575772025"/>
        <w:rPr>
          <w:rFonts w:ascii="宋体" w:hAnsi="宋体" w:cs="宋体" w:hint="eastAsia"/>
          <w:kern w:val="0"/>
          <w:sz w:val="24"/>
          <w:szCs w:val="24"/>
        </w:rPr>
      </w:pPr>
    </w:p>
    <w:p w:rsidR="00024E35" w:rsidRDefault="00024E35">
      <w:pPr>
        <w:pStyle w:val="dazhangjie"/>
        <w:divId w:val="702904986"/>
        <w:rPr>
          <w:rFonts w:hint="eastAsia"/>
        </w:rPr>
      </w:pPr>
      <w:r>
        <w:rPr>
          <w:rFonts w:hint="eastAsia"/>
          <w:b/>
          <w:bCs/>
        </w:rPr>
        <w:t>5 基金销售机构</w:t>
      </w:r>
    </w:p>
    <w:p w:rsidR="00024E35" w:rsidRDefault="00024E35">
      <w:pPr>
        <w:widowControl/>
        <w:jc w:val="left"/>
        <w:divId w:val="702904986"/>
        <w:rPr>
          <w:rFonts w:ascii="宋体" w:hAnsi="宋体" w:cs="宋体" w:hint="eastAsia"/>
          <w:kern w:val="0"/>
          <w:sz w:val="24"/>
          <w:szCs w:val="24"/>
        </w:rPr>
      </w:pPr>
    </w:p>
    <w:p w:rsidR="00024E35" w:rsidRDefault="00024E35">
      <w:pPr>
        <w:pStyle w:val="zhangjiep"/>
        <w:divId w:val="702904986"/>
        <w:rPr>
          <w:rFonts w:hint="eastAsia"/>
        </w:rPr>
      </w:pPr>
      <w:r>
        <w:rPr>
          <w:rFonts w:hint="eastAsia"/>
          <w:b/>
          <w:bCs/>
        </w:rPr>
        <w:t>5.1 场外销售机构</w:t>
      </w:r>
    </w:p>
    <w:p w:rsidR="00024E35" w:rsidRDefault="00024E35">
      <w:pPr>
        <w:pStyle w:val="zhangjiep"/>
        <w:divId w:val="702904986"/>
        <w:rPr>
          <w:rFonts w:hint="eastAsia"/>
        </w:rPr>
      </w:pPr>
      <w:r>
        <w:rPr>
          <w:rFonts w:hint="eastAsia"/>
          <w:b/>
          <w:bCs/>
        </w:rPr>
        <w:t>5.1.1 直销机构</w:t>
      </w:r>
    </w:p>
    <w:p w:rsidR="00024E35" w:rsidRDefault="00024E35">
      <w:pPr>
        <w:pStyle w:val="neirong"/>
        <w:divId w:val="702904986"/>
        <w:rPr>
          <w:rFonts w:hint="eastAsia"/>
        </w:rPr>
      </w:pPr>
      <w:r>
        <w:rPr>
          <w:rFonts w:hint="eastAsia"/>
        </w:rPr>
        <w:t>  山证（上海）资产管理有限公司</w:t>
      </w:r>
      <w:r>
        <w:rPr>
          <w:rFonts w:hint="eastAsia"/>
        </w:rPr>
        <w:br/>
        <w:t>  办公地址：上海市浦东新区浦明路1436号陆家嘴滨江中心N5座</w:t>
      </w:r>
      <w:r>
        <w:rPr>
          <w:rFonts w:hint="eastAsia"/>
        </w:rPr>
        <w:br/>
        <w:t>  法定代表人：谢卫</w:t>
      </w:r>
      <w:r>
        <w:rPr>
          <w:rFonts w:hint="eastAsia"/>
        </w:rPr>
        <w:br/>
        <w:t>  联系电话：（0351）95573</w:t>
      </w:r>
      <w:r>
        <w:rPr>
          <w:rFonts w:hint="eastAsia"/>
        </w:rPr>
        <w:br/>
        <w:t>  传真：（021）38126020</w:t>
      </w:r>
      <w:r>
        <w:rPr>
          <w:rFonts w:hint="eastAsia"/>
        </w:rPr>
        <w:br/>
        <w:t>  网址：https://szzg.sxzq.com/ </w:t>
      </w:r>
    </w:p>
    <w:p w:rsidR="00024E35" w:rsidRDefault="00024E35">
      <w:pPr>
        <w:pStyle w:val="zhangjiep"/>
        <w:divId w:val="702904986"/>
        <w:rPr>
          <w:rFonts w:hint="eastAsia"/>
        </w:rPr>
      </w:pPr>
      <w:r>
        <w:rPr>
          <w:rFonts w:hint="eastAsia"/>
          <w:b/>
          <w:bCs/>
        </w:rPr>
        <w:t>5.1.2 场外非直销机构</w:t>
      </w:r>
    </w:p>
    <w:p w:rsidR="00024E35" w:rsidRDefault="00024E35">
      <w:pPr>
        <w:pStyle w:val="neirong"/>
        <w:divId w:val="702904986"/>
        <w:rPr>
          <w:rFonts w:hint="eastAsia"/>
        </w:rPr>
      </w:pPr>
      <w:r>
        <w:rPr>
          <w:rFonts w:hint="eastAsia"/>
        </w:rPr>
        <w:t>  （1）山西证券股份有限公司营业部</w:t>
      </w:r>
      <w:r>
        <w:rPr>
          <w:rFonts w:hint="eastAsia"/>
        </w:rPr>
        <w:br/>
        <w:t>  注册地址：山西省太原市府西街69号山西国际贸易中心东塔楼</w:t>
      </w:r>
      <w:r>
        <w:rPr>
          <w:rFonts w:hint="eastAsia"/>
        </w:rPr>
        <w:br/>
        <w:t>  办公地址：山西省太原市府西街69号山西国际贸易中心东塔楼</w:t>
      </w:r>
      <w:r>
        <w:rPr>
          <w:rFonts w:hint="eastAsia"/>
        </w:rPr>
        <w:br/>
        <w:t>  法定代表人：王怡里 </w:t>
      </w:r>
      <w:r>
        <w:rPr>
          <w:rFonts w:hint="eastAsia"/>
        </w:rPr>
        <w:br/>
        <w:t>  联系人：方继东</w:t>
      </w:r>
      <w:r>
        <w:rPr>
          <w:rFonts w:hint="eastAsia"/>
        </w:rPr>
        <w:br/>
        <w:t>  客服电话：95573</w:t>
      </w:r>
      <w:r>
        <w:rPr>
          <w:rFonts w:hint="eastAsia"/>
        </w:rPr>
        <w:br/>
        <w:t>  网站：www.i618.com.cn</w:t>
      </w:r>
      <w:r>
        <w:rPr>
          <w:rFonts w:hint="eastAsia"/>
        </w:rPr>
        <w:br/>
        <w:t>  （2）交通银行股份有限公司 </w:t>
      </w:r>
      <w:r>
        <w:rPr>
          <w:rFonts w:hint="eastAsia"/>
        </w:rPr>
        <w:br/>
        <w:t>  注册地址：上海市浦东新区银城中路188号</w:t>
      </w:r>
      <w:r>
        <w:rPr>
          <w:rFonts w:hint="eastAsia"/>
        </w:rPr>
        <w:br/>
        <w:t>  办公地址：上海市浦东新区银城中路188号</w:t>
      </w:r>
      <w:r>
        <w:rPr>
          <w:rFonts w:hint="eastAsia"/>
        </w:rPr>
        <w:br/>
        <w:t>  法定代表人：任德奇</w:t>
      </w:r>
      <w:r>
        <w:rPr>
          <w:rFonts w:hint="eastAsia"/>
        </w:rPr>
        <w:br/>
        <w:t>  联系人：高天</w:t>
      </w:r>
      <w:r>
        <w:rPr>
          <w:rFonts w:hint="eastAsia"/>
        </w:rPr>
        <w:br/>
        <w:t>  客服电话：95559 </w:t>
      </w:r>
      <w:r>
        <w:rPr>
          <w:rFonts w:hint="eastAsia"/>
        </w:rPr>
        <w:br/>
        <w:t>  网址: www.bankcomm.com</w:t>
      </w:r>
      <w:r>
        <w:rPr>
          <w:rFonts w:hint="eastAsia"/>
        </w:rPr>
        <w:br/>
        <w:t>  （3）晋商银行股份有限公司</w:t>
      </w:r>
      <w:r>
        <w:rPr>
          <w:rFonts w:hint="eastAsia"/>
        </w:rPr>
        <w:br/>
        <w:t>  注册地址：山西省太原市小店区长风西街59号</w:t>
      </w:r>
      <w:r>
        <w:rPr>
          <w:rFonts w:hint="eastAsia"/>
        </w:rPr>
        <w:br/>
        <w:t>  办公地址：山西省太原市小店区长风西街59号</w:t>
      </w:r>
      <w:r>
        <w:rPr>
          <w:rFonts w:hint="eastAsia"/>
        </w:rPr>
        <w:br/>
        <w:t>  法定代表人：郝强</w:t>
      </w:r>
      <w:r>
        <w:rPr>
          <w:rFonts w:hint="eastAsia"/>
        </w:rPr>
        <w:br/>
        <w:t>  联系人：孟春霖</w:t>
      </w:r>
      <w:r>
        <w:rPr>
          <w:rFonts w:hint="eastAsia"/>
        </w:rPr>
        <w:br/>
        <w:t>  客服电话：9510-5588  </w:t>
      </w:r>
      <w:r>
        <w:rPr>
          <w:rFonts w:hint="eastAsia"/>
        </w:rPr>
        <w:br/>
        <w:t>  网址： www.jshbank.com</w:t>
      </w:r>
      <w:r>
        <w:rPr>
          <w:rFonts w:hint="eastAsia"/>
        </w:rPr>
        <w:br/>
        <w:t>  （4）诺亚正行基金销售有限公司</w:t>
      </w:r>
      <w:r>
        <w:rPr>
          <w:rFonts w:hint="eastAsia"/>
        </w:rPr>
        <w:br/>
        <w:t>  注册地址：上海市虹口区飞虹路360弄9号6层</w:t>
      </w:r>
      <w:r>
        <w:rPr>
          <w:rFonts w:hint="eastAsia"/>
        </w:rPr>
        <w:br/>
        <w:t>  办公地址：上海市闵行区申滨南路1226号诺亚财富中心A栋3楼</w:t>
      </w:r>
      <w:r>
        <w:rPr>
          <w:rFonts w:hint="eastAsia"/>
        </w:rPr>
        <w:br/>
        <w:t>  法定代表人：王强</w:t>
      </w:r>
      <w:r>
        <w:rPr>
          <w:rFonts w:hint="eastAsia"/>
        </w:rPr>
        <w:br/>
        <w:t>  联系人：黄欣文</w:t>
      </w:r>
      <w:r>
        <w:rPr>
          <w:rFonts w:hint="eastAsia"/>
        </w:rPr>
        <w:br/>
        <w:t>  客服电话：4008215399</w:t>
      </w:r>
      <w:r>
        <w:rPr>
          <w:rFonts w:hint="eastAsia"/>
        </w:rPr>
        <w:br/>
        <w:t>  网址：www.noah-fund.com</w:t>
      </w:r>
      <w:r>
        <w:rPr>
          <w:rFonts w:hint="eastAsia"/>
        </w:rPr>
        <w:br/>
        <w:t>  </w:t>
      </w:r>
    </w:p>
    <w:p w:rsidR="00024E35" w:rsidRDefault="00024E35">
      <w:pPr>
        <w:pStyle w:val="zhangjiep"/>
        <w:divId w:val="702904986"/>
        <w:rPr>
          <w:rFonts w:hint="eastAsia"/>
        </w:rPr>
      </w:pPr>
      <w:r>
        <w:rPr>
          <w:rFonts w:hint="eastAsia"/>
          <w:b/>
          <w:bCs/>
        </w:rPr>
        <w:t>5.2 场内销售机构</w:t>
      </w:r>
    </w:p>
    <w:p w:rsidR="00024E35" w:rsidRDefault="00024E35">
      <w:pPr>
        <w:widowControl/>
        <w:jc w:val="left"/>
        <w:divId w:val="1369376563"/>
        <w:rPr>
          <w:rFonts w:ascii="宋体" w:hAnsi="宋体" w:cs="宋体" w:hint="eastAsia"/>
          <w:kern w:val="0"/>
          <w:sz w:val="24"/>
          <w:szCs w:val="24"/>
        </w:rPr>
      </w:pPr>
    </w:p>
    <w:p w:rsidR="00024E35" w:rsidRDefault="00024E35">
      <w:pPr>
        <w:pStyle w:val="dazhangjie"/>
        <w:divId w:val="599024126"/>
        <w:rPr>
          <w:rFonts w:hint="eastAsia"/>
        </w:rPr>
      </w:pPr>
      <w:r>
        <w:rPr>
          <w:rFonts w:hint="eastAsia"/>
          <w:b/>
          <w:bCs/>
        </w:rPr>
        <w:t>6 基金份额净值公告/基金收益公告的披露安排</w:t>
      </w:r>
    </w:p>
    <w:p w:rsidR="00024E35" w:rsidRDefault="00024E35">
      <w:pPr>
        <w:pStyle w:val="neirong"/>
        <w:divId w:val="599024126"/>
        <w:rPr>
          <w:rFonts w:hint="eastAsia"/>
        </w:rPr>
      </w:pPr>
      <w:r>
        <w:rPr>
          <w:rFonts w:hint="eastAsia"/>
        </w:rPr>
        <w:t>  在本基金的封闭期内，基金管理人应当至少每周在指定网站披露一次基金份额净值和基金份额累计净值。</w:t>
      </w:r>
      <w:r>
        <w:rPr>
          <w:rFonts w:hint="eastAsia"/>
        </w:rPr>
        <w:br/>
        <w:t>  在本基金的开放期内，基金管理人应当在不晚于每个开放日的次日，通过指定网站、基金销售机构网站或者营业网点披露开放日的基金份额净值和基金份额累计净值。</w:t>
      </w:r>
      <w:r>
        <w:rPr>
          <w:rFonts w:hint="eastAsia"/>
        </w:rPr>
        <w:br/>
        <w:t>  基金管理人应当在不晚于半年度和年度最后一日的次日，在指定网站披露半年度和年度最后一日的基金份额净值和基金份额累计净值。</w:t>
      </w:r>
    </w:p>
    <w:p w:rsidR="00024E35" w:rsidRDefault="00024E35">
      <w:pPr>
        <w:widowControl/>
        <w:jc w:val="left"/>
        <w:divId w:val="599024126"/>
        <w:rPr>
          <w:rFonts w:ascii="宋体" w:hAnsi="宋体" w:cs="宋体" w:hint="eastAsia"/>
          <w:kern w:val="0"/>
          <w:sz w:val="24"/>
          <w:szCs w:val="24"/>
        </w:rPr>
      </w:pPr>
    </w:p>
    <w:p w:rsidR="00024E35" w:rsidRDefault="00024E35">
      <w:pPr>
        <w:pStyle w:val="dazhangjie"/>
        <w:divId w:val="8335560"/>
        <w:rPr>
          <w:rFonts w:hint="eastAsia"/>
        </w:rPr>
      </w:pPr>
      <w:r>
        <w:rPr>
          <w:rFonts w:hint="eastAsia"/>
          <w:b/>
          <w:bCs/>
        </w:rPr>
        <w:t>7 其他需要提示的事项</w:t>
      </w:r>
    </w:p>
    <w:p w:rsidR="00024E35" w:rsidRDefault="00024E35">
      <w:pPr>
        <w:pStyle w:val="neirong"/>
        <w:divId w:val="8335560"/>
        <w:rPr>
          <w:rFonts w:hint="eastAsia"/>
        </w:rPr>
      </w:pPr>
      <w:r>
        <w:rPr>
          <w:rFonts w:hint="eastAsia"/>
        </w:rPr>
        <w:t>  1、本公告仅对本基金本次开放日常申购、赎回等业务的有关事项予以说明。投资者欲了解本基金的详细情况，请登录本公司公募基金业务网站（https://szzg.sxzq.com/）查询《山证资管裕利定期开放债券型发起式证券投资基金基金合同》、《山证资管裕利定期开放债券型发起式证券投资基金招募说明书》。</w:t>
      </w:r>
      <w:r>
        <w:rPr>
          <w:rFonts w:hint="eastAsia"/>
        </w:rPr>
        <w:br/>
        <w:t>  2、投资者可拨打本公司的客户服务电话（95573、0351-95573）了解本基金申购、赎回等事宜，亦可通过本公司公募基金业务网站了解基金相关事宜。</w:t>
      </w:r>
      <w:r>
        <w:rPr>
          <w:rFonts w:hint="eastAsia"/>
        </w:rPr>
        <w:br/>
        <w:t>  3、本基金单一投资者持有的基金份额或者构成一致行动人的多个投资者持有的基金份额可达到或者超过50%，本基金不向个人投资者公开销售。</w:t>
      </w:r>
      <w:r>
        <w:rPr>
          <w:rFonts w:hint="eastAsia"/>
        </w:rPr>
        <w:br/>
        <w:t>  4、基金管理人可在法律法规允许的范围内，在不对基金份额持有人利益造成损害的前提下，对上述业务的办理时间、方式等规则进行调整。基金管理人必须在新规则开始实施前依照《信息披露办法》的有关规定在指定媒介上公告。</w:t>
      </w:r>
      <w:r>
        <w:rPr>
          <w:rFonts w:hint="eastAsia"/>
        </w:rPr>
        <w:br/>
        <w:t>  5、投资人可通过本基金的销售机构办理本基金的申购、赎回业务。投资人应以各代销机构具体规定为准。</w:t>
      </w:r>
      <w:r>
        <w:rPr>
          <w:rFonts w:hint="eastAsia"/>
        </w:rPr>
        <w:br/>
        <w:t>  6、上述业务的解释权归本基金管理人。</w:t>
      </w:r>
      <w:r>
        <w:rPr>
          <w:rFonts w:hint="eastAsia"/>
        </w:rPr>
        <w:br/>
        <w:t>  风险提示：基金管理人承诺以诚实信用、勤勉尽责的原则管理和运用基金资产，但不保证基金一定盈利，也不保证最低收益。投资者投资上述基金前应认真阅读上述基金的基金合同、招募说明书等法律文件，投资与自身风险承受能力相适应的基金。敬请投资者注意投资风险。</w:t>
      </w:r>
      <w:r>
        <w:rPr>
          <w:rFonts w:hint="eastAsia"/>
        </w:rPr>
        <w:br/>
        <w:t>  特此公告。</w:t>
      </w:r>
    </w:p>
    <w:p w:rsidR="00024E35" w:rsidRDefault="00024E35">
      <w:pPr>
        <w:widowControl/>
        <w:jc w:val="left"/>
        <w:divId w:val="8335560"/>
        <w:rPr>
          <w:rFonts w:ascii="宋体" w:hAnsi="宋体" w:cs="宋体" w:hint="eastAsia"/>
          <w:kern w:val="0"/>
          <w:sz w:val="24"/>
          <w:szCs w:val="24"/>
        </w:rPr>
      </w:pPr>
    </w:p>
    <w:p w:rsidR="00024E35" w:rsidRDefault="00024E35">
      <w:pPr>
        <w:pStyle w:val="biaogeright"/>
        <w:rPr>
          <w:rFonts w:hint="eastAsia"/>
        </w:rPr>
      </w:pPr>
      <w:r w:rsidRPr="004F5E6D">
        <w:rPr>
          <w:rFonts w:hAnsi="Calibri" w:hint="eastAsia"/>
          <w:color w:val="000000"/>
        </w:rPr>
        <w:t>山证（上海）资产管理有限公司</w:t>
      </w:r>
    </w:p>
    <w:p w:rsidR="00024E35" w:rsidRDefault="00024E35">
      <w:pPr>
        <w:pStyle w:val="biaogeright"/>
        <w:rPr>
          <w:rFonts w:hint="eastAsia"/>
        </w:rPr>
      </w:pPr>
      <w:r w:rsidRPr="004F5E6D">
        <w:rPr>
          <w:rFonts w:hAnsi="Calibri" w:hint="eastAsia"/>
          <w:color w:val="000000"/>
        </w:rPr>
        <w:t>2026年02月28日</w:t>
      </w:r>
    </w:p>
    <w:sectPr w:rsidR="00024E35">
      <w:pgSz w:w="11926" w:h="15840"/>
      <w:pgMar w:top="1418" w:right="1418" w:bottom="853" w:left="1418" w:header="851" w:footer="992"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5DD8" w:rsidRDefault="00815DD8" w:rsidP="004F5E6D">
      <w:r>
        <w:separator/>
      </w:r>
    </w:p>
  </w:endnote>
  <w:endnote w:type="continuationSeparator" w:id="0">
    <w:p w:rsidR="00815DD8" w:rsidRDefault="00815DD8" w:rsidP="004F5E6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5DD8" w:rsidRDefault="00815DD8" w:rsidP="004F5E6D">
      <w:r>
        <w:separator/>
      </w:r>
    </w:p>
  </w:footnote>
  <w:footnote w:type="continuationSeparator" w:id="0">
    <w:p w:rsidR="00815DD8" w:rsidRDefault="00815DD8" w:rsidP="004F5E6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720"/>
  <w:noPunctuationKerning/>
  <w:characterSpacingControl w:val="compressPunctuation"/>
  <w:hdrShapeDefaults>
    <o:shapedefaults v:ext="edit" spidmax="3074"/>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F5E6D"/>
    <w:rsid w:val="00024E35"/>
    <w:rsid w:val="0035074E"/>
    <w:rsid w:val="004F5E6D"/>
    <w:rsid w:val="00815DD8"/>
    <w:rsid w:val="00FF786D"/>
  </w:rsids>
  <m:mathPr>
    <m:mathFont m:val="Cambria Math"/>
    <m:brkBin m:val="before"/>
    <m:brkBinSub m:val="--"/>
    <m:smallFrac m:val="off"/>
    <m:dispDef/>
    <m:lMargin m:val="0"/>
    <m:rMargin m:val="0"/>
    <m:defJc m:val="centerGroup"/>
    <m:wrapIndent m:val="1440"/>
    <m:intLim m:val="subSup"/>
    <m:naryLim m:val="undOvr"/>
  </m:mathPr>
  <w:uiCompat97To2003/>
  <w:attachedSchema w:val="ht$tp://schemas.microsoft.com/office/2004/12/omml"/>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Calibr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fy">
    <w:name w:val="msonormalfy"/>
    <w:qFormat/>
    <w:pPr>
      <w:widowControl w:val="0"/>
      <w:jc w:val="center"/>
    </w:pPr>
    <w:rPr>
      <w:rFonts w:cs="Times New Roman"/>
      <w:kern w:val="2"/>
      <w:sz w:val="33"/>
      <w:szCs w:val="22"/>
    </w:rPr>
  </w:style>
  <w:style w:type="paragraph" w:customStyle="1" w:styleId="msonormalnone">
    <w:name w:val="msonormal_none"/>
    <w:qFormat/>
    <w:pPr>
      <w:widowControl w:val="0"/>
    </w:pPr>
    <w:rPr>
      <w:rFonts w:cs="Times New Roman"/>
      <w:kern w:val="2"/>
      <w:sz w:val="21"/>
      <w:szCs w:val="22"/>
    </w:rPr>
  </w:style>
  <w:style w:type="paragraph" w:styleId="a3">
    <w:name w:val="header"/>
    <w:basedOn w:val="a"/>
    <w:link w:val="Char"/>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locked/>
    <w:rPr>
      <w:rFonts w:ascii="Times New Roman" w:hAnsi="Times New Roman" w:cs="Times New Roman" w:hint="default"/>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character" w:customStyle="1" w:styleId="Char0">
    <w:name w:val="页脚 Char"/>
    <w:link w:val="a4"/>
    <w:uiPriority w:val="99"/>
    <w:locked/>
    <w:rPr>
      <w:rFonts w:ascii="Times New Roman" w:hAnsi="Times New Roman" w:cs="Times New Roman" w:hint="default"/>
      <w:sz w:val="18"/>
      <w:szCs w:val="18"/>
    </w:rPr>
  </w:style>
  <w:style w:type="paragraph" w:customStyle="1" w:styleId="msonormal1">
    <w:name w:val="msonormal1"/>
    <w:qFormat/>
    <w:pPr>
      <w:widowControl w:val="0"/>
      <w:jc w:val="both"/>
    </w:pPr>
    <w:rPr>
      <w:rFonts w:cs="Times New Roman"/>
      <w:kern w:val="2"/>
      <w:sz w:val="21"/>
      <w:szCs w:val="22"/>
    </w:rPr>
  </w:style>
  <w:style w:type="paragraph" w:customStyle="1" w:styleId="dazhangjie">
    <w:name w:val="dazhangjie"/>
    <w:basedOn w:val="a"/>
    <w:pPr>
      <w:widowControl/>
      <w:autoSpaceDE w:val="0"/>
      <w:autoSpaceDN w:val="0"/>
      <w:adjustRightInd w:val="0"/>
      <w:spacing w:before="30" w:line="288" w:lineRule="auto"/>
      <w:ind w:left="15"/>
      <w:jc w:val="left"/>
      <w:outlineLvl w:val="0"/>
    </w:pPr>
    <w:rPr>
      <w:rFonts w:ascii="宋体" w:hAnsi="宋体" w:cs="宋体"/>
      <w:kern w:val="0"/>
      <w:sz w:val="24"/>
      <w:szCs w:val="24"/>
    </w:rPr>
  </w:style>
  <w:style w:type="paragraph" w:customStyle="1" w:styleId="zhangjiep">
    <w:name w:val="zhangjie_p"/>
    <w:basedOn w:val="a"/>
    <w:pPr>
      <w:widowControl/>
      <w:autoSpaceDE w:val="0"/>
      <w:autoSpaceDN w:val="0"/>
      <w:adjustRightInd w:val="0"/>
      <w:spacing w:before="24" w:line="288" w:lineRule="auto"/>
      <w:ind w:left="15"/>
      <w:jc w:val="left"/>
      <w:outlineLvl w:val="1"/>
    </w:pPr>
    <w:rPr>
      <w:rFonts w:ascii="宋体" w:hAnsi="宋体" w:cs="宋体"/>
      <w:kern w:val="0"/>
      <w:sz w:val="24"/>
      <w:szCs w:val="24"/>
    </w:rPr>
  </w:style>
  <w:style w:type="paragraph" w:customStyle="1" w:styleId="zhangjiep2">
    <w:name w:val="zhangjie_p2"/>
    <w:basedOn w:val="a"/>
    <w:pPr>
      <w:widowControl/>
      <w:autoSpaceDE w:val="0"/>
      <w:autoSpaceDN w:val="0"/>
      <w:adjustRightInd w:val="0"/>
      <w:spacing w:before="24" w:line="288" w:lineRule="auto"/>
      <w:ind w:left="15"/>
      <w:jc w:val="left"/>
    </w:pPr>
    <w:rPr>
      <w:rFonts w:ascii="宋体" w:hAnsi="宋体" w:cs="宋体"/>
      <w:kern w:val="0"/>
      <w:sz w:val="24"/>
      <w:szCs w:val="24"/>
    </w:rPr>
  </w:style>
  <w:style w:type="paragraph" w:customStyle="1" w:styleId="zhongyaotishi">
    <w:name w:val="zhongyaotishi"/>
    <w:basedOn w:val="a"/>
    <w:pPr>
      <w:widowControl/>
      <w:autoSpaceDE w:val="0"/>
      <w:autoSpaceDN w:val="0"/>
      <w:adjustRightInd w:val="0"/>
      <w:spacing w:before="30" w:line="288" w:lineRule="auto"/>
      <w:ind w:left="15" w:firstLine="482"/>
      <w:jc w:val="left"/>
    </w:pPr>
    <w:rPr>
      <w:rFonts w:ascii="宋体" w:hAnsi="宋体" w:cs="宋体"/>
      <w:kern w:val="0"/>
      <w:sz w:val="24"/>
      <w:szCs w:val="24"/>
    </w:rPr>
  </w:style>
  <w:style w:type="paragraph" w:customStyle="1" w:styleId="biaogeleft">
    <w:name w:val="biaoge_left"/>
    <w:basedOn w:val="a"/>
    <w:pPr>
      <w:widowControl/>
      <w:autoSpaceDE w:val="0"/>
      <w:autoSpaceDN w:val="0"/>
      <w:adjustRightInd w:val="0"/>
      <w:spacing w:before="29" w:line="288" w:lineRule="auto"/>
      <w:ind w:left="15"/>
      <w:jc w:val="left"/>
    </w:pPr>
    <w:rPr>
      <w:rFonts w:ascii="宋体" w:hAnsi="宋体" w:cs="宋体"/>
      <w:kern w:val="0"/>
      <w:sz w:val="24"/>
      <w:szCs w:val="24"/>
    </w:rPr>
  </w:style>
  <w:style w:type="paragraph" w:customStyle="1" w:styleId="biaogecenter">
    <w:name w:val="biaoge_center"/>
    <w:basedOn w:val="a"/>
    <w:pPr>
      <w:widowControl/>
      <w:autoSpaceDE w:val="0"/>
      <w:autoSpaceDN w:val="0"/>
      <w:adjustRightInd w:val="0"/>
      <w:spacing w:before="29" w:line="288" w:lineRule="auto"/>
      <w:ind w:left="15"/>
      <w:jc w:val="center"/>
    </w:pPr>
    <w:rPr>
      <w:rFonts w:ascii="宋体" w:hAnsi="宋体" w:cs="宋体"/>
      <w:kern w:val="0"/>
      <w:sz w:val="24"/>
      <w:szCs w:val="24"/>
    </w:rPr>
  </w:style>
  <w:style w:type="paragraph" w:customStyle="1" w:styleId="biaogeright">
    <w:name w:val="biaoge_right"/>
    <w:basedOn w:val="a"/>
    <w:pPr>
      <w:widowControl/>
      <w:autoSpaceDE w:val="0"/>
      <w:autoSpaceDN w:val="0"/>
      <w:adjustRightInd w:val="0"/>
      <w:spacing w:before="29" w:line="288" w:lineRule="auto"/>
      <w:ind w:left="15"/>
      <w:jc w:val="right"/>
    </w:pPr>
    <w:rPr>
      <w:rFonts w:ascii="宋体" w:hAnsi="宋体" w:cs="宋体"/>
      <w:kern w:val="0"/>
      <w:sz w:val="24"/>
      <w:szCs w:val="24"/>
    </w:rPr>
  </w:style>
  <w:style w:type="paragraph" w:customStyle="1" w:styleId="neirong">
    <w:name w:val="neirong"/>
    <w:basedOn w:val="a"/>
    <w:pPr>
      <w:widowControl/>
      <w:autoSpaceDE w:val="0"/>
      <w:autoSpaceDN w:val="0"/>
      <w:adjustRightInd w:val="0"/>
      <w:spacing w:before="29" w:line="360" w:lineRule="auto"/>
      <w:ind w:left="15"/>
      <w:jc w:val="left"/>
    </w:pPr>
    <w:rPr>
      <w:rFonts w:ascii="宋体" w:hAnsi="宋体" w:cs="宋体"/>
      <w:kern w:val="0"/>
      <w:sz w:val="24"/>
      <w:szCs w:val="24"/>
    </w:rPr>
  </w:style>
  <w:style w:type="paragraph" w:customStyle="1" w:styleId="hide">
    <w:name w:val="hide"/>
    <w:basedOn w:val="a"/>
    <w:pPr>
      <w:widowControl/>
      <w:spacing w:before="100" w:beforeAutospacing="1" w:after="100" w:afterAutospacing="1"/>
      <w:jc w:val="left"/>
    </w:pPr>
    <w:rPr>
      <w:rFonts w:ascii="宋体" w:hAnsi="宋体" w:cs="宋体"/>
      <w:vanish/>
      <w:kern w:val="0"/>
      <w:sz w:val="24"/>
      <w:szCs w:val="24"/>
    </w:rPr>
  </w:style>
  <w:style w:type="paragraph" w:customStyle="1" w:styleId="show">
    <w:name w:val="show"/>
    <w:basedOn w:val="a"/>
    <w:pPr>
      <w:widowControl/>
      <w:spacing w:before="100" w:beforeAutospacing="1" w:after="100" w:afterAutospacing="1"/>
      <w:jc w:val="left"/>
    </w:pPr>
    <w:rPr>
      <w:rFonts w:ascii="宋体" w:hAnsi="宋体" w:cs="宋体"/>
      <w:kern w:val="0"/>
      <w:sz w:val="24"/>
      <w:szCs w:val="24"/>
    </w:rPr>
  </w:style>
  <w:style w:type="paragraph" w:customStyle="1" w:styleId="biaogeright1">
    <w:name w:val="biaoge_right1"/>
    <w:basedOn w:val="a"/>
    <w:pPr>
      <w:widowControl/>
      <w:autoSpaceDE w:val="0"/>
      <w:autoSpaceDN w:val="0"/>
      <w:adjustRightInd w:val="0"/>
      <w:spacing w:before="29" w:line="288" w:lineRule="auto"/>
      <w:ind w:left="15"/>
      <w:jc w:val="right"/>
    </w:pPr>
    <w:rPr>
      <w:rFonts w:ascii="宋体" w:hAnsi="宋体" w:cs="宋体"/>
      <w:kern w:val="0"/>
      <w:sz w:val="24"/>
      <w:szCs w:val="24"/>
    </w:rPr>
  </w:style>
  <w:style w:type="paragraph" w:customStyle="1" w:styleId="biaogeleft1">
    <w:name w:val="biaoge_left1"/>
    <w:basedOn w:val="a"/>
    <w:pPr>
      <w:widowControl/>
      <w:autoSpaceDE w:val="0"/>
      <w:autoSpaceDN w:val="0"/>
      <w:adjustRightInd w:val="0"/>
      <w:spacing w:before="29" w:line="288" w:lineRule="auto"/>
      <w:ind w:left="15"/>
      <w:jc w:val="left"/>
    </w:pPr>
    <w:rPr>
      <w:rFonts w:ascii="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8335560">
      <w:marLeft w:val="0"/>
      <w:marRight w:val="0"/>
      <w:marTop w:val="0"/>
      <w:marBottom w:val="0"/>
      <w:divBdr>
        <w:top w:val="none" w:sz="0" w:space="0" w:color="auto"/>
        <w:left w:val="none" w:sz="0" w:space="0" w:color="auto"/>
        <w:bottom w:val="none" w:sz="0" w:space="0" w:color="auto"/>
        <w:right w:val="none" w:sz="0" w:space="0" w:color="auto"/>
      </w:divBdr>
    </w:div>
    <w:div w:id="159974072">
      <w:marLeft w:val="0"/>
      <w:marRight w:val="0"/>
      <w:marTop w:val="0"/>
      <w:marBottom w:val="0"/>
      <w:divBdr>
        <w:top w:val="none" w:sz="0" w:space="0" w:color="auto"/>
        <w:left w:val="none" w:sz="0" w:space="0" w:color="auto"/>
        <w:bottom w:val="none" w:sz="0" w:space="0" w:color="auto"/>
        <w:right w:val="none" w:sz="0" w:space="0" w:color="auto"/>
      </w:divBdr>
    </w:div>
    <w:div w:id="599024126">
      <w:marLeft w:val="0"/>
      <w:marRight w:val="0"/>
      <w:marTop w:val="0"/>
      <w:marBottom w:val="0"/>
      <w:divBdr>
        <w:top w:val="none" w:sz="0" w:space="0" w:color="auto"/>
        <w:left w:val="none" w:sz="0" w:space="0" w:color="auto"/>
        <w:bottom w:val="none" w:sz="0" w:space="0" w:color="auto"/>
        <w:right w:val="none" w:sz="0" w:space="0" w:color="auto"/>
      </w:divBdr>
    </w:div>
    <w:div w:id="702904986">
      <w:marLeft w:val="0"/>
      <w:marRight w:val="0"/>
      <w:marTop w:val="0"/>
      <w:marBottom w:val="0"/>
      <w:divBdr>
        <w:top w:val="none" w:sz="0" w:space="0" w:color="auto"/>
        <w:left w:val="none" w:sz="0" w:space="0" w:color="auto"/>
        <w:bottom w:val="none" w:sz="0" w:space="0" w:color="auto"/>
        <w:right w:val="none" w:sz="0" w:space="0" w:color="auto"/>
      </w:divBdr>
      <w:divsChild>
        <w:div w:id="1369376563">
          <w:marLeft w:val="0"/>
          <w:marRight w:val="0"/>
          <w:marTop w:val="0"/>
          <w:marBottom w:val="0"/>
          <w:divBdr>
            <w:top w:val="none" w:sz="0" w:space="0" w:color="auto"/>
            <w:left w:val="none" w:sz="0" w:space="0" w:color="auto"/>
            <w:bottom w:val="none" w:sz="0" w:space="0" w:color="auto"/>
            <w:right w:val="none" w:sz="0" w:space="0" w:color="auto"/>
          </w:divBdr>
        </w:div>
      </w:divsChild>
    </w:div>
    <w:div w:id="1575772025">
      <w:marLeft w:val="0"/>
      <w:marRight w:val="0"/>
      <w:marTop w:val="0"/>
      <w:marBottom w:val="0"/>
      <w:divBdr>
        <w:top w:val="none" w:sz="0" w:space="0" w:color="auto"/>
        <w:left w:val="none" w:sz="0" w:space="0" w:color="auto"/>
        <w:bottom w:val="none" w:sz="0" w:space="0" w:color="auto"/>
        <w:right w:val="none" w:sz="0" w:space="0" w:color="auto"/>
      </w:divBdr>
    </w:div>
    <w:div w:id="2000113902">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1024x768"/>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886</Words>
  <Characters>5056</Characters>
  <Application>Microsoft Office Word</Application>
  <DocSecurity>4</DocSecurity>
  <Lines>42</Lines>
  <Paragraphs>11</Paragraphs>
  <ScaleCrop>false</ScaleCrop>
  <Company/>
  <LinksUpToDate>false</LinksUpToDate>
  <CharactersWithSpaces>5931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dc:creator>
  <cp:keywords/>
  <dc:description/>
  <cp:lastModifiedBy>ZHONGM</cp:lastModifiedBy>
  <cp:revision>2</cp:revision>
  <dcterms:created xsi:type="dcterms:W3CDTF">2026-02-27T16:00:00Z</dcterms:created>
  <dcterms:modified xsi:type="dcterms:W3CDTF">2026-02-27T16:00:00Z</dcterms:modified>
</cp:coreProperties>
</file>