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C38" w:rsidRDefault="003C6C38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3C6C38" w:rsidRDefault="003C6C38" w:rsidP="00E10E54">
      <w:pPr>
        <w:jc w:val="center"/>
      </w:pPr>
      <w:r>
        <w:rPr>
          <w:rFonts w:cs="Times New Roman" w:hint="eastAsia"/>
          <w:b/>
          <w:sz w:val="48"/>
          <w:szCs w:val="48"/>
        </w:rPr>
        <w:t>宝盈中证A500指数增强型证券投资基金基金经理变更公告</w:t>
      </w:r>
    </w:p>
    <w:p w:rsidR="00E10E54" w:rsidRPr="00E10E54" w:rsidRDefault="00E10E54" w:rsidP="00E10E54">
      <w:pPr>
        <w:jc w:val="center"/>
        <w:rPr>
          <w:rFonts w:hint="eastAsia"/>
        </w:rPr>
      </w:pPr>
    </w:p>
    <w:p w:rsidR="003C6C38" w:rsidRPr="00E10E54" w:rsidRDefault="003C6C38">
      <w:pPr>
        <w:spacing w:line="360" w:lineRule="auto"/>
        <w:jc w:val="center"/>
        <w:rPr>
          <w:rFonts w:hint="eastAsia"/>
          <w:sz w:val="28"/>
          <w:szCs w:val="28"/>
        </w:rPr>
      </w:pPr>
      <w:r w:rsidRPr="00E10E54">
        <w:rPr>
          <w:rFonts w:hint="eastAsia"/>
          <w:b/>
          <w:bCs/>
          <w:sz w:val="28"/>
          <w:szCs w:val="28"/>
        </w:rPr>
        <w:t>公告送出日期：2026年2月28日</w:t>
      </w:r>
    </w:p>
    <w:p w:rsidR="003C6C38" w:rsidRDefault="00E10E54" w:rsidP="00E10E54">
      <w:pPr>
        <w:pStyle w:val="XBRLTitle1"/>
        <w:numPr>
          <w:ilvl w:val="0"/>
          <w:numId w:val="0"/>
        </w:numPr>
        <w:spacing w:before="156"/>
        <w:jc w:val="left"/>
        <w:rPr>
          <w:rFonts w:hint="eastAsia"/>
        </w:rPr>
      </w:pP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color w:val="404040"/>
          <w:kern w:val="0"/>
        </w:rPr>
        <w:t>1.</w:t>
      </w:r>
      <w:r w:rsidR="003C6C38"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3C6C38"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3C6C38">
        <w:trPr>
          <w:divId w:val="18284759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>宝盈中证A500指数增强型证券投资基金</w:t>
            </w:r>
          </w:p>
        </w:tc>
      </w:tr>
      <w:tr w:rsidR="003C6C38">
        <w:trPr>
          <w:divId w:val="18284759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>宝盈中证A500指数增强</w:t>
            </w:r>
          </w:p>
        </w:tc>
      </w:tr>
      <w:tr w:rsidR="003C6C38">
        <w:trPr>
          <w:divId w:val="18284759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>023514</w:t>
            </w:r>
          </w:p>
        </w:tc>
      </w:tr>
      <w:tr w:rsidR="003C6C38">
        <w:trPr>
          <w:divId w:val="18284759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>宝盈基金管理有限公司</w:t>
            </w:r>
          </w:p>
        </w:tc>
      </w:tr>
      <w:tr w:rsidR="003C6C38">
        <w:trPr>
          <w:divId w:val="18284759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3C6C38">
        <w:trPr>
          <w:divId w:val="18284759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3C6C38">
        <w:trPr>
          <w:divId w:val="18284759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>阳之璇</w:t>
            </w:r>
          </w:p>
        </w:tc>
      </w:tr>
      <w:tr w:rsidR="003C6C38">
        <w:trPr>
          <w:divId w:val="182847594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>蔡丹</w:t>
            </w:r>
          </w:p>
        </w:tc>
      </w:tr>
    </w:tbl>
    <w:p w:rsidR="003C6C38" w:rsidRDefault="00E10E54" w:rsidP="00E10E54">
      <w:pPr>
        <w:pStyle w:val="XBRLTitle1"/>
        <w:numPr>
          <w:ilvl w:val="0"/>
          <w:numId w:val="0"/>
        </w:numPr>
        <w:spacing w:before="156" w:line="360" w:lineRule="auto"/>
        <w:jc w:val="left"/>
        <w:rPr>
          <w:rFonts w:hint="eastAsia"/>
        </w:rPr>
      </w:pPr>
      <w:bookmarkStart w:id="13" w:name="_Toc17898179"/>
      <w:bookmarkStart w:id="14" w:name="_Toc17897937"/>
      <w:bookmarkStart w:id="15" w:name="_Toc512519481"/>
      <w:bookmarkStart w:id="16" w:name="_Toc481075047"/>
      <w:bookmarkStart w:id="17" w:name="_Toc438646452"/>
      <w:bookmarkStart w:id="18" w:name="_Toc490050001"/>
      <w:bookmarkStart w:id="19" w:name="_Toc513295847"/>
      <w:bookmarkStart w:id="20" w:name="_Toc513295893"/>
      <w:bookmarkStart w:id="21" w:name="_Toc34322060"/>
      <w:r>
        <w:rPr>
          <w:rFonts w:hAnsi="宋体" w:hint="eastAsia"/>
          <w:szCs w:val="24"/>
          <w:lang w:eastAsia="zh-CN"/>
        </w:rPr>
        <w:t>2</w:t>
      </w:r>
      <w:r>
        <w:rPr>
          <w:rFonts w:hAnsi="宋体"/>
          <w:szCs w:val="24"/>
          <w:lang w:eastAsia="zh-CN"/>
        </w:rPr>
        <w:t>.</w:t>
      </w:r>
      <w:r w:rsidR="003C6C38">
        <w:rPr>
          <w:rFonts w:hAnsi="宋体" w:hint="eastAsia"/>
          <w:szCs w:val="24"/>
        </w:rPr>
        <w:t>新任基金经理的相关信息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C6C38">
        <w:rPr>
          <w:rFonts w:hAnsi="宋体"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阳之璇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>2026年2月28日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7年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7年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阳之璇女士，约翰霍普金斯大学数学与统计学硕士，2018年7月加入宝盈基金管理有限公司，历任研究员助理、量化研究员、量化基金经理助理，现任宝盈北证50成份指数型发起式证券投资基金</w:t>
            </w:r>
            <w:r w:rsidR="002617C7">
              <w:rPr>
                <w:rFonts w:hint="eastAsia"/>
                <w:szCs w:val="21"/>
              </w:rPr>
              <w:t>、</w:t>
            </w:r>
            <w:r w:rsidR="002617C7" w:rsidRPr="002617C7">
              <w:rPr>
                <w:rFonts w:hint="eastAsia"/>
                <w:szCs w:val="21"/>
              </w:rPr>
              <w:t>宝盈中证</w:t>
            </w:r>
            <w:r w:rsidR="002617C7" w:rsidRPr="002617C7">
              <w:rPr>
                <w:szCs w:val="21"/>
              </w:rPr>
              <w:t>A500指数增强型证券投资基金</w:t>
            </w:r>
            <w:r>
              <w:rPr>
                <w:rFonts w:hint="eastAsia"/>
                <w:szCs w:val="21"/>
              </w:rPr>
              <w:t>基金经理。</w:t>
            </w:r>
          </w:p>
        </w:tc>
      </w:tr>
      <w:tr w:rsidR="003C6C38">
        <w:trPr>
          <w:divId w:val="865600798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3C6C38">
        <w:trPr>
          <w:divId w:val="86560079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000639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宝盈祥瑞混合型证券投资基金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2025年1月25日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2026年2月11日</w:t>
            </w:r>
          </w:p>
        </w:tc>
      </w:tr>
      <w:tr w:rsidR="003C6C38">
        <w:trPr>
          <w:divId w:val="86560079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023395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宝盈北证50成份指数型发起式证券投资基金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2025年10月25日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C6C38">
        <w:trPr>
          <w:divId w:val="86560079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015820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宝盈中证沪港深科技龙头指数型发起式证券投资基金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2025年1月25日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2025年12月11日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lastRenderedPageBreak/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3C6C38">
        <w:trPr>
          <w:divId w:val="8656007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 w:rsidRPr="0043597C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38" w:rsidRDefault="003C6C3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3C6C38" w:rsidRDefault="003C6C38">
      <w:pPr>
        <w:spacing w:line="360" w:lineRule="auto"/>
        <w:jc w:val="center"/>
        <w:divId w:val="865600798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3C6C38" w:rsidRDefault="003C6C3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bookmarkStart w:id="22" w:name="m201_01"/>
      <w:r>
        <w:rPr>
          <w:rFonts w:hint="eastAsia"/>
          <w:b/>
          <w:bCs/>
          <w:sz w:val="24"/>
          <w:szCs w:val="30"/>
        </w:rPr>
        <w:t xml:space="preserve">　 </w:t>
      </w:r>
    </w:p>
    <w:p w:rsidR="003C6C38" w:rsidRDefault="003C6C3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C6C38" w:rsidRDefault="003C6C38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宝盈基金管理有限公司</w:t>
      </w:r>
    </w:p>
    <w:p w:rsidR="003C6C38" w:rsidRDefault="003C6C38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2026年2月28日</w:t>
      </w:r>
      <w:bookmarkEnd w:id="22"/>
    </w:p>
    <w:sectPr w:rsidR="003C6C38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B63" w:rsidRDefault="002B7B6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2B7B63" w:rsidRDefault="002B7B6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38" w:rsidRDefault="003C6C38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B63" w:rsidRDefault="002B7B63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2B7B63" w:rsidRDefault="002B7B6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38" w:rsidRDefault="003C6C38">
    <w:pPr>
      <w:pStyle w:val="a8"/>
      <w:jc w:val="right"/>
      <w:rPr>
        <w:rFonts w:hint="eastAsia"/>
      </w:rPr>
    </w:pPr>
    <w:r>
      <w:rPr>
        <w:rFonts w:hint="eastAsia"/>
      </w:rPr>
      <w:t>宝盈中证A500指数增强型证券投资基金基金经理变更公告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proofState w:spelling="clean"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97C"/>
    <w:rsid w:val="001277B1"/>
    <w:rsid w:val="00134821"/>
    <w:rsid w:val="00162895"/>
    <w:rsid w:val="002617C7"/>
    <w:rsid w:val="002B7B63"/>
    <w:rsid w:val="003C4866"/>
    <w:rsid w:val="003C6C38"/>
    <w:rsid w:val="0043597C"/>
    <w:rsid w:val="00675C2A"/>
    <w:rsid w:val="00934366"/>
    <w:rsid w:val="00E10E54"/>
    <w:rsid w:val="00E66621"/>
    <w:rsid w:val="00F4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1636-ED3C-4BC3-9A9F-31203DC2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4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2026-02-27T16:01:00Z</dcterms:created>
  <dcterms:modified xsi:type="dcterms:W3CDTF">2026-02-27T16:01:00Z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