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100" w:rsidRPr="00732CFC" w:rsidRDefault="004D5100">
      <w:pPr>
        <w:jc w:val="center"/>
        <w:rPr>
          <w:rFonts w:ascii="宋体" w:hAnsi="宋体"/>
          <w:b/>
          <w:color w:val="000000"/>
          <w:szCs w:val="24"/>
        </w:rPr>
      </w:pPr>
      <w:bookmarkStart w:id="0" w:name="FM_KS_1"/>
      <w:bookmarkEnd w:id="0"/>
    </w:p>
    <w:p w:rsidR="004D5100" w:rsidRPr="00732CFC" w:rsidRDefault="004D5100">
      <w:pPr>
        <w:jc w:val="center"/>
        <w:rPr>
          <w:rFonts w:ascii="宋体" w:hAnsi="宋体" w:hint="eastAsia"/>
          <w:b/>
          <w:color w:val="000000"/>
          <w:szCs w:val="24"/>
        </w:rPr>
      </w:pPr>
    </w:p>
    <w:p w:rsidR="004D5100" w:rsidRPr="00732CFC" w:rsidRDefault="004D5100">
      <w:pPr>
        <w:jc w:val="center"/>
        <w:rPr>
          <w:rFonts w:ascii="宋体" w:hAnsi="宋体" w:hint="eastAsia"/>
          <w:b/>
          <w:color w:val="000000"/>
          <w:sz w:val="24"/>
          <w:szCs w:val="24"/>
        </w:rPr>
      </w:pPr>
      <w:r w:rsidRPr="00732CFC">
        <w:rPr>
          <w:rFonts w:ascii="宋体" w:hAnsi="宋体" w:hint="eastAsia"/>
          <w:b/>
          <w:color w:val="000000"/>
          <w:sz w:val="24"/>
          <w:szCs w:val="24"/>
        </w:rPr>
        <w:t>恒越嘉润量化选股混合型证券投资基金</w:t>
      </w:r>
      <w:r w:rsidRPr="00732CFC">
        <w:rPr>
          <w:rFonts w:ascii="宋体" w:hAnsi="宋体" w:hint="eastAsia"/>
          <w:b/>
          <w:color w:val="000000"/>
          <w:sz w:val="24"/>
          <w:szCs w:val="24"/>
        </w:rPr>
        <w:br/>
        <w:t>开放日常申购、赎回、转换、定期定额投资业务的公告</w:t>
      </w:r>
    </w:p>
    <w:p w:rsidR="004D5100" w:rsidRPr="00732CFC" w:rsidRDefault="004D5100">
      <w:pPr>
        <w:jc w:val="center"/>
        <w:rPr>
          <w:rFonts w:ascii="宋体" w:hAnsi="宋体" w:hint="eastAsia"/>
          <w:b/>
          <w:color w:val="000000"/>
          <w:sz w:val="24"/>
          <w:szCs w:val="24"/>
        </w:rPr>
      </w:pPr>
    </w:p>
    <w:p w:rsidR="004D5100" w:rsidRPr="00732CFC" w:rsidRDefault="004D5100">
      <w:pPr>
        <w:jc w:val="center"/>
        <w:rPr>
          <w:rFonts w:ascii="宋体" w:hAnsi="宋体" w:hint="eastAsia"/>
          <w:b/>
          <w:color w:val="000000"/>
          <w:sz w:val="24"/>
          <w:szCs w:val="24"/>
        </w:rPr>
      </w:pPr>
    </w:p>
    <w:p w:rsidR="004D5100" w:rsidRPr="00732CFC" w:rsidRDefault="004D5100">
      <w:pPr>
        <w:adjustRightInd w:val="0"/>
        <w:snapToGrid w:val="0"/>
        <w:spacing w:line="460" w:lineRule="exact"/>
        <w:jc w:val="center"/>
        <w:rPr>
          <w:rFonts w:ascii="宋体" w:hAnsi="宋体" w:hint="eastAsia"/>
          <w:b/>
          <w:color w:val="000000"/>
          <w:sz w:val="24"/>
          <w:szCs w:val="24"/>
        </w:rPr>
      </w:pPr>
      <w:r w:rsidRPr="00732CFC">
        <w:rPr>
          <w:rFonts w:ascii="宋体" w:hAnsi="宋体" w:hint="eastAsia"/>
          <w:b/>
          <w:color w:val="000000"/>
          <w:sz w:val="24"/>
          <w:szCs w:val="24"/>
        </w:rPr>
        <w:t>公告送出日期：2026年02月28日</w:t>
      </w:r>
      <w:bookmarkStart w:id="1" w:name="FM_JS_1"/>
      <w:bookmarkEnd w:id="1"/>
    </w:p>
    <w:p w:rsidR="004D5100" w:rsidRDefault="004D5100">
      <w:pPr>
        <w:rPr>
          <w:rFonts w:hint="eastAsia"/>
        </w:rPr>
      </w:pPr>
    </w:p>
    <w:p w:rsidR="004D5100" w:rsidRDefault="004D5100"/>
    <w:p w:rsidR="004D5100" w:rsidRDefault="004D5100" w:rsidP="00732CFC">
      <w:pPr>
        <w:pStyle w:val="10"/>
        <w:spacing w:before="312"/>
        <w:ind w:left="0"/>
      </w:pPr>
      <w:bookmarkStart w:id="2" w:name="ZJ_1_KS"/>
      <w:bookmarkEnd w:id="2"/>
      <w:r>
        <w:rPr>
          <w:rFonts w:hint="eastAsia"/>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712"/>
        <w:gridCol w:w="3292"/>
      </w:tblGrid>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bookmarkStart w:id="3" w:name="BG_1_BG1"/>
            <w:bookmarkEnd w:id="3"/>
            <w:r>
              <w:rPr>
                <w:rFonts w:ascii="宋体" w:hAnsi="宋体" w:hint="eastAsia"/>
                <w:color w:val="000000"/>
                <w:szCs w:val="21"/>
              </w:rPr>
              <w:t>基金名称</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恒越嘉润量化选股混合型证券投资基金</w:t>
            </w:r>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r>
              <w:rPr>
                <w:rFonts w:ascii="宋体" w:hAnsi="宋体" w:hint="eastAsia"/>
                <w:color w:val="000000"/>
                <w:szCs w:val="21"/>
              </w:rPr>
              <w:t>基金简称</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恒越嘉润量化选股混合</w:t>
            </w:r>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r>
              <w:rPr>
                <w:rFonts w:ascii="宋体" w:hAnsi="宋体" w:hint="eastAsia"/>
                <w:color w:val="000000"/>
                <w:szCs w:val="21"/>
              </w:rPr>
              <w:t>基金主代码</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026678</w:t>
            </w:r>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r>
              <w:rPr>
                <w:rFonts w:ascii="宋体" w:hAnsi="宋体" w:hint="eastAsia"/>
                <w:color w:val="000000"/>
                <w:szCs w:val="21"/>
              </w:rPr>
              <w:t>基金运作方式</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契约型开放式</w:t>
            </w:r>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r>
              <w:rPr>
                <w:rFonts w:ascii="宋体" w:hAnsi="宋体" w:hint="eastAsia"/>
                <w:color w:val="000000"/>
                <w:szCs w:val="21"/>
              </w:rPr>
              <w:t>基金合同生效日</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2026年02月03日</w:t>
            </w:r>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r>
              <w:rPr>
                <w:rFonts w:ascii="宋体" w:hAnsi="宋体" w:hint="eastAsia"/>
                <w:color w:val="000000"/>
                <w:szCs w:val="21"/>
              </w:rPr>
              <w:t>基金管理人名称</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恒越基金管理有限公司</w:t>
            </w:r>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r>
              <w:rPr>
                <w:rFonts w:ascii="宋体" w:hAnsi="宋体" w:hint="eastAsia"/>
                <w:color w:val="000000"/>
                <w:szCs w:val="21"/>
              </w:rPr>
              <w:t>基金托管人名称</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广发证券股份有限公司</w:t>
            </w:r>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bookmarkStart w:id="4" w:name="YSH_0310_KS_1"/>
            <w:bookmarkEnd w:id="4"/>
            <w:r>
              <w:rPr>
                <w:rFonts w:ascii="宋体" w:hAnsi="宋体" w:hint="eastAsia"/>
                <w:color w:val="000000"/>
                <w:szCs w:val="21"/>
              </w:rPr>
              <w:t>基金注册登记机构名称</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恒越基金管理有限公司</w:t>
            </w:r>
            <w:bookmarkStart w:id="5" w:name="YSH_0310_JS_1"/>
            <w:bookmarkEnd w:id="5"/>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r>
              <w:rPr>
                <w:rFonts w:ascii="宋体" w:hAnsi="宋体" w:hint="eastAsia"/>
                <w:color w:val="000000"/>
                <w:szCs w:val="21"/>
              </w:rPr>
              <w:t>公告依据</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《恒越嘉润量化选股混合型证券投资基金基金合同》、《恒越嘉润量化选股混合型证券投资基金招募说明书》</w:t>
            </w:r>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bookmarkStart w:id="6" w:name="YSH_2660_KS_1"/>
            <w:bookmarkEnd w:id="6"/>
            <w:r>
              <w:rPr>
                <w:rFonts w:ascii="宋体" w:hAnsi="宋体" w:hint="eastAsia"/>
                <w:color w:val="000000"/>
                <w:szCs w:val="21"/>
              </w:rPr>
              <w:t>申购起始日</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2026年03月04日</w:t>
            </w:r>
            <w:bookmarkStart w:id="7" w:name="YSH_2660_JS_1"/>
            <w:bookmarkEnd w:id="7"/>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bookmarkStart w:id="8" w:name="YSH_2661_KS_1"/>
            <w:bookmarkEnd w:id="8"/>
            <w:r>
              <w:rPr>
                <w:rFonts w:ascii="宋体" w:hAnsi="宋体" w:hint="eastAsia"/>
                <w:color w:val="000000"/>
                <w:szCs w:val="21"/>
              </w:rPr>
              <w:t>赎回起始日</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2026年03月04日</w:t>
            </w:r>
            <w:bookmarkStart w:id="9" w:name="YSH_2661_JS_1"/>
            <w:bookmarkEnd w:id="9"/>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bookmarkStart w:id="10" w:name="YSH_2793_KS_1"/>
            <w:bookmarkEnd w:id="10"/>
            <w:r>
              <w:rPr>
                <w:rFonts w:ascii="宋体" w:hAnsi="宋体" w:hint="eastAsia"/>
                <w:color w:val="000000"/>
                <w:szCs w:val="21"/>
              </w:rPr>
              <w:t>转换转入起始日</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2026年03月04日</w:t>
            </w:r>
            <w:bookmarkStart w:id="11" w:name="YSH_2793_JS_1"/>
            <w:bookmarkEnd w:id="11"/>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bookmarkStart w:id="12" w:name="YSH_2794_KS_1"/>
            <w:bookmarkEnd w:id="12"/>
            <w:r>
              <w:rPr>
                <w:rFonts w:ascii="宋体" w:hAnsi="宋体" w:hint="eastAsia"/>
                <w:color w:val="000000"/>
                <w:szCs w:val="21"/>
              </w:rPr>
              <w:t>转换转出起始日</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2026年03月04日</w:t>
            </w:r>
            <w:bookmarkStart w:id="13" w:name="YSH_2794_JS_1"/>
            <w:bookmarkEnd w:id="13"/>
          </w:p>
        </w:tc>
      </w:tr>
      <w:tr w:rsidR="004D5100" w:rsidRPr="00732CFC">
        <w:trPr>
          <w:trHeight w:val="397"/>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bookmarkStart w:id="14" w:name="YSH_2795_KS_1"/>
            <w:bookmarkEnd w:id="14"/>
            <w:r>
              <w:rPr>
                <w:rFonts w:ascii="宋体" w:hAnsi="宋体" w:hint="eastAsia"/>
                <w:color w:val="000000"/>
                <w:szCs w:val="21"/>
              </w:rPr>
              <w:t>定期定额投资起始日</w:t>
            </w:r>
          </w:p>
        </w:tc>
        <w:tc>
          <w:tcPr>
            <w:tcW w:w="6004" w:type="dxa"/>
            <w:gridSpan w:val="2"/>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2026年03月04日</w:t>
            </w:r>
            <w:bookmarkStart w:id="15" w:name="YSH_2795_JS_1"/>
            <w:bookmarkEnd w:id="15"/>
          </w:p>
        </w:tc>
      </w:tr>
      <w:tr w:rsidR="004D5100" w:rsidRPr="00732CFC">
        <w:trPr>
          <w:trHeight w:val="119"/>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bookmarkStart w:id="16" w:name="DYBG_1_BG2_KS"/>
            <w:bookmarkStart w:id="17" w:name="FJH_2_KS_1"/>
            <w:bookmarkEnd w:id="16"/>
            <w:bookmarkEnd w:id="17"/>
            <w:r>
              <w:rPr>
                <w:rFonts w:ascii="宋体" w:hAnsi="宋体" w:hint="eastAsia"/>
                <w:color w:val="000000"/>
                <w:szCs w:val="21"/>
              </w:rPr>
              <w:t>下属分级基金的基金简称</w:t>
            </w:r>
          </w:p>
        </w:tc>
        <w:tc>
          <w:tcPr>
            <w:tcW w:w="2712"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恒越嘉润量化选股混合A</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恒越嘉润量化选股混合C</w:t>
            </w:r>
          </w:p>
        </w:tc>
      </w:tr>
      <w:tr w:rsidR="004D5100" w:rsidRPr="00732CFC">
        <w:trPr>
          <w:trHeight w:val="119"/>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r>
              <w:rPr>
                <w:rFonts w:ascii="宋体" w:hAnsi="宋体" w:hint="eastAsia"/>
                <w:color w:val="000000"/>
                <w:szCs w:val="21"/>
              </w:rPr>
              <w:t>下属分级基金的交易代码</w:t>
            </w:r>
          </w:p>
        </w:tc>
        <w:tc>
          <w:tcPr>
            <w:tcW w:w="2712"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026678</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jc w:val="left"/>
              <w:rPr>
                <w:rFonts w:ascii="宋体" w:hAnsi="宋体"/>
                <w:szCs w:val="21"/>
              </w:rPr>
            </w:pPr>
            <w:r>
              <w:rPr>
                <w:rFonts w:ascii="宋体" w:hAnsi="宋体" w:hint="eastAsia"/>
                <w:szCs w:val="21"/>
              </w:rPr>
              <w:t>026679</w:t>
            </w:r>
          </w:p>
        </w:tc>
      </w:tr>
      <w:tr w:rsidR="004D5100" w:rsidRPr="00732CFC">
        <w:trPr>
          <w:trHeight w:val="119"/>
        </w:trPr>
        <w:tc>
          <w:tcPr>
            <w:tcW w:w="2518"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rPr>
                <w:rFonts w:ascii="宋体" w:hAnsi="宋体"/>
                <w:color w:val="000000"/>
                <w:szCs w:val="21"/>
              </w:rPr>
            </w:pPr>
            <w:r>
              <w:rPr>
                <w:rFonts w:ascii="宋体" w:hAnsi="宋体" w:hint="eastAsia"/>
                <w:color w:val="000000"/>
                <w:szCs w:val="21"/>
              </w:rPr>
              <w:t>该分级基金是否开放申购、赎回、转换转入、转换转出、定期定额投资</w:t>
            </w:r>
          </w:p>
        </w:tc>
        <w:tc>
          <w:tcPr>
            <w:tcW w:w="2712"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ind w:right="210"/>
              <w:jc w:val="left"/>
              <w:rPr>
                <w:rFonts w:ascii="宋体" w:hAnsi="宋体"/>
                <w:color w:val="000000"/>
                <w:szCs w:val="21"/>
              </w:rPr>
            </w:pPr>
            <w:r>
              <w:rPr>
                <w:rFonts w:ascii="宋体" w:hAnsi="宋体" w:hint="eastAsia"/>
                <w:szCs w:val="21"/>
              </w:rPr>
              <w:t>是</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4D5100" w:rsidRDefault="004D5100">
            <w:pPr>
              <w:ind w:right="210"/>
              <w:jc w:val="left"/>
              <w:rPr>
                <w:rFonts w:ascii="宋体" w:hAnsi="宋体"/>
                <w:color w:val="000000"/>
                <w:szCs w:val="21"/>
              </w:rPr>
            </w:pPr>
            <w:r>
              <w:rPr>
                <w:rFonts w:ascii="宋体" w:hAnsi="宋体" w:hint="eastAsia"/>
                <w:szCs w:val="21"/>
              </w:rPr>
              <w:t>是</w:t>
            </w:r>
            <w:bookmarkStart w:id="18" w:name="FJH_2_JS_1"/>
            <w:bookmarkStart w:id="19" w:name="DYBG_1_BG2_JS"/>
            <w:bookmarkEnd w:id="18"/>
            <w:bookmarkEnd w:id="19"/>
          </w:p>
        </w:tc>
      </w:tr>
    </w:tbl>
    <w:p w:rsidR="004D5100" w:rsidRDefault="004D5100" w:rsidP="00732CFC">
      <w:pPr>
        <w:pStyle w:val="10"/>
        <w:spacing w:before="312"/>
        <w:ind w:left="0"/>
      </w:pPr>
      <w:bookmarkStart w:id="20" w:name="ZJ_2_KS"/>
      <w:bookmarkEnd w:id="20"/>
      <w:r>
        <w:rPr>
          <w:rFonts w:hint="eastAsia"/>
        </w:rPr>
        <w:t>日常申购、赎回（转换、定期定额投资）业务的办理时间</w:t>
      </w:r>
    </w:p>
    <w:p w:rsidR="004D5100" w:rsidRDefault="004D5100">
      <w:pPr>
        <w:spacing w:line="360" w:lineRule="auto"/>
        <w:jc w:val="left"/>
        <w:rPr>
          <w:rFonts w:ascii="宋体" w:hAnsi="宋体"/>
          <w:szCs w:val="21"/>
        </w:rPr>
      </w:pPr>
      <w:bookmarkStart w:id="21" w:name="WB_2_WB1"/>
      <w:bookmarkEnd w:id="21"/>
      <w:r>
        <w:rPr>
          <w:rFonts w:ascii="宋体" w:hAnsi="宋体" w:hint="eastAsia"/>
          <w:szCs w:val="21"/>
        </w:rPr>
        <w:t>  自2026年3月4日起，投资人可在开放日办理基金份额的申购、赎回、转换和定期定额投资的业务，本基金的开放日为上海证券交易所、深圳证券交易所的交易日，具体办理时间为上海证券交易所、深圳证券交易所正常交易日的交易时间，但基金管理人根据法律法规、</w:t>
      </w:r>
      <w:r>
        <w:rPr>
          <w:rFonts w:ascii="宋体" w:hAnsi="宋体" w:hint="eastAsia"/>
          <w:szCs w:val="21"/>
        </w:rPr>
        <w:lastRenderedPageBreak/>
        <w:t>中国证监会的要求或本基金合同的规定公告暂停申购、赎回、转换和定期定额投资时除外。</w:t>
      </w:r>
      <w:r>
        <w:rPr>
          <w:rFonts w:ascii="宋体" w:hAnsi="宋体" w:hint="eastAsia"/>
          <w:szCs w:val="21"/>
        </w:rPr>
        <w:br/>
        <w:t>  若出现新的证券/期货交易市场、证券/期货交易所交易时间变更或其他特殊情况，基金管理人将视情况对前述开放日及开放时间进行相应的调整，但应在实施日前依照《公开募集证券投资基金信息披露管理办法》（以下简称“《信息披露办法》”）的有关规定在规定媒介上公告。</w:t>
      </w:r>
      <w:r>
        <w:rPr>
          <w:rFonts w:ascii="宋体" w:hAnsi="宋体" w:hint="eastAsia"/>
          <w:szCs w:val="21"/>
        </w:rPr>
        <w:br/>
        <w:t>  由于各销售机构的系统差异以及业务安排等原因，开展转换和定期定额投资业务的时间可能有所不同，投资者应参照各销售机构的具体规定。</w:t>
      </w:r>
      <w:bookmarkStart w:id="22" w:name="ZJ_2_JS"/>
      <w:bookmarkEnd w:id="22"/>
    </w:p>
    <w:p w:rsidR="004D5100" w:rsidRDefault="004D5100" w:rsidP="00732CFC">
      <w:pPr>
        <w:pStyle w:val="10"/>
        <w:spacing w:before="312"/>
        <w:ind w:left="0"/>
        <w:rPr>
          <w:rFonts w:hint="eastAsia"/>
          <w:szCs w:val="21"/>
        </w:rPr>
      </w:pPr>
      <w:bookmarkStart w:id="23" w:name="ZJ_3_KS"/>
      <w:bookmarkEnd w:id="23"/>
      <w:r>
        <w:rPr>
          <w:rFonts w:hint="eastAsia"/>
          <w:szCs w:val="21"/>
        </w:rPr>
        <w:t>日常申购业务</w:t>
      </w:r>
    </w:p>
    <w:p w:rsidR="004D5100" w:rsidRDefault="004D5100" w:rsidP="00732CFC">
      <w:pPr>
        <w:pStyle w:val="2"/>
        <w:spacing w:before="312"/>
        <w:ind w:left="0"/>
      </w:pPr>
      <w:bookmarkStart w:id="24" w:name="ZJ_3_1_KS"/>
      <w:bookmarkEnd w:id="24"/>
      <w:r>
        <w:rPr>
          <w:rFonts w:hint="eastAsia"/>
        </w:rPr>
        <w:t>申购金额限制</w:t>
      </w:r>
    </w:p>
    <w:p w:rsidR="004D5100" w:rsidRDefault="004D5100">
      <w:pPr>
        <w:spacing w:line="360" w:lineRule="auto"/>
        <w:jc w:val="left"/>
        <w:rPr>
          <w:rFonts w:ascii="宋体" w:hAnsi="宋体"/>
          <w:szCs w:val="21"/>
        </w:rPr>
      </w:pPr>
      <w:bookmarkStart w:id="25" w:name="WB_3_1_WB1"/>
      <w:bookmarkEnd w:id="25"/>
      <w:r>
        <w:rPr>
          <w:rFonts w:ascii="宋体" w:hAnsi="宋体" w:hint="eastAsia"/>
          <w:szCs w:val="21"/>
        </w:rPr>
        <w:t>  （1）投资人首次申购本基金的最低金额为10元（含申购费），追加申购单笔最低金额为10元（含申购费），超过最低申购金额的部分不设金额级差。各基金销售机构可在此基础上另设规定，具体以各基金销售机构的规定为准。</w:t>
      </w:r>
      <w:r>
        <w:rPr>
          <w:rFonts w:ascii="宋体" w:hAnsi="宋体" w:hint="eastAsia"/>
          <w:szCs w:val="21"/>
        </w:rPr>
        <w:br/>
        <w:t>  （2）投资者将当期分配的基金收益转购基金份额时，不受最低申购金额的限制。</w:t>
      </w:r>
      <w:r>
        <w:rPr>
          <w:rFonts w:ascii="宋体" w:hAnsi="宋体" w:hint="eastAsia"/>
          <w:szCs w:val="21"/>
        </w:rPr>
        <w:br/>
        <w:t>  （3）投资者可多次申购，对单个投资者累计持有份额不设上限，但单一投资者持有基金份额数的比例超过基金份额总数的50%的，或者有可能变相规避前述50%比例的，基金管理人可拒绝或暂停接受该投资人的申购申请（在基金运作过程中因基金份额赎回等情形导致被动达到或超过50%的除外）。当接受申购申请对存量基金份额持有人利益构成潜在重大不利影响时，基金管理人可以采取规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法律法规或监管机构另有规定的，从其规定。</w:t>
      </w:r>
      <w:r>
        <w:rPr>
          <w:rFonts w:ascii="宋体" w:hAnsi="宋体" w:hint="eastAsia"/>
          <w:szCs w:val="21"/>
        </w:rPr>
        <w:br/>
        <w:t>  （4）基金管理人可在法律法规允许的情况下，调整上述规定申购金额的数量限制。基金管理人必须在调整实施前依照《信息披露办法》的有关规定在规定媒介上公告。</w:t>
      </w:r>
      <w:bookmarkStart w:id="26" w:name="ZJ_3_1_JS"/>
      <w:bookmarkEnd w:id="26"/>
    </w:p>
    <w:p w:rsidR="004D5100" w:rsidRDefault="004D5100" w:rsidP="00732CFC">
      <w:pPr>
        <w:pStyle w:val="2"/>
        <w:spacing w:before="312"/>
        <w:ind w:left="0"/>
        <w:rPr>
          <w:rFonts w:hint="eastAsia"/>
        </w:rPr>
      </w:pPr>
      <w:bookmarkStart w:id="27" w:name="ZJ_3_2_KS"/>
      <w:bookmarkEnd w:id="27"/>
      <w:r>
        <w:rPr>
          <w:rFonts w:hint="eastAsia"/>
        </w:rPr>
        <w:t>申购费率</w:t>
      </w:r>
    </w:p>
    <w:p w:rsidR="004D5100" w:rsidRDefault="004D5100">
      <w:pPr>
        <w:spacing w:line="360" w:lineRule="auto"/>
        <w:jc w:val="left"/>
        <w:rPr>
          <w:rFonts w:ascii="宋体" w:hAnsi="宋体"/>
          <w:szCs w:val="21"/>
        </w:rPr>
      </w:pPr>
      <w:bookmarkStart w:id="28" w:name="WB_3_2_WB1"/>
      <w:bookmarkEnd w:id="28"/>
      <w:r>
        <w:rPr>
          <w:rFonts w:ascii="宋体" w:hAnsi="宋体" w:hint="eastAsia"/>
          <w:szCs w:val="21"/>
        </w:rPr>
        <w:t>  本基金基金份额分为A类和C类基金份额。通过直销机构申购本基金份额的，不收取申购费；通过代销机构申购本基金份额的，其中A类基金份额收取申购费用，申购费用由申购该类基金份额的投资人承担，主要用于本基金的市场推广、销售、登记等各项费用，不列入基金财产。本基金C类基金份额不收取申购费，A类基金份额的申购费率（前收费）如下表：</w:t>
      </w:r>
    </w:p>
    <w:p w:rsidR="004D5100" w:rsidRDefault="004D5100">
      <w:pPr>
        <w:spacing w:line="20" w:lineRule="exact"/>
        <w:ind w:firstLineChars="100" w:firstLine="210"/>
        <w:jc w:val="left"/>
        <w:rPr>
          <w:rFonts w:ascii="宋体" w:hAnsi="宋体" w:hint="eastAsia"/>
          <w:szCs w:val="21"/>
        </w:rPr>
      </w:pPr>
      <w:bookmarkStart w:id="29" w:name="FJGS_2345_3_2_A"/>
      <w:bookmarkStart w:id="30" w:name="PTFJ_2345_3_2_A"/>
      <w:bookmarkEnd w:id="29"/>
      <w:bookmarkEnd w:id="30"/>
    </w:p>
    <w:tbl>
      <w:tblPr>
        <w:tblW w:w="0" w:type="auto"/>
        <w:tblLook w:val="04A0"/>
      </w:tblPr>
      <w:tblGrid>
        <w:gridCol w:w="8522"/>
      </w:tblGrid>
      <w:tr w:rsidR="004D5100" w:rsidRPr="00732CFC" w:rsidTr="00732CFC">
        <w:tc>
          <w:tcPr>
            <w:tcW w:w="8522" w:type="dxa"/>
            <w:shd w:val="clear" w:color="auto" w:fill="auto"/>
            <w:vAlign w:val="center"/>
            <w:hideMark/>
          </w:tcPr>
          <w:p w:rsidR="004D5100" w:rsidRPr="00732CFC" w:rsidRDefault="004D5100">
            <w:pPr>
              <w:rPr>
                <w:rFonts w:ascii="宋体" w:hAnsi="宋体"/>
                <w:szCs w:val="21"/>
              </w:rPr>
            </w:pPr>
            <w:bookmarkStart w:id="31" w:name="YSH_XN_9130_1_KS_3_2"/>
            <w:bookmarkEnd w:id="31"/>
            <w:r w:rsidRPr="00732CFC">
              <w:rPr>
                <w:rFonts w:ascii="宋体" w:hAnsi="宋体" w:hint="eastAsia"/>
                <w:szCs w:val="21"/>
              </w:rPr>
              <w:t>恒越嘉润量化选股混合A：</w:t>
            </w:r>
            <w:bookmarkStart w:id="32" w:name="YSH_XN_9130_1_JS_3_2"/>
            <w:bookmarkEnd w:id="32"/>
          </w:p>
        </w:tc>
      </w:tr>
    </w:tbl>
    <w:p w:rsidR="004D5100" w:rsidRDefault="004D5100">
      <w:pPr>
        <w:spacing w:line="20" w:lineRule="exact"/>
        <w:jc w:val="left"/>
        <w:rPr>
          <w:rFonts w:ascii="宋体" w:hAnsi="宋体" w:hint="eastAsia"/>
          <w:szCs w:val="21"/>
        </w:rPr>
      </w:pPr>
    </w:p>
    <w:p w:rsidR="004D5100" w:rsidRDefault="004D5100">
      <w:pPr>
        <w:ind w:firstLineChars="100" w:firstLine="210"/>
        <w:jc w:val="left"/>
        <w:rPr>
          <w:rFonts w:ascii="宋体" w:hAnsi="宋体" w:hint="eastAsia"/>
          <w:szCs w:val="21"/>
        </w:rPr>
      </w:pPr>
      <w:bookmarkStart w:id="33" w:name="BTBG_3_2_BG2"/>
      <w:bookmarkEnd w:id="33"/>
      <w:r>
        <w:rPr>
          <w:rFonts w:ascii="宋体" w:hAnsi="宋体" w:hint="eastAsia"/>
          <w:szCs w:val="21"/>
        </w:rPr>
        <w:t>申购费率如下：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申购金额（M/元）</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申购费率</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前端收费:</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 </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M&lt;100万</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0.80%</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100万≤M&lt;500万</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0.60%</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M≥500万</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1000元/笔</w:t>
            </w:r>
          </w:p>
        </w:tc>
      </w:tr>
    </w:tbl>
    <w:p w:rsidR="004D5100" w:rsidRDefault="004D5100">
      <w:pPr>
        <w:spacing w:line="20" w:lineRule="exact"/>
        <w:ind w:firstLineChars="100" w:firstLine="210"/>
        <w:jc w:val="left"/>
        <w:rPr>
          <w:rFonts w:ascii="宋体" w:hAnsi="宋体" w:hint="eastAsia"/>
          <w:szCs w:val="21"/>
        </w:rPr>
      </w:pPr>
      <w:bookmarkStart w:id="34" w:name="FJGS_2345_3_2_B"/>
      <w:bookmarkStart w:id="35" w:name="PTFJ_2345_3_2_B"/>
      <w:bookmarkEnd w:id="34"/>
      <w:bookmarkEnd w:id="35"/>
    </w:p>
    <w:p w:rsidR="004D5100" w:rsidRDefault="004D5100">
      <w:pPr>
        <w:spacing w:line="20" w:lineRule="exact"/>
        <w:ind w:firstLineChars="100" w:firstLine="210"/>
        <w:jc w:val="left"/>
        <w:rPr>
          <w:rFonts w:ascii="宋体" w:hAnsi="宋体" w:hint="eastAsia"/>
          <w:szCs w:val="21"/>
        </w:rPr>
      </w:pPr>
    </w:p>
    <w:p w:rsidR="004D5100" w:rsidRDefault="004D5100">
      <w:pPr>
        <w:spacing w:line="20" w:lineRule="exact"/>
        <w:jc w:val="left"/>
        <w:rPr>
          <w:rFonts w:ascii="宋体" w:hAnsi="宋体" w:hint="eastAsia"/>
          <w:szCs w:val="21"/>
        </w:rPr>
      </w:pPr>
    </w:p>
    <w:p w:rsidR="004D5100" w:rsidRDefault="004D5100">
      <w:pPr>
        <w:spacing w:line="20" w:lineRule="exact"/>
        <w:jc w:val="left"/>
        <w:rPr>
          <w:rFonts w:ascii="宋体" w:hAnsi="宋体" w:hint="eastAsia"/>
          <w:szCs w:val="21"/>
        </w:rPr>
      </w:pPr>
    </w:p>
    <w:p w:rsidR="004D5100" w:rsidRDefault="004D5100">
      <w:pPr>
        <w:spacing w:line="20" w:lineRule="exact"/>
        <w:jc w:val="left"/>
        <w:rPr>
          <w:rFonts w:ascii="宋体" w:hAnsi="宋体" w:hint="eastAsia"/>
          <w:szCs w:val="21"/>
        </w:rPr>
      </w:pPr>
    </w:p>
    <w:p w:rsidR="004D5100" w:rsidRDefault="004D5100">
      <w:pPr>
        <w:spacing w:line="360" w:lineRule="auto"/>
        <w:jc w:val="left"/>
        <w:rPr>
          <w:rFonts w:ascii="宋体" w:hAnsi="宋体" w:hint="eastAsia"/>
          <w:szCs w:val="21"/>
        </w:rPr>
      </w:pPr>
      <w:bookmarkStart w:id="36" w:name="WB_3_2_WB2"/>
      <w:bookmarkEnd w:id="36"/>
      <w:r>
        <w:rPr>
          <w:rFonts w:ascii="宋体" w:hAnsi="宋体" w:hint="eastAsia"/>
          <w:szCs w:val="21"/>
        </w:rPr>
        <w:t>注：投资者可以多次申购本基金，申购费率按每笔申购申请单独计算。</w:t>
      </w:r>
      <w:r>
        <w:rPr>
          <w:rFonts w:ascii="宋体" w:hAnsi="宋体" w:hint="eastAsia"/>
          <w:szCs w:val="21"/>
        </w:rPr>
        <w:br/>
        <w:t>  基金管理人可以针对特定投资人（如养老金客户等）开展费用优惠活动，详见基金管理人发布的相关公告。基金招募说明书规定申购费用为固定金额的，则按基金招募说明书中费用规定执行，不再享有费用优惠。</w:t>
      </w:r>
      <w:bookmarkStart w:id="37" w:name="ZJ_3_2_JS"/>
      <w:bookmarkEnd w:id="37"/>
    </w:p>
    <w:p w:rsidR="004D5100" w:rsidRDefault="004D5100" w:rsidP="00732CFC">
      <w:pPr>
        <w:pStyle w:val="2"/>
        <w:spacing w:before="312"/>
        <w:ind w:left="0"/>
        <w:rPr>
          <w:rFonts w:hint="eastAsia"/>
        </w:rPr>
      </w:pPr>
      <w:bookmarkStart w:id="38" w:name="ZJ_3_3_KS"/>
      <w:bookmarkEnd w:id="38"/>
      <w:r>
        <w:rPr>
          <w:rFonts w:hint="eastAsia"/>
        </w:rPr>
        <w:t>其他与申购相关的事项</w:t>
      </w:r>
    </w:p>
    <w:p w:rsidR="004D5100" w:rsidRDefault="004D5100">
      <w:pPr>
        <w:spacing w:line="360" w:lineRule="auto"/>
        <w:jc w:val="left"/>
        <w:rPr>
          <w:rFonts w:ascii="宋体" w:hAnsi="宋体"/>
          <w:szCs w:val="21"/>
        </w:rPr>
      </w:pPr>
      <w:bookmarkStart w:id="39" w:name="WB_3_3_WB1"/>
      <w:bookmarkEnd w:id="39"/>
      <w:r>
        <w:rPr>
          <w:rFonts w:ascii="宋体" w:hAnsi="宋体" w:hint="eastAsia"/>
          <w:szCs w:val="21"/>
        </w:rPr>
        <w:t>  本基金在开放日期间，各代销机构均暂不参加申购（含定期定额申购）基金的费率优惠活动。</w:t>
      </w:r>
      <w:bookmarkStart w:id="40" w:name="ZJ_3_3_JS"/>
      <w:bookmarkStart w:id="41" w:name="ZJ_3_JS"/>
      <w:bookmarkEnd w:id="40"/>
      <w:bookmarkEnd w:id="41"/>
    </w:p>
    <w:p w:rsidR="004D5100" w:rsidRDefault="004D5100" w:rsidP="00732CFC">
      <w:pPr>
        <w:pStyle w:val="10"/>
        <w:spacing w:before="312"/>
        <w:ind w:left="0"/>
        <w:rPr>
          <w:rFonts w:hint="eastAsia"/>
          <w:szCs w:val="21"/>
        </w:rPr>
      </w:pPr>
      <w:bookmarkStart w:id="42" w:name="ZJ_4_KS"/>
      <w:bookmarkEnd w:id="42"/>
      <w:r>
        <w:rPr>
          <w:rFonts w:hint="eastAsia"/>
          <w:szCs w:val="21"/>
        </w:rPr>
        <w:t>日常赎回业务</w:t>
      </w:r>
    </w:p>
    <w:p w:rsidR="004D5100" w:rsidRDefault="004D5100" w:rsidP="00732CFC">
      <w:pPr>
        <w:pStyle w:val="2"/>
        <w:spacing w:before="312"/>
        <w:ind w:left="0"/>
      </w:pPr>
      <w:bookmarkStart w:id="43" w:name="ZJ_4_1_KS"/>
      <w:bookmarkEnd w:id="43"/>
      <w:r>
        <w:rPr>
          <w:rFonts w:hint="eastAsia"/>
        </w:rPr>
        <w:t>赎回份额限制</w:t>
      </w:r>
    </w:p>
    <w:p w:rsidR="004D5100" w:rsidRDefault="004D5100">
      <w:pPr>
        <w:spacing w:line="360" w:lineRule="auto"/>
        <w:jc w:val="left"/>
        <w:rPr>
          <w:rFonts w:ascii="宋体" w:hAnsi="宋体"/>
          <w:szCs w:val="21"/>
        </w:rPr>
      </w:pPr>
      <w:bookmarkStart w:id="44" w:name="WB_4_1_WB1"/>
      <w:bookmarkEnd w:id="44"/>
      <w:r>
        <w:rPr>
          <w:rFonts w:ascii="宋体" w:hAnsi="宋体" w:hint="eastAsia"/>
          <w:szCs w:val="21"/>
        </w:rPr>
        <w:t>  本基金基金份额每次赎回的最低份额为1份，每个基金交易账户最低持有的基金份额余额为1份，若某笔赎回导致单个基金交易账户的基金份额余额少于1份时，余额部分基金份额必须一同赎回；各基金销售机构另有规定的，以基金销售机构的规定为准。</w:t>
      </w:r>
      <w:r>
        <w:rPr>
          <w:rFonts w:ascii="宋体" w:hAnsi="宋体" w:hint="eastAsia"/>
          <w:szCs w:val="21"/>
        </w:rPr>
        <w:br/>
        <w:t>  基金管理人可在法律法规允许的情况下，调整上述规定赎回份额的数量限制。基金管理人必须在调整实施前依照《信息披露办法》的有关规定在规定媒介上公告。</w:t>
      </w:r>
      <w:bookmarkStart w:id="45" w:name="ZJ_4_1_JS"/>
      <w:bookmarkEnd w:id="45"/>
    </w:p>
    <w:p w:rsidR="004D5100" w:rsidRDefault="004D5100" w:rsidP="00732CFC">
      <w:pPr>
        <w:pStyle w:val="2"/>
        <w:spacing w:before="312"/>
        <w:ind w:left="0"/>
        <w:rPr>
          <w:rFonts w:hint="eastAsia"/>
        </w:rPr>
      </w:pPr>
      <w:bookmarkStart w:id="46" w:name="ZJ_4_2_KS"/>
      <w:bookmarkEnd w:id="46"/>
      <w:r>
        <w:rPr>
          <w:rFonts w:hint="eastAsia"/>
        </w:rPr>
        <w:t>赎回费率</w:t>
      </w:r>
    </w:p>
    <w:p w:rsidR="004D5100" w:rsidRDefault="004D5100">
      <w:pPr>
        <w:spacing w:line="360" w:lineRule="auto"/>
        <w:jc w:val="left"/>
        <w:rPr>
          <w:rFonts w:ascii="宋体" w:hAnsi="宋体"/>
          <w:szCs w:val="21"/>
        </w:rPr>
      </w:pPr>
      <w:bookmarkStart w:id="47" w:name="WB_4_2_WB1"/>
      <w:bookmarkEnd w:id="47"/>
      <w:r>
        <w:rPr>
          <w:rFonts w:ascii="宋体" w:hAnsi="宋体" w:hint="eastAsia"/>
          <w:szCs w:val="21"/>
        </w:rPr>
        <w:t>  赎回费用由赎回基金份额的基金份额持有人承担，在基金份额持有人赎回基金份额时收取。本基金各类基金份额的赎回费率按该类基金份额持有期限递减，具体如下表所示：</w:t>
      </w:r>
    </w:p>
    <w:p w:rsidR="004D5100" w:rsidRDefault="004D5100">
      <w:pPr>
        <w:spacing w:line="20" w:lineRule="exact"/>
        <w:ind w:firstLineChars="100" w:firstLine="210"/>
        <w:jc w:val="left"/>
        <w:rPr>
          <w:rFonts w:ascii="宋体" w:hAnsi="宋体" w:hint="eastAsia"/>
          <w:szCs w:val="21"/>
        </w:rPr>
      </w:pPr>
    </w:p>
    <w:tbl>
      <w:tblPr>
        <w:tblW w:w="0" w:type="auto"/>
        <w:tblLook w:val="04A0"/>
      </w:tblPr>
      <w:tblGrid>
        <w:gridCol w:w="8522"/>
      </w:tblGrid>
      <w:tr w:rsidR="004D5100" w:rsidRPr="00732CFC" w:rsidTr="00732CFC">
        <w:tc>
          <w:tcPr>
            <w:tcW w:w="8522" w:type="dxa"/>
            <w:shd w:val="clear" w:color="auto" w:fill="auto"/>
            <w:vAlign w:val="center"/>
            <w:hideMark/>
          </w:tcPr>
          <w:p w:rsidR="004D5100" w:rsidRPr="00732CFC" w:rsidRDefault="004D5100">
            <w:pPr>
              <w:rPr>
                <w:rFonts w:ascii="宋体" w:hAnsi="宋体"/>
                <w:szCs w:val="21"/>
              </w:rPr>
            </w:pPr>
            <w:bookmarkStart w:id="48" w:name="YSH_XN_9192_1_KS_4_2"/>
            <w:bookmarkStart w:id="49" w:name="BG_4_2_BG2_XH1"/>
            <w:bookmarkEnd w:id="48"/>
            <w:bookmarkEnd w:id="49"/>
            <w:r w:rsidRPr="00732CFC">
              <w:rPr>
                <w:rFonts w:ascii="宋体" w:hAnsi="宋体" w:hint="eastAsia"/>
                <w:szCs w:val="21"/>
              </w:rPr>
              <w:t>恒越嘉润量化选股混合A：</w:t>
            </w:r>
            <w:bookmarkStart w:id="50" w:name="YSH_XN_9192_1_JS_4_2"/>
            <w:bookmarkEnd w:id="50"/>
          </w:p>
        </w:tc>
      </w:tr>
    </w:tbl>
    <w:p w:rsidR="004D5100" w:rsidRDefault="004D5100">
      <w:pPr>
        <w:spacing w:line="20" w:lineRule="exact"/>
        <w:jc w:val="left"/>
        <w:rPr>
          <w:rFonts w:ascii="宋体" w:hAnsi="宋体" w:hint="eastAsia"/>
          <w:szCs w:val="21"/>
        </w:rPr>
      </w:pPr>
    </w:p>
    <w:p w:rsidR="004D5100" w:rsidRDefault="004D5100">
      <w:pPr>
        <w:ind w:firstLineChars="100" w:firstLine="210"/>
        <w:jc w:val="left"/>
        <w:rPr>
          <w:rFonts w:ascii="宋体" w:hAnsi="宋体" w:hint="eastAsia"/>
          <w:szCs w:val="21"/>
        </w:rPr>
      </w:pPr>
      <w:bookmarkStart w:id="51" w:name="BTBG_4_2_BG2"/>
      <w:bookmarkEnd w:id="51"/>
      <w:r>
        <w:rPr>
          <w:rFonts w:ascii="宋体" w:hAnsi="宋体" w:hint="eastAsia"/>
          <w:szCs w:val="21"/>
        </w:rPr>
        <w:t>赎回费率如下：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持有期限（N）</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赎回费率</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N&lt;7天</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1.50%</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7天≤N&lt;30天</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1.00%</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30天≤N&lt;180天</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0.50%</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N≥180天</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0.00%</w:t>
            </w:r>
          </w:p>
        </w:tc>
      </w:tr>
    </w:tbl>
    <w:p w:rsidR="004D5100" w:rsidRDefault="004D5100">
      <w:pPr>
        <w:spacing w:line="20" w:lineRule="exact"/>
        <w:ind w:firstLineChars="100" w:firstLine="210"/>
        <w:jc w:val="left"/>
        <w:rPr>
          <w:rFonts w:ascii="宋体" w:hAnsi="宋体" w:hint="eastAsia"/>
          <w:szCs w:val="21"/>
        </w:rPr>
      </w:pPr>
    </w:p>
    <w:tbl>
      <w:tblPr>
        <w:tblW w:w="5000" w:type="pct"/>
        <w:tblBorders>
          <w:insideH w:val="single" w:sz="4" w:space="0" w:color="auto"/>
          <w:insideV w:val="single" w:sz="4" w:space="0" w:color="auto"/>
        </w:tblBorders>
        <w:tblLook w:val="04A0"/>
      </w:tblPr>
      <w:tblGrid>
        <w:gridCol w:w="8522"/>
      </w:tblGrid>
      <w:tr w:rsidR="004D5100" w:rsidRPr="00732CFC" w:rsidTr="00732CFC">
        <w:tc>
          <w:tcPr>
            <w:tcW w:w="8522" w:type="dxa"/>
            <w:shd w:val="clear" w:color="auto" w:fill="auto"/>
            <w:hideMark/>
          </w:tcPr>
          <w:p w:rsidR="004D5100" w:rsidRPr="00732CFC" w:rsidRDefault="004D5100" w:rsidP="00732CFC">
            <w:pPr>
              <w:jc w:val="left"/>
              <w:rPr>
                <w:rFonts w:ascii="宋体" w:hAnsi="宋体"/>
                <w:szCs w:val="21"/>
              </w:rPr>
            </w:pPr>
            <w:bookmarkStart w:id="52" w:name="YSH_XN_9192_2_KS_4_2"/>
            <w:bookmarkStart w:id="53" w:name="BG_4_2_BG3_XH1"/>
            <w:bookmarkEnd w:id="52"/>
            <w:bookmarkEnd w:id="53"/>
            <w:r w:rsidRPr="00732CFC">
              <w:rPr>
                <w:rFonts w:ascii="宋体" w:hAnsi="宋体" w:hint="eastAsia"/>
                <w:szCs w:val="21"/>
              </w:rPr>
              <w:t>恒越嘉润量化选股混合C：</w:t>
            </w:r>
            <w:bookmarkStart w:id="54" w:name="YSH_XN_9192_2_JS_4_2"/>
            <w:bookmarkEnd w:id="54"/>
          </w:p>
        </w:tc>
      </w:tr>
    </w:tbl>
    <w:p w:rsidR="004D5100" w:rsidRDefault="004D5100">
      <w:pPr>
        <w:spacing w:line="20" w:lineRule="exact"/>
        <w:ind w:firstLineChars="100" w:firstLine="210"/>
        <w:jc w:val="left"/>
        <w:rPr>
          <w:rFonts w:ascii="宋体" w:hAnsi="宋体" w:hint="eastAsia"/>
          <w:szCs w:val="21"/>
        </w:rPr>
      </w:pPr>
    </w:p>
    <w:p w:rsidR="004D5100" w:rsidRDefault="004D5100">
      <w:pPr>
        <w:ind w:firstLineChars="100" w:firstLine="210"/>
        <w:jc w:val="left"/>
        <w:rPr>
          <w:rFonts w:ascii="宋体" w:hAnsi="宋体" w:hint="eastAsia"/>
          <w:szCs w:val="21"/>
        </w:rPr>
      </w:pPr>
      <w:bookmarkStart w:id="55" w:name="BTBG_4_2_BG3"/>
      <w:bookmarkEnd w:id="55"/>
      <w:r>
        <w:rPr>
          <w:rFonts w:ascii="宋体" w:hAnsi="宋体" w:hint="eastAsia"/>
          <w:szCs w:val="21"/>
        </w:rPr>
        <w:t>赎回费率如下：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持有期限（N）</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赎回费率</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N&lt;7天</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1.50%</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7天≤N&lt;30天</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1.00%</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30天≤N&lt;180天</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0.50%</w:t>
            </w:r>
          </w:p>
        </w:tc>
      </w:tr>
      <w:tr w:rsidR="004D5100" w:rsidRPr="00732CFC" w:rsidTr="00732CF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N≥180天</w:t>
            </w:r>
          </w:p>
        </w:tc>
        <w:tc>
          <w:tcPr>
            <w:tcW w:w="4261" w:type="dxa"/>
            <w:tcBorders>
              <w:top w:val="single" w:sz="4" w:space="0" w:color="auto"/>
              <w:left w:val="single" w:sz="4" w:space="0" w:color="auto"/>
              <w:bottom w:val="single" w:sz="4" w:space="0" w:color="auto"/>
              <w:right w:val="single" w:sz="4" w:space="0" w:color="auto"/>
            </w:tcBorders>
            <w:shd w:val="clear" w:color="auto" w:fill="auto"/>
            <w:hideMark/>
          </w:tcPr>
          <w:p w:rsidR="004D5100" w:rsidRPr="00732CFC" w:rsidRDefault="004D5100" w:rsidP="00732CFC">
            <w:pPr>
              <w:jc w:val="left"/>
              <w:rPr>
                <w:rFonts w:ascii="宋体" w:hAnsi="宋体"/>
                <w:szCs w:val="21"/>
              </w:rPr>
            </w:pPr>
            <w:r w:rsidRPr="00732CFC">
              <w:rPr>
                <w:rFonts w:ascii="宋体" w:hAnsi="宋体" w:hint="eastAsia"/>
                <w:szCs w:val="21"/>
              </w:rPr>
              <w:t>0.00%</w:t>
            </w:r>
          </w:p>
        </w:tc>
      </w:tr>
    </w:tbl>
    <w:p w:rsidR="004D5100" w:rsidRDefault="004D5100">
      <w:pPr>
        <w:spacing w:line="20" w:lineRule="exact"/>
        <w:jc w:val="left"/>
        <w:rPr>
          <w:rFonts w:ascii="宋体" w:hAnsi="宋体" w:hint="eastAsia"/>
          <w:szCs w:val="21"/>
        </w:rPr>
      </w:pPr>
    </w:p>
    <w:p w:rsidR="004D5100" w:rsidRDefault="004D5100">
      <w:pPr>
        <w:spacing w:line="20" w:lineRule="exact"/>
        <w:jc w:val="left"/>
        <w:rPr>
          <w:rFonts w:ascii="宋体" w:hAnsi="宋体" w:hint="eastAsia"/>
          <w:szCs w:val="21"/>
        </w:rPr>
      </w:pPr>
    </w:p>
    <w:p w:rsidR="004D5100" w:rsidRDefault="004D5100">
      <w:pPr>
        <w:spacing w:line="20" w:lineRule="exact"/>
        <w:jc w:val="left"/>
        <w:rPr>
          <w:rFonts w:ascii="宋体" w:hAnsi="宋体" w:hint="eastAsia"/>
          <w:szCs w:val="21"/>
        </w:rPr>
      </w:pPr>
    </w:p>
    <w:p w:rsidR="004D5100" w:rsidRDefault="004D5100">
      <w:pPr>
        <w:spacing w:line="20" w:lineRule="exact"/>
        <w:jc w:val="left"/>
        <w:rPr>
          <w:rFonts w:ascii="宋体" w:hAnsi="宋体" w:hint="eastAsia"/>
          <w:szCs w:val="21"/>
        </w:rPr>
      </w:pPr>
    </w:p>
    <w:p w:rsidR="004D5100" w:rsidRDefault="004D5100">
      <w:pPr>
        <w:spacing w:line="20" w:lineRule="exact"/>
        <w:jc w:val="left"/>
        <w:rPr>
          <w:rFonts w:ascii="宋体" w:hAnsi="宋体" w:hint="eastAsia"/>
          <w:szCs w:val="21"/>
        </w:rPr>
      </w:pPr>
    </w:p>
    <w:p w:rsidR="004D5100" w:rsidRDefault="004D5100">
      <w:pPr>
        <w:spacing w:line="20" w:lineRule="exact"/>
        <w:jc w:val="left"/>
        <w:rPr>
          <w:rFonts w:ascii="宋体" w:hAnsi="宋体" w:hint="eastAsia"/>
          <w:szCs w:val="21"/>
        </w:rPr>
      </w:pPr>
    </w:p>
    <w:p w:rsidR="004D5100" w:rsidRDefault="004D5100">
      <w:pPr>
        <w:spacing w:line="360" w:lineRule="auto"/>
        <w:jc w:val="left"/>
        <w:rPr>
          <w:rFonts w:ascii="宋体" w:hAnsi="宋体" w:hint="eastAsia"/>
          <w:szCs w:val="21"/>
        </w:rPr>
      </w:pPr>
      <w:bookmarkStart w:id="56" w:name="WB_4_2_WB2"/>
      <w:bookmarkEnd w:id="56"/>
      <w:r>
        <w:rPr>
          <w:rFonts w:ascii="宋体" w:hAnsi="宋体" w:hint="eastAsia"/>
          <w:szCs w:val="21"/>
        </w:rPr>
        <w:t>注：对投资者收取的赎回费全额计入基金财产。</w:t>
      </w:r>
      <w:r>
        <w:rPr>
          <w:rFonts w:ascii="宋体" w:hAnsi="宋体" w:hint="eastAsia"/>
          <w:szCs w:val="21"/>
        </w:rPr>
        <w:br/>
        <w:t>  赎回金额为按实际确认的有效赎回份额乘以当日该类基金份额净值并扣除相应的费用，赎回金额单位为元。上述计算结果均按四舍五入方法，保留到小数点后2位，由此产生的收益或损失由基金财产承担。</w:t>
      </w:r>
      <w:bookmarkStart w:id="57" w:name="ZJ_4_2_JS"/>
      <w:bookmarkEnd w:id="57"/>
    </w:p>
    <w:p w:rsidR="004D5100" w:rsidRDefault="004D5100" w:rsidP="00732CFC">
      <w:pPr>
        <w:pStyle w:val="2"/>
        <w:spacing w:before="312"/>
        <w:ind w:left="0"/>
        <w:rPr>
          <w:rFonts w:hint="eastAsia"/>
        </w:rPr>
      </w:pPr>
      <w:bookmarkStart w:id="58" w:name="ZJ_4_3_KS"/>
      <w:bookmarkEnd w:id="58"/>
      <w:r>
        <w:rPr>
          <w:rFonts w:hint="eastAsia"/>
        </w:rPr>
        <w:t>其他与赎回相关的事项</w:t>
      </w:r>
    </w:p>
    <w:p w:rsidR="004D5100" w:rsidRDefault="004D5100">
      <w:pPr>
        <w:spacing w:line="360" w:lineRule="auto"/>
        <w:jc w:val="left"/>
        <w:rPr>
          <w:rFonts w:ascii="宋体" w:hAnsi="宋体"/>
          <w:szCs w:val="21"/>
        </w:rPr>
      </w:pPr>
      <w:bookmarkStart w:id="59" w:name="WB_4_3_WB1"/>
      <w:bookmarkEnd w:id="59"/>
      <w:r>
        <w:rPr>
          <w:rFonts w:ascii="宋体" w:hAnsi="宋体" w:hint="eastAsia"/>
          <w:szCs w:val="21"/>
        </w:rPr>
        <w:t>  无。</w:t>
      </w:r>
      <w:bookmarkStart w:id="60" w:name="ZJ_4_3_JS"/>
      <w:bookmarkStart w:id="61" w:name="ZJ_4_JS"/>
      <w:bookmarkEnd w:id="60"/>
      <w:bookmarkEnd w:id="61"/>
    </w:p>
    <w:p w:rsidR="004D5100" w:rsidRDefault="004D5100" w:rsidP="00732CFC">
      <w:pPr>
        <w:pStyle w:val="10"/>
        <w:spacing w:before="312"/>
        <w:ind w:left="0"/>
        <w:rPr>
          <w:rFonts w:hint="eastAsia"/>
          <w:szCs w:val="21"/>
        </w:rPr>
      </w:pPr>
      <w:bookmarkStart w:id="62" w:name="ZJ_5_KS"/>
      <w:bookmarkEnd w:id="62"/>
      <w:r>
        <w:rPr>
          <w:rFonts w:hint="eastAsia"/>
          <w:szCs w:val="21"/>
        </w:rPr>
        <w:t>日常转换业务</w:t>
      </w:r>
    </w:p>
    <w:p w:rsidR="004D5100" w:rsidRDefault="004D5100" w:rsidP="00732CFC">
      <w:pPr>
        <w:pStyle w:val="2"/>
        <w:spacing w:before="312"/>
        <w:ind w:left="422" w:hanging="422"/>
      </w:pPr>
      <w:bookmarkStart w:id="63" w:name="ZJ_5_1_KS"/>
      <w:bookmarkEnd w:id="63"/>
      <w:r>
        <w:rPr>
          <w:rFonts w:hint="eastAsia"/>
        </w:rPr>
        <w:t>转换费率</w:t>
      </w:r>
    </w:p>
    <w:p w:rsidR="004D5100" w:rsidRDefault="004D5100">
      <w:pPr>
        <w:spacing w:line="360" w:lineRule="auto"/>
        <w:jc w:val="left"/>
        <w:rPr>
          <w:rFonts w:ascii="宋体" w:hAnsi="宋体"/>
          <w:szCs w:val="21"/>
        </w:rPr>
      </w:pPr>
      <w:bookmarkStart w:id="64" w:name="WB_5_1_WB1"/>
      <w:bookmarkEnd w:id="64"/>
      <w:r>
        <w:rPr>
          <w:rFonts w:ascii="宋体" w:hAnsi="宋体" w:hint="eastAsia"/>
          <w:szCs w:val="21"/>
        </w:rPr>
        <w:t>  （1）基金转换费</w:t>
      </w:r>
      <w:r>
        <w:rPr>
          <w:rFonts w:ascii="宋体" w:hAnsi="宋体" w:hint="eastAsia"/>
          <w:szCs w:val="21"/>
        </w:rPr>
        <w:br/>
        <w:t>  基金转换采取未知价法，即基金的转换价格以申请受理当日各转出、转入基金的基金份额净值为基础进行计算。</w:t>
      </w:r>
      <w:r>
        <w:rPr>
          <w:rFonts w:ascii="宋体" w:hAnsi="宋体" w:hint="eastAsia"/>
          <w:szCs w:val="21"/>
        </w:rPr>
        <w:br/>
        <w:t>  基金转换费用由转出基金赎回费用及基金申购补差费用两部分构成。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r>
        <w:rPr>
          <w:rFonts w:ascii="宋体" w:hAnsi="宋体" w:hint="eastAsia"/>
          <w:szCs w:val="21"/>
        </w:rPr>
        <w:br/>
        <w:t>  赎回费按照转出本基金基金合同约定的比例归入转出基金资产，转出金额以四舍五入的方式保留至小数点后两位，由此产生的误差在转出基金的基金资产中列支；转入份额以四舍五入的方式保留至小数点后两位，由此产生的误差在转入基金的基金资产中列支。</w:t>
      </w:r>
      <w:r>
        <w:rPr>
          <w:rFonts w:ascii="宋体" w:hAnsi="宋体" w:hint="eastAsia"/>
          <w:szCs w:val="21"/>
        </w:rPr>
        <w:br/>
        <w:t>  （2）基金转换的计算公式</w:t>
      </w:r>
      <w:r>
        <w:rPr>
          <w:rFonts w:ascii="宋体" w:hAnsi="宋体" w:hint="eastAsia"/>
          <w:szCs w:val="21"/>
        </w:rPr>
        <w:br/>
        <w:t>  转换费用=转出基金赎回费+转换申购补差费</w:t>
      </w:r>
      <w:r>
        <w:rPr>
          <w:rFonts w:ascii="宋体" w:hAnsi="宋体" w:hint="eastAsia"/>
          <w:szCs w:val="21"/>
        </w:rPr>
        <w:br/>
        <w:t>  转出基金赎回费＝转出份额×转出基金当日基金份额净值×转出基金赎回费率</w:t>
      </w:r>
      <w:r>
        <w:rPr>
          <w:rFonts w:ascii="宋体" w:hAnsi="宋体" w:hint="eastAsia"/>
          <w:szCs w:val="21"/>
        </w:rPr>
        <w:br/>
        <w:t>  转换金额=转出份额×转出基金当日基金份额净值-转出基金赎回费</w:t>
      </w:r>
      <w:r>
        <w:rPr>
          <w:rFonts w:ascii="宋体" w:hAnsi="宋体" w:hint="eastAsia"/>
          <w:szCs w:val="21"/>
        </w:rPr>
        <w:br/>
        <w:t>  转换申购补差费用=转换金额×转入基金申购费率÷（1+转入基金申购费率）-转换金额×转出基金申购费率÷（1+转出基金申购费率）或，固定申购补差费</w:t>
      </w:r>
      <w:r>
        <w:rPr>
          <w:rFonts w:ascii="宋体" w:hAnsi="宋体" w:hint="eastAsia"/>
          <w:szCs w:val="21"/>
        </w:rPr>
        <w:br/>
        <w:t>  转入份额=（转出份额×转出基金当日基金份额净值-转换费用）÷转入基金当日基金份额净值</w:t>
      </w:r>
      <w:bookmarkStart w:id="65" w:name="ZJ_5_1_JS"/>
      <w:bookmarkEnd w:id="65"/>
    </w:p>
    <w:p w:rsidR="004D5100" w:rsidRDefault="004D5100" w:rsidP="00732CFC">
      <w:pPr>
        <w:pStyle w:val="2"/>
        <w:spacing w:before="312"/>
        <w:ind w:left="422" w:hanging="422"/>
        <w:rPr>
          <w:rFonts w:hint="eastAsia"/>
        </w:rPr>
      </w:pPr>
      <w:bookmarkStart w:id="66" w:name="ZJ_5_2_KS"/>
      <w:bookmarkEnd w:id="66"/>
      <w:r>
        <w:rPr>
          <w:rFonts w:hint="eastAsia"/>
        </w:rPr>
        <w:t>其他与转换相关的事项</w:t>
      </w:r>
    </w:p>
    <w:p w:rsidR="004D5100" w:rsidRDefault="004D5100">
      <w:pPr>
        <w:spacing w:line="360" w:lineRule="auto"/>
        <w:jc w:val="left"/>
        <w:rPr>
          <w:rFonts w:ascii="宋体" w:hAnsi="宋体"/>
          <w:szCs w:val="21"/>
        </w:rPr>
      </w:pPr>
      <w:bookmarkStart w:id="67" w:name="WB_5_2_WB1"/>
      <w:bookmarkEnd w:id="67"/>
      <w:r>
        <w:rPr>
          <w:rFonts w:ascii="宋体" w:hAnsi="宋体" w:hint="eastAsia"/>
          <w:szCs w:val="21"/>
        </w:rPr>
        <w:t>  （1）本基金转换业务适用于本基金基金份额与本公司已发行和管理的其他基金份额（未开通转换的基金份额除外）之间的相互转换。</w:t>
      </w:r>
      <w:r>
        <w:rPr>
          <w:rFonts w:ascii="宋体" w:hAnsi="宋体" w:hint="eastAsia"/>
          <w:szCs w:val="21"/>
        </w:rPr>
        <w:br/>
        <w:t>  （2）基金转换只能在同一销售机构进行，且该销售机构同时代销拟转出基金与转入基金。投资者在销售机构办理相关业务时，需遵循各基金销售机构的相关规定，以各销售机构的实际业务开展为准。基金管理人将根据业务发展情况，调整业务办理机构，届时将按《信息披露办法》规定在规定媒介上公告。</w:t>
      </w:r>
      <w:r>
        <w:rPr>
          <w:rFonts w:ascii="宋体" w:hAnsi="宋体" w:hint="eastAsia"/>
          <w:szCs w:val="21"/>
        </w:rPr>
        <w:br/>
        <w:t>  （3）投资者办理基金转换业务时，转出方的基金必须处于可赎回状态，转入方的基金必须处于可申购状态。基金投资者提出的基金转换申请，在当日交易时间结束前可以撤销，交易时间结束后即不得撤销。</w:t>
      </w:r>
      <w:r>
        <w:rPr>
          <w:rFonts w:ascii="宋体" w:hAnsi="宋体" w:hint="eastAsia"/>
          <w:szCs w:val="21"/>
        </w:rPr>
        <w:br/>
        <w:t>  （4）基金注册登记机构以收到基金转换申请的当天作为基金转换申请日（T日），并在T+1日对该交易的有效性进行确认。投资者可在T+2日及之后到其提出基金转换申请的销售机构查询转换的确认情况。转换后，转入基金份额的持有时间将重新计算，即转入基金份额的持有期将自转入基金份额被确认日起重新开始计算。</w:t>
      </w:r>
      <w:r>
        <w:rPr>
          <w:rFonts w:ascii="宋体" w:hAnsi="宋体" w:hint="eastAsia"/>
          <w:szCs w:val="21"/>
        </w:rPr>
        <w:br/>
        <w:t>  （5）基金遵循“份额转换”的原则，单笔转换份额不得低于100份。基金份额持有人可将其全部或部分基金份额转换成其它基金份额，留存份额不足1份的，只能一次性转换全部剩余份额。各基金销售机构可在此基础上另设规定，具体以各基金销售机构的规定为准。</w:t>
      </w:r>
      <w:bookmarkStart w:id="68" w:name="ZJ_5_2_JS"/>
      <w:bookmarkStart w:id="69" w:name="ZJ_5_JS"/>
      <w:bookmarkEnd w:id="68"/>
      <w:bookmarkEnd w:id="69"/>
    </w:p>
    <w:p w:rsidR="004D5100" w:rsidRDefault="004D5100" w:rsidP="00732CFC">
      <w:pPr>
        <w:pStyle w:val="10"/>
        <w:spacing w:before="312"/>
        <w:ind w:left="0"/>
        <w:rPr>
          <w:rFonts w:hint="eastAsia"/>
          <w:szCs w:val="21"/>
        </w:rPr>
      </w:pPr>
      <w:bookmarkStart w:id="70" w:name="ZJ_6_KS"/>
      <w:bookmarkEnd w:id="70"/>
      <w:r>
        <w:rPr>
          <w:rFonts w:hint="eastAsia"/>
          <w:szCs w:val="21"/>
        </w:rPr>
        <w:t>定期定额投资业务</w:t>
      </w:r>
    </w:p>
    <w:p w:rsidR="004D5100" w:rsidRDefault="004D5100">
      <w:pPr>
        <w:spacing w:line="360" w:lineRule="auto"/>
        <w:jc w:val="left"/>
        <w:rPr>
          <w:rFonts w:ascii="宋体" w:hAnsi="宋体"/>
          <w:szCs w:val="21"/>
        </w:rPr>
      </w:pPr>
      <w:bookmarkStart w:id="71" w:name="WB_6_WB1"/>
      <w:bookmarkEnd w:id="71"/>
      <w:r>
        <w:rPr>
          <w:rFonts w:ascii="宋体" w:hAnsi="宋体" w:hint="eastAsia"/>
          <w:szCs w:val="21"/>
        </w:rPr>
        <w:t>  （1）定期定额投资业务（以下简称“定投”）：指投资者通过有关销售机构提出申请，约定每期扣款日、扣款金额及扣款方式，由销售机构于每期约定扣款日在投资者指定账户内自助完成扣款及基金申购申请的一种投资方式。投资者在销售机构办理定期定额业务，具体办理规则及程序请遵循各销售机构的规定。</w:t>
      </w:r>
      <w:r>
        <w:rPr>
          <w:rFonts w:ascii="宋体" w:hAnsi="宋体" w:hint="eastAsia"/>
          <w:szCs w:val="21"/>
        </w:rPr>
        <w:br/>
        <w:t>  （2）除另有公告外，本基金定期定额投资费率与日常申购费率相同。</w:t>
      </w:r>
      <w:r>
        <w:rPr>
          <w:rFonts w:ascii="宋体" w:hAnsi="宋体" w:hint="eastAsia"/>
          <w:szCs w:val="21"/>
        </w:rPr>
        <w:br/>
        <w:t>  （3）本基金基金份额的每期扣款金额不低于人民币100元，不设金额级差。各销售机构可在此基础上规定自己的最低扣款金额。销售机构将按照与投资者申请时所约定的每期约定扣款日、扣款金额扣款，并在与基金日常申购业务相同的受理时间内提交申请。若遇非基金开放日时，扣款是否顺延以销售机构的具体规定为准。具体扣款方式以上述销售机构的相关业务规则为准。</w:t>
      </w:r>
      <w:r>
        <w:rPr>
          <w:rFonts w:ascii="宋体" w:hAnsi="宋体" w:hint="eastAsia"/>
          <w:szCs w:val="21"/>
        </w:rPr>
        <w:br/>
        <w:t>  （4）本基金的注册登记机构按照基金申购申请日（T日）的基金份额净值为基准计算申购份额，申购份额通常将在T+1工作日确认成功后直接计入投资者的基金账户，投资者可自T+2工作日起查询申购成交情况。</w:t>
      </w:r>
      <w:r>
        <w:rPr>
          <w:rFonts w:ascii="宋体" w:hAnsi="宋体" w:hint="eastAsia"/>
          <w:szCs w:val="21"/>
        </w:rPr>
        <w:br/>
        <w:t>  （5）当发生限制申购或暂停申购的情形时，除另有公告外，定期定额投资与日常申购按相同的原则确认。</w:t>
      </w:r>
      <w:bookmarkStart w:id="72" w:name="ZJ_6_JS"/>
      <w:bookmarkEnd w:id="72"/>
    </w:p>
    <w:p w:rsidR="004D5100" w:rsidRDefault="004D5100" w:rsidP="00732CFC">
      <w:pPr>
        <w:pStyle w:val="10"/>
        <w:spacing w:before="312"/>
        <w:ind w:left="0"/>
        <w:rPr>
          <w:rFonts w:hint="eastAsia"/>
          <w:szCs w:val="21"/>
        </w:rPr>
      </w:pPr>
      <w:bookmarkStart w:id="73" w:name="ZJ_7_KS"/>
      <w:bookmarkEnd w:id="73"/>
      <w:r>
        <w:rPr>
          <w:rFonts w:hint="eastAsia"/>
          <w:szCs w:val="21"/>
        </w:rPr>
        <w:t>基金销售机构</w:t>
      </w:r>
    </w:p>
    <w:p w:rsidR="004D5100" w:rsidRDefault="004D5100" w:rsidP="00732CFC">
      <w:pPr>
        <w:pStyle w:val="2"/>
        <w:spacing w:before="312"/>
        <w:ind w:left="0"/>
      </w:pPr>
      <w:bookmarkStart w:id="74" w:name="ZJ_7_1_KS"/>
      <w:bookmarkEnd w:id="74"/>
      <w:r>
        <w:rPr>
          <w:rFonts w:hint="eastAsia"/>
        </w:rPr>
        <w:t>场外销售机构</w:t>
      </w:r>
    </w:p>
    <w:p w:rsidR="004D5100" w:rsidRDefault="004D5100" w:rsidP="00732CFC">
      <w:pPr>
        <w:pStyle w:val="3"/>
        <w:spacing w:before="312"/>
        <w:ind w:left="0"/>
      </w:pPr>
      <w:bookmarkStart w:id="75" w:name="ZJ_7_1_1_KS"/>
      <w:bookmarkEnd w:id="75"/>
      <w:r>
        <w:rPr>
          <w:rFonts w:hint="eastAsia"/>
        </w:rPr>
        <w:t>直销机构</w:t>
      </w:r>
    </w:p>
    <w:p w:rsidR="004D5100" w:rsidRDefault="004D5100">
      <w:pPr>
        <w:spacing w:line="360" w:lineRule="auto"/>
        <w:jc w:val="left"/>
        <w:rPr>
          <w:rFonts w:ascii="宋体" w:hAnsi="宋体" w:hint="eastAsia"/>
          <w:szCs w:val="21"/>
        </w:rPr>
      </w:pPr>
      <w:bookmarkStart w:id="76" w:name="WB_7_1_1_WB1"/>
      <w:bookmarkEnd w:id="76"/>
      <w:r>
        <w:rPr>
          <w:rFonts w:ascii="宋体" w:hAnsi="宋体" w:hint="eastAsia"/>
          <w:szCs w:val="21"/>
        </w:rPr>
        <w:t>  （1）名称：恒越基金管理有限公司直销柜台</w:t>
      </w:r>
      <w:r>
        <w:rPr>
          <w:rFonts w:ascii="宋体" w:hAnsi="宋体" w:hint="eastAsia"/>
          <w:szCs w:val="21"/>
        </w:rPr>
        <w:br/>
        <w:t>  注册地址：上海市浦东新区龙阳路2277号2102室</w:t>
      </w:r>
      <w:r>
        <w:rPr>
          <w:rFonts w:ascii="宋体" w:hAnsi="宋体" w:hint="eastAsia"/>
          <w:szCs w:val="21"/>
        </w:rPr>
        <w:br/>
        <w:t>  办公地址：上海市浦东新区龙阳路2277号永达国际大厦21楼</w:t>
      </w:r>
      <w:r>
        <w:rPr>
          <w:rFonts w:ascii="宋体" w:hAnsi="宋体" w:hint="eastAsia"/>
          <w:szCs w:val="21"/>
        </w:rPr>
        <w:br/>
        <w:t>  法定代表人：郑继国</w:t>
      </w:r>
      <w:r>
        <w:rPr>
          <w:rFonts w:ascii="宋体" w:hAnsi="宋体" w:hint="eastAsia"/>
          <w:szCs w:val="21"/>
        </w:rPr>
        <w:br/>
        <w:t>  联系人：林晨</w:t>
      </w:r>
      <w:r>
        <w:rPr>
          <w:rFonts w:ascii="宋体" w:hAnsi="宋体" w:hint="eastAsia"/>
          <w:szCs w:val="21"/>
        </w:rPr>
        <w:br/>
        <w:t>  联系电话：021-80363961</w:t>
      </w:r>
      <w:r>
        <w:rPr>
          <w:rFonts w:ascii="宋体" w:hAnsi="宋体" w:hint="eastAsia"/>
          <w:szCs w:val="21"/>
        </w:rPr>
        <w:br/>
        <w:t>  网址：www.hengyuefund.com</w:t>
      </w:r>
      <w:r>
        <w:rPr>
          <w:rFonts w:ascii="宋体" w:hAnsi="宋体" w:hint="eastAsia"/>
          <w:szCs w:val="21"/>
        </w:rPr>
        <w:br/>
        <w:t>  传真：021-80363939</w:t>
      </w:r>
      <w:r>
        <w:rPr>
          <w:rFonts w:ascii="宋体" w:hAnsi="宋体" w:hint="eastAsia"/>
          <w:szCs w:val="21"/>
        </w:rPr>
        <w:br/>
        <w:t>  （2）名称：恒越基金管理有限公司网上直销系统</w:t>
      </w:r>
      <w:r>
        <w:rPr>
          <w:rFonts w:ascii="宋体" w:hAnsi="宋体" w:hint="eastAsia"/>
          <w:szCs w:val="21"/>
        </w:rPr>
        <w:br/>
        <w:t>  网址：https://e.hengyuefund.com/etrading/</w:t>
      </w:r>
      <w:r>
        <w:rPr>
          <w:rFonts w:ascii="宋体" w:hAnsi="宋体" w:hint="eastAsia"/>
          <w:szCs w:val="21"/>
        </w:rPr>
        <w:br/>
        <w:t>  （3）名称：恒越基金微信公众号</w:t>
      </w:r>
      <w:r>
        <w:rPr>
          <w:rFonts w:ascii="宋体" w:hAnsi="宋体" w:hint="eastAsia"/>
          <w:szCs w:val="21"/>
        </w:rPr>
        <w:br/>
        <w:t>  微信号：“恒越基金管理有限公司”或者“FocusBridge”</w:t>
      </w:r>
      <w:bookmarkStart w:id="77" w:name="ZJ_7_1_1_JS"/>
      <w:bookmarkEnd w:id="77"/>
    </w:p>
    <w:p w:rsidR="004D5100" w:rsidRDefault="004D5100" w:rsidP="00732CFC">
      <w:pPr>
        <w:pStyle w:val="3"/>
        <w:spacing w:before="312"/>
        <w:ind w:left="0"/>
        <w:rPr>
          <w:rFonts w:hint="eastAsia"/>
        </w:rPr>
      </w:pPr>
      <w:bookmarkStart w:id="78" w:name="ZJ_7_1_2_KS"/>
      <w:bookmarkEnd w:id="78"/>
      <w:r>
        <w:rPr>
          <w:rFonts w:hint="eastAsia"/>
          <w:lang w:eastAsia="zh-CN"/>
        </w:rPr>
        <w:t>场外</w:t>
      </w:r>
      <w:r>
        <w:rPr>
          <w:rFonts w:hint="eastAsia"/>
        </w:rPr>
        <w:t>非直销机构</w:t>
      </w:r>
    </w:p>
    <w:p w:rsidR="004D5100" w:rsidRDefault="004D5100">
      <w:pPr>
        <w:spacing w:line="360" w:lineRule="auto"/>
        <w:jc w:val="left"/>
        <w:rPr>
          <w:rFonts w:ascii="宋体" w:hAnsi="宋体" w:hint="eastAsia"/>
          <w:szCs w:val="21"/>
        </w:rPr>
      </w:pPr>
      <w:bookmarkStart w:id="79" w:name="WB_7_1_2_WB1"/>
      <w:bookmarkEnd w:id="79"/>
      <w:r>
        <w:rPr>
          <w:rFonts w:ascii="宋体" w:hAnsi="宋体" w:hint="eastAsia"/>
          <w:szCs w:val="21"/>
        </w:rPr>
        <w:t>  本基金代销机构信息详见基金管理人网站公示，敬请投资者留意。基金管理人可以根据情况变更、增减代销机构，并在基金管理人网站公示。投资者在各代销机构办理本基金相关业务时，请遵循各代销机构业务规则与操作流程。</w:t>
      </w:r>
      <w:bookmarkStart w:id="80" w:name="ZJ_7_1_2_JS"/>
      <w:bookmarkStart w:id="81" w:name="ZJ_7_1_JS"/>
      <w:bookmarkEnd w:id="80"/>
      <w:bookmarkEnd w:id="81"/>
    </w:p>
    <w:p w:rsidR="004D5100" w:rsidRDefault="004D5100" w:rsidP="00732CFC">
      <w:pPr>
        <w:pStyle w:val="10"/>
        <w:spacing w:before="312"/>
        <w:ind w:left="0"/>
        <w:rPr>
          <w:rFonts w:hint="eastAsia"/>
          <w:szCs w:val="21"/>
        </w:rPr>
      </w:pPr>
      <w:bookmarkStart w:id="82" w:name="ZJ_8_KS"/>
      <w:bookmarkEnd w:id="82"/>
      <w:r>
        <w:rPr>
          <w:rFonts w:hint="eastAsia"/>
          <w:szCs w:val="21"/>
        </w:rPr>
        <w:t>基金份额净值公告</w:t>
      </w:r>
      <w:r>
        <w:rPr>
          <w:szCs w:val="21"/>
        </w:rPr>
        <w:t>/</w:t>
      </w:r>
      <w:r>
        <w:rPr>
          <w:rFonts w:hint="eastAsia"/>
          <w:szCs w:val="21"/>
        </w:rPr>
        <w:t>基金收益公告的披露安排</w:t>
      </w:r>
    </w:p>
    <w:p w:rsidR="004D5100" w:rsidRDefault="004D5100">
      <w:pPr>
        <w:spacing w:line="360" w:lineRule="auto"/>
        <w:jc w:val="left"/>
        <w:rPr>
          <w:rFonts w:ascii="宋体" w:hAnsi="宋体"/>
          <w:szCs w:val="21"/>
        </w:rPr>
      </w:pPr>
      <w:bookmarkStart w:id="83" w:name="WB_8_WB1"/>
      <w:bookmarkEnd w:id="83"/>
      <w:r>
        <w:rPr>
          <w:rFonts w:ascii="宋体" w:hAnsi="宋体" w:hint="eastAsia"/>
          <w:szCs w:val="21"/>
        </w:rPr>
        <w:t>  在开始办理基金份额申购或者赎回后，基金管理人应当在不晚于每个开放日的次日，通过规定网站、基金销售机构网站以及营业网点披露开放日的基金份额净值和基金份额累计净值。</w:t>
      </w:r>
      <w:bookmarkStart w:id="84" w:name="ZJ_8_JS"/>
      <w:bookmarkEnd w:id="84"/>
    </w:p>
    <w:p w:rsidR="004D5100" w:rsidRDefault="004D5100" w:rsidP="00732CFC">
      <w:pPr>
        <w:pStyle w:val="10"/>
        <w:spacing w:before="312"/>
        <w:ind w:left="0"/>
        <w:rPr>
          <w:rFonts w:hint="eastAsia"/>
          <w:szCs w:val="21"/>
        </w:rPr>
      </w:pPr>
      <w:bookmarkStart w:id="85" w:name="ZJ_9_KS"/>
      <w:bookmarkEnd w:id="85"/>
      <w:r>
        <w:rPr>
          <w:rFonts w:hint="eastAsia"/>
          <w:szCs w:val="21"/>
        </w:rPr>
        <w:t>其他需要提示的事项</w:t>
      </w:r>
    </w:p>
    <w:p w:rsidR="004D5100" w:rsidRDefault="004D5100">
      <w:pPr>
        <w:spacing w:line="360" w:lineRule="auto"/>
        <w:rPr>
          <w:rFonts w:ascii="宋体" w:hAnsi="宋体"/>
          <w:szCs w:val="21"/>
        </w:rPr>
      </w:pPr>
      <w:bookmarkStart w:id="86" w:name="WB_9_WB1"/>
      <w:bookmarkEnd w:id="86"/>
      <w:r>
        <w:rPr>
          <w:rFonts w:ascii="宋体" w:hAnsi="宋体" w:hint="eastAsia"/>
          <w:szCs w:val="21"/>
        </w:rPr>
        <w:t>  1.基金管理人可以在基金合同约定的范围内调整费率或收费方式，并最迟应于新的费率或收费方式实施日前依照《信息披露办法》的有关规定在规定媒介上公告。</w:t>
      </w:r>
      <w:r>
        <w:rPr>
          <w:rFonts w:ascii="宋体" w:hAnsi="宋体" w:hint="eastAsia"/>
          <w:szCs w:val="21"/>
        </w:rPr>
        <w:br/>
        <w:t>  2.本公告仅对本基金开放日常申购、赎回、转换和定期定额投资业务有关的事项予以说明。投资者欲了解本基金的详细情况，请仔细阅读登载在规定媒介上的《恒越嘉润量化选股混合型证券投资基金基金合同》、《恒越嘉润量化选股混合型证券投资基金招募说明书》及基金产品资料概要等基金法律文件。投资人还可通过基金管理人网站或相关销售机构查阅本基金相关法律文件或资料。</w:t>
      </w:r>
      <w:r>
        <w:rPr>
          <w:rFonts w:ascii="宋体" w:hAnsi="宋体" w:hint="eastAsia"/>
          <w:szCs w:val="21"/>
        </w:rPr>
        <w:br/>
        <w:t>  如有任何疑问，请与本基金管理人联系。</w:t>
      </w:r>
      <w:r>
        <w:rPr>
          <w:rFonts w:ascii="宋体" w:hAnsi="宋体" w:hint="eastAsia"/>
          <w:szCs w:val="21"/>
        </w:rPr>
        <w:br/>
        <w:t>  本基金管理人客户服务中心电话：400-921-7000</w:t>
      </w:r>
      <w:r>
        <w:rPr>
          <w:rFonts w:ascii="宋体" w:hAnsi="宋体" w:hint="eastAsia"/>
          <w:szCs w:val="21"/>
        </w:rPr>
        <w:br/>
        <w:t>  网址：www.hengyuefund.com</w:t>
      </w:r>
      <w:r>
        <w:rPr>
          <w:rFonts w:ascii="宋体" w:hAnsi="宋体" w:hint="eastAsia"/>
          <w:szCs w:val="21"/>
        </w:rPr>
        <w:br/>
      </w:r>
      <w:r>
        <w:rPr>
          <w:rFonts w:ascii="宋体" w:hAnsi="宋体" w:hint="eastAsia"/>
          <w:szCs w:val="21"/>
        </w:rPr>
        <w:br/>
      </w:r>
      <w:r>
        <w:rPr>
          <w:rFonts w:ascii="宋体" w:hAnsi="宋体" w:hint="eastAsia"/>
          <w:szCs w:val="21"/>
        </w:rPr>
        <w:br/>
        <w:t>  风险提示：本基金管理人承诺以诚实信用、勤勉尽责的原则管理和运用基金资产，但不保证基金一定盈利，也不保证最低收益。基金的过往业绩及其净值高低并不预示其未来业绩表现。投资者投资基金前应认真阅读基金合同、招募说明书等法律文件，了解所投资基金的风险收益特征，并根据自身情况购买与本人风险承受能力相匹配的产品。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r>
        <w:rPr>
          <w:rFonts w:ascii="宋体" w:hAnsi="宋体" w:hint="eastAsia"/>
          <w:szCs w:val="21"/>
        </w:rPr>
        <w:br/>
        <w:t>  </w:t>
      </w:r>
      <w:r>
        <w:rPr>
          <w:rFonts w:ascii="宋体" w:hAnsi="宋体" w:hint="eastAsia"/>
          <w:szCs w:val="21"/>
        </w:rPr>
        <w:br/>
        <w:t>  特此公告。</w:t>
      </w:r>
      <w:r>
        <w:rPr>
          <w:rFonts w:ascii="宋体" w:hAnsi="宋体" w:hint="eastAsia"/>
          <w:szCs w:val="21"/>
        </w:rPr>
        <w:br/>
        <w:t> </w:t>
      </w:r>
      <w:r>
        <w:rPr>
          <w:rFonts w:ascii="宋体" w:hAnsi="宋体" w:hint="eastAsia"/>
          <w:szCs w:val="21"/>
        </w:rPr>
        <w:br/>
        <w:t>                             恒越基金管理有限公司</w:t>
      </w:r>
      <w:r>
        <w:rPr>
          <w:rFonts w:ascii="宋体" w:hAnsi="宋体" w:hint="eastAsia"/>
          <w:szCs w:val="21"/>
        </w:rPr>
        <w:br/>
        <w:t>                             2026年02月28日</w:t>
      </w:r>
      <w:bookmarkStart w:id="87" w:name="ZJ_9_JS"/>
      <w:bookmarkEnd w:id="87"/>
    </w:p>
    <w:sectPr w:rsidR="004D510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100" w:rsidRDefault="004D5100">
      <w:r>
        <w:separator/>
      </w:r>
    </w:p>
  </w:endnote>
  <w:endnote w:type="continuationSeparator" w:id="0">
    <w:p w:rsidR="004D5100" w:rsidRDefault="004D5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100" w:rsidRPr="00732CFC" w:rsidRDefault="004D5100">
    <w:pPr>
      <w:pStyle w:val="a5"/>
      <w:jc w:val="center"/>
      <w:rPr>
        <w:rFonts w:hint="eastAsia"/>
      </w:rPr>
    </w:pPr>
    <w:fldSimple w:instr="PAGE   \* MERGEFORMAT">
      <w:r w:rsidR="0005113E" w:rsidRPr="0005113E">
        <w:rPr>
          <w:noProof/>
          <w:lang w:val="zh-CN"/>
        </w:rPr>
        <w:t>1</w:t>
      </w:r>
    </w:fldSimple>
  </w:p>
  <w:p w:rsidR="004D5100" w:rsidRDefault="004D51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100" w:rsidRDefault="004D5100">
      <w:r>
        <w:separator/>
      </w:r>
    </w:p>
  </w:footnote>
  <w:footnote w:type="continuationSeparator" w:id="0">
    <w:p w:rsidR="004D5100" w:rsidRDefault="004D5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100" w:rsidRDefault="004D5100">
    <w:pPr>
      <w:pStyle w:val="a4"/>
      <w:pBdr>
        <w:bottom w:val="single" w:sz="6" w:space="0" w:color="auto"/>
      </w:pBdr>
      <w:spacing w:line="240" w:lineRule="atLeast"/>
      <w:jc w:val="right"/>
      <w:rPr>
        <w:rFonts w:ascii="宋体" w:hAnsi="宋体"/>
      </w:rPr>
    </w:pPr>
    <w:r>
      <w:rPr>
        <w:rFonts w:ascii="宋体" w:hAnsi="宋体" w:hint="eastAsia"/>
      </w:rPr>
      <w:t>恒越嘉润量化选股混合型证券投资基金开放日常申购、赎回、转换、定期定额投资业务的公告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4033C"/>
    <w:multiLevelType w:val="multilevel"/>
    <w:tmpl w:val="9B64ED8E"/>
    <w:lvl w:ilvl="0">
      <w:start w:val="1"/>
      <w:numFmt w:val="chineseCountingThousand"/>
      <w:pStyle w:val="CharCharCharCharCharCharCharCharChar"/>
      <w:suff w:val="space"/>
      <w:lvlText w:val="%1、"/>
      <w:lvlJc w:val="left"/>
      <w:pPr>
        <w:ind w:left="0" w:firstLine="0"/>
      </w:pPr>
    </w:lvl>
    <w:lvl w:ilvl="1">
      <w:start w:val="1"/>
      <w:numFmt w:val="chineseCountingThousand"/>
      <w:suff w:val="nothing"/>
      <w:lvlText w:val="%2、"/>
      <w:lvlJc w:val="left"/>
      <w:pPr>
        <w:ind w:left="0" w:firstLine="0"/>
      </w:pPr>
    </w:lvl>
    <w:lvl w:ilvl="2">
      <w:start w:val="1"/>
      <w:numFmt w:val="decimal"/>
      <w:suff w:val="space"/>
      <w:lvlText w:val="%3."/>
      <w:lvlJc w:val="left"/>
      <w:pPr>
        <w:ind w:left="0"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1">
    <w:nsid w:val="3EF343A9"/>
    <w:multiLevelType w:val="multilevel"/>
    <w:tmpl w:val="FF66A570"/>
    <w:styleLink w:val="1"/>
    <w:lvl w:ilvl="0">
      <w:start w:val="1"/>
      <w:numFmt w:val="decimal"/>
      <w:pStyle w:val="10"/>
      <w:lvlText w:val="%1"/>
      <w:lvlJc w:val="left"/>
      <w:pPr>
        <w:ind w:left="425" w:hanging="425"/>
      </w:pPr>
    </w:lvl>
    <w:lvl w:ilvl="1">
      <w:start w:val="1"/>
      <w:numFmt w:val="decimal"/>
      <w:pStyle w:val="2"/>
      <w:lvlText w:val="%1.%2"/>
      <w:lvlJc w:val="left"/>
      <w:pPr>
        <w:ind w:left="709" w:hanging="567"/>
      </w:pPr>
    </w:lvl>
    <w:lvl w:ilvl="2">
      <w:start w:val="1"/>
      <w:numFmt w:val="decimal"/>
      <w:pStyle w:val="3"/>
      <w:lvlText w:val="%1.%2.%3"/>
      <w:lvlJc w:val="left"/>
      <w:pPr>
        <w:ind w:left="1418" w:hanging="567"/>
      </w:pPr>
      <w:rPr>
        <w:rFonts w:ascii="宋体" w:eastAsia="宋体" w:hAnsi="宋体" w:hint="eastAsia"/>
        <w:sz w:val="21"/>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71727B15"/>
    <w:multiLevelType w:val="multilevel"/>
    <w:tmpl w:val="7A52163A"/>
    <w:lvl w:ilvl="0">
      <w:start w:val="1"/>
      <w:numFmt w:val="decimal"/>
      <w:lvlText w:val="%1."/>
      <w:lvlJc w:val="left"/>
      <w:pPr>
        <w:snapToGrid w:val="0"/>
        <w:ind w:left="0" w:firstLine="288"/>
      </w:pPr>
      <w:rPr>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start w:val="1"/>
      <w:numFmt w:val="decimal"/>
      <w:suff w:val="space"/>
      <w:lvlText w:val="%1.%2"/>
      <w:lvlJc w:val="left"/>
      <w:pPr>
        <w:ind w:left="0" w:firstLine="0"/>
      </w:pPr>
      <w:rPr>
        <w:rFonts w:ascii="宋体" w:eastAsia="宋体" w:hAnsi="宋体" w:hint="eastAsia"/>
        <w:b/>
        <w:i w:val="0"/>
        <w:color w:val="auto"/>
        <w:sz w:val="21"/>
      </w:rPr>
    </w:lvl>
    <w:lvl w:ilvl="2">
      <w:start w:val="1"/>
      <w:numFmt w:val="decimal"/>
      <w:suff w:val="space"/>
      <w:lvlText w:val="%1.%2.%3"/>
      <w:lvlJc w:val="left"/>
      <w:pPr>
        <w:ind w:left="0" w:firstLine="0"/>
      </w:pPr>
      <w:rPr>
        <w:rFonts w:ascii="Times New Roman" w:eastAsia="宋体" w:hAnsi="Times New Roman" w:hint="eastAsia"/>
        <w:b/>
        <w:i w:val="0"/>
        <w:sz w:val="21"/>
      </w:rPr>
    </w:lvl>
    <w:lvl w:ilvl="3">
      <w:start w:val="1"/>
      <w:numFmt w:val="decimal"/>
      <w:pStyle w:val="4"/>
      <w:suff w:val="nothing"/>
      <w:lvlText w:val="%1.%2.%3.%4"/>
      <w:lvlJc w:val="left"/>
      <w:pPr>
        <w:ind w:left="0" w:firstLine="0"/>
      </w:pPr>
      <w:rPr>
        <w:rFonts w:ascii="Times New Roman" w:eastAsia="宋体" w:hAnsi="Times New Roman" w:hint="eastAsia"/>
        <w:b/>
        <w:i w:val="0"/>
        <w:sz w:val="24"/>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1"/>
    <w:lvlOverride w:ilvl="0">
      <w:lvl w:ilvl="0">
        <w:start w:val="1"/>
        <w:numFmt w:val="decimal"/>
        <w:pStyle w:val="10"/>
        <w:lvlText w:val="%1"/>
        <w:lvlJc w:val="left"/>
        <w:pPr>
          <w:ind w:left="425" w:hanging="425"/>
        </w:pPr>
        <w:rPr>
          <w:rFonts w:ascii="宋体" w:eastAsia="宋体" w:hAnsi="宋体" w:hint="eastAsia"/>
        </w:rPr>
      </w:lvl>
    </w:lvlOverride>
    <w:lvlOverride w:ilvl="1">
      <w:lvl w:ilvl="1">
        <w:start w:val="1"/>
        <w:numFmt w:val="decimal"/>
        <w:pStyle w:val="2"/>
        <w:lvlText w:val="%1.%2"/>
        <w:lvlJc w:val="left"/>
        <w:pPr>
          <w:ind w:left="709" w:hanging="567"/>
        </w:pPr>
        <w:rPr>
          <w:rFonts w:ascii="宋体" w:eastAsia="宋体" w:hAnsi="宋体" w:hint="eastAsia"/>
        </w:rPr>
      </w:lvl>
    </w:lvlOverride>
    <w:lvlOverride w:ilvl="2">
      <w:lvl w:ilvl="2">
        <w:start w:val="1"/>
        <w:numFmt w:val="decimal"/>
        <w:pStyle w:val="3"/>
        <w:lvlText w:val="%1.%2.%3"/>
        <w:lvlJc w:val="left"/>
        <w:pPr>
          <w:ind w:left="1418" w:hanging="567"/>
        </w:pPr>
        <w:rPr>
          <w:rFonts w:ascii="宋体" w:eastAsia="宋体" w:hAnsi="宋体" w:hint="eastAsia"/>
          <w:sz w:val="21"/>
        </w:r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2CFC"/>
    <w:rsid w:val="0005113E"/>
    <w:rsid w:val="004D5100"/>
    <w:rsid w:val="00732CFC"/>
    <w:rsid w:val="00F703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0">
    <w:name w:val="heading 1"/>
    <w:basedOn w:val="a"/>
    <w:next w:val="a"/>
    <w:link w:val="1Char"/>
    <w:uiPriority w:val="9"/>
    <w:qFormat/>
    <w:pPr>
      <w:keepNext/>
      <w:keepLines/>
      <w:numPr>
        <w:numId w:val="2"/>
      </w:numPr>
      <w:spacing w:beforeLines="100"/>
      <w:ind w:firstLine="0"/>
      <w:outlineLvl w:val="0"/>
    </w:pPr>
    <w:rPr>
      <w:b/>
      <w:bCs/>
      <w:kern w:val="44"/>
      <w:szCs w:val="44"/>
    </w:rPr>
  </w:style>
  <w:style w:type="paragraph" w:styleId="2">
    <w:name w:val="heading 2"/>
    <w:basedOn w:val="a"/>
    <w:next w:val="a"/>
    <w:link w:val="2Char"/>
    <w:semiHidden/>
    <w:unhideWhenUsed/>
    <w:qFormat/>
    <w:pPr>
      <w:widowControl/>
      <w:numPr>
        <w:ilvl w:val="1"/>
        <w:numId w:val="2"/>
      </w:numPr>
      <w:spacing w:beforeLines="100"/>
      <w:ind w:firstLine="0"/>
      <w:jc w:val="left"/>
      <w:outlineLvl w:val="1"/>
    </w:pPr>
    <w:rPr>
      <w:rFonts w:ascii="Arial" w:hAnsi="Arial"/>
      <w:b/>
    </w:rPr>
  </w:style>
  <w:style w:type="paragraph" w:styleId="3">
    <w:name w:val="heading 3"/>
    <w:basedOn w:val="2"/>
    <w:next w:val="a"/>
    <w:link w:val="3Char"/>
    <w:uiPriority w:val="9"/>
    <w:semiHidden/>
    <w:unhideWhenUsed/>
    <w:qFormat/>
    <w:pPr>
      <w:numPr>
        <w:ilvl w:val="2"/>
      </w:numPr>
      <w:ind w:firstLine="0"/>
      <w:outlineLvl w:val="2"/>
    </w:pPr>
    <w:rPr>
      <w:rFonts w:ascii="宋体" w:hAnsi="宋体"/>
      <w:bCs/>
      <w:kern w:val="0"/>
      <w:lang w:eastAsia="en-US" w:bidi="en-US"/>
    </w:rPr>
  </w:style>
  <w:style w:type="paragraph" w:styleId="4">
    <w:name w:val="heading 4"/>
    <w:basedOn w:val="a"/>
    <w:next w:val="a"/>
    <w:link w:val="4Char"/>
    <w:uiPriority w:val="9"/>
    <w:semiHidden/>
    <w:unhideWhenUsed/>
    <w:qFormat/>
    <w:pPr>
      <w:widowControl/>
      <w:numPr>
        <w:ilvl w:val="3"/>
        <w:numId w:val="4"/>
      </w:numPr>
      <w:jc w:val="left"/>
      <w:outlineLvl w:val="3"/>
    </w:pPr>
    <w:rPr>
      <w:rFonts w:ascii="宋体" w:hAnsi="Cambria"/>
      <w:b/>
      <w:bCs/>
      <w:iCs/>
      <w:kern w:val="0"/>
      <w:lang w:eastAsia="en-US" w:bidi="en-US"/>
    </w:rPr>
  </w:style>
  <w:style w:type="paragraph" w:styleId="7">
    <w:name w:val="heading 7"/>
    <w:basedOn w:val="a"/>
    <w:next w:val="a"/>
    <w:link w:val="7Char"/>
    <w:uiPriority w:val="9"/>
    <w:semiHidden/>
    <w:unhideWhenUsed/>
    <w:qFormat/>
    <w:pPr>
      <w:keepNext/>
      <w:keepLines/>
      <w:spacing w:before="240" w:after="64" w:line="319"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locked/>
    <w:rPr>
      <w:rFonts w:ascii="Calibri" w:eastAsia="宋体" w:hAnsi="Calibri" w:cs="Times New Roman" w:hint="default"/>
      <w:b/>
      <w:bCs/>
      <w:kern w:val="44"/>
      <w:szCs w:val="44"/>
    </w:rPr>
  </w:style>
  <w:style w:type="character" w:customStyle="1" w:styleId="2Char">
    <w:name w:val="标题 2 Char"/>
    <w:link w:val="2"/>
    <w:semiHidden/>
    <w:locked/>
    <w:rPr>
      <w:rFonts w:ascii="Arial" w:eastAsia="宋体" w:hAnsi="Arial" w:cs="Arial" w:hint="default"/>
      <w:b/>
      <w:bCs w:val="0"/>
    </w:rPr>
  </w:style>
  <w:style w:type="character" w:customStyle="1" w:styleId="3Char">
    <w:name w:val="标题 3 Char"/>
    <w:link w:val="3"/>
    <w:uiPriority w:val="9"/>
    <w:semiHidden/>
    <w:locked/>
    <w:rPr>
      <w:rFonts w:ascii="宋体" w:eastAsia="宋体" w:hAnsi="宋体" w:cs="Times New Roman" w:hint="eastAsia"/>
      <w:b/>
      <w:bCs/>
      <w:kern w:val="0"/>
      <w:lang w:eastAsia="en-US" w:bidi="en-US"/>
    </w:rPr>
  </w:style>
  <w:style w:type="character" w:customStyle="1" w:styleId="4Char">
    <w:name w:val="标题 4 Char"/>
    <w:link w:val="4"/>
    <w:uiPriority w:val="9"/>
    <w:semiHidden/>
    <w:locked/>
    <w:rPr>
      <w:rFonts w:ascii="宋体" w:eastAsia="宋体" w:hAnsi="Cambria" w:cs="Times New Roman" w:hint="eastAsia"/>
      <w:b/>
      <w:bCs/>
      <w:iCs/>
      <w:kern w:val="0"/>
      <w:lang w:eastAsia="en-US" w:bidi="en-US"/>
    </w:rPr>
  </w:style>
  <w:style w:type="character" w:customStyle="1" w:styleId="7Char">
    <w:name w:val="标题 7 Char"/>
    <w:link w:val="7"/>
    <w:uiPriority w:val="9"/>
    <w:semiHidden/>
    <w:locked/>
    <w:rPr>
      <w:rFonts w:ascii="Calibri" w:eastAsia="宋体" w:hAnsi="Calibri" w:cs="Times New Roman" w:hint="default"/>
      <w:b/>
      <w:bCs/>
      <w:sz w:val="24"/>
      <w:szCs w:val="24"/>
    </w:rPr>
  </w:style>
  <w:style w:type="paragraph" w:styleId="a3">
    <w:name w:val="footnote text"/>
    <w:basedOn w:val="a"/>
    <w:link w:val="Char"/>
    <w:semiHidden/>
    <w:unhideWhenUsed/>
    <w:pPr>
      <w:snapToGrid w:val="0"/>
      <w:jc w:val="left"/>
    </w:pPr>
    <w:rPr>
      <w:rFonts w:ascii="Times New Roman" w:hAnsi="Times New Roman"/>
      <w:sz w:val="18"/>
      <w:szCs w:val="20"/>
    </w:rPr>
  </w:style>
  <w:style w:type="character" w:customStyle="1" w:styleId="Char">
    <w:name w:val="脚注文本 Char"/>
    <w:link w:val="a3"/>
    <w:semiHidden/>
    <w:locked/>
    <w:rPr>
      <w:rFonts w:ascii="Times New Roman" w:eastAsia="宋体" w:hAnsi="Times New Roman" w:cs="Times New Roman" w:hint="default"/>
      <w:sz w:val="18"/>
      <w:szCs w:val="20"/>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locked/>
    <w:rPr>
      <w:sz w:val="18"/>
      <w:szCs w:val="18"/>
    </w:rPr>
  </w:style>
  <w:style w:type="paragraph" w:styleId="a6">
    <w:name w:val="Balloon Text"/>
    <w:basedOn w:val="a"/>
    <w:link w:val="Char2"/>
    <w:uiPriority w:val="99"/>
    <w:semiHidden/>
    <w:unhideWhenUsed/>
    <w:rPr>
      <w:sz w:val="18"/>
      <w:szCs w:val="18"/>
    </w:rPr>
  </w:style>
  <w:style w:type="character" w:customStyle="1" w:styleId="Char2">
    <w:name w:val="批注框文本 Char"/>
    <w:link w:val="a6"/>
    <w:uiPriority w:val="99"/>
    <w:semiHidden/>
    <w:locked/>
    <w:rPr>
      <w:rFonts w:ascii="Calibri" w:eastAsia="宋体" w:hAnsi="Calibri" w:cs="Times New Roman" w:hint="default"/>
      <w:sz w:val="18"/>
      <w:szCs w:val="18"/>
    </w:rPr>
  </w:style>
  <w:style w:type="paragraph" w:styleId="a7">
    <w:name w:val="List Paragraph"/>
    <w:basedOn w:val="a"/>
    <w:uiPriority w:val="34"/>
    <w:qFormat/>
    <w:pPr>
      <w:spacing w:line="240" w:lineRule="atLeast"/>
      <w:ind w:firstLineChars="200" w:firstLine="420"/>
    </w:pPr>
    <w:rPr>
      <w:rFonts w:ascii="Times New Roman" w:hAnsi="Times New Roman"/>
      <w:sz w:val="24"/>
      <w:szCs w:val="20"/>
    </w:rPr>
  </w:style>
  <w:style w:type="paragraph" w:customStyle="1" w:styleId="CharCharCharCharCharCharCharCharChar">
    <w:name w:val="Char Char Char Char Char Char Char Char Char"/>
    <w:basedOn w:val="a"/>
    <w:pPr>
      <w:numPr>
        <w:numId w:val="6"/>
      </w:numPr>
      <w:tabs>
        <w:tab w:val="left" w:pos="1320"/>
      </w:tabs>
      <w:spacing w:line="240" w:lineRule="atLeast"/>
    </w:pPr>
    <w:rPr>
      <w:rFonts w:ascii="Times New Roman" w:hAnsi="Times New Roman"/>
      <w:sz w:val="24"/>
      <w:szCs w:val="20"/>
    </w:rPr>
  </w:style>
  <w:style w:type="paragraph" w:customStyle="1" w:styleId="CharCharCharCharCharChar1CharCharChar">
    <w:name w:val="Char Char Char Char Char Char1 Char Char Char"/>
    <w:basedOn w:val="a"/>
    <w:pPr>
      <w:autoSpaceDE w:val="0"/>
      <w:autoSpaceDN w:val="0"/>
      <w:adjustRightInd w:val="0"/>
      <w:jc w:val="left"/>
    </w:pPr>
    <w:rPr>
      <w:rFonts w:ascii="宋体" w:hAnsi="Times New Roman"/>
      <w:kern w:val="0"/>
      <w:sz w:val="34"/>
      <w:szCs w:val="20"/>
    </w:rPr>
  </w:style>
  <w:style w:type="character" w:styleId="a8">
    <w:name w:val="footnote reference"/>
    <w:semiHidden/>
    <w:unhideWhenUsed/>
    <w:rPr>
      <w:vertAlign w:val="superscript"/>
    </w:rPr>
  </w:style>
  <w:style w:type="table" w:styleId="a9">
    <w:name w:val="Table Grid"/>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样式1"/>
    <w:uiPriority w:val="99"/>
    <w:pPr>
      <w:numPr>
        <w:numId w:val="1"/>
      </w:numPr>
    </w:pPr>
  </w:style>
</w:styles>
</file>

<file path=word/webSettings.xml><?xml version="1.0" encoding="utf-8"?>
<w:webSettings xmlns:r="http://schemas.openxmlformats.org/officeDocument/2006/relationships" xmlns:w="http://schemas.openxmlformats.org/wordprocessingml/2006/main">
  <w:encoding w:val="unicode"/>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6CA3-07B3-4F52-B7B9-CFFE7ED5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4583</Characters>
  <Application>Microsoft Office Word</Application>
  <DocSecurity>4</DocSecurity>
  <Lines>38</Lines>
  <Paragraphs>10</Paragraphs>
  <ScaleCrop>false</ScaleCrop>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2026-02-27T16:00:00Z</dcterms:created>
  <dcterms:modified xsi:type="dcterms:W3CDTF">2026-02-27T16:00:00Z</dcterms:modified>
</cp:coreProperties>
</file>