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A0" w:rsidRPr="00AC1EB9" w:rsidRDefault="0050669E">
      <w:pPr>
        <w:pStyle w:val="1"/>
        <w:rPr>
          <w:sz w:val="28"/>
          <w:szCs w:val="28"/>
        </w:rPr>
      </w:pPr>
      <w:bookmarkStart w:id="0" w:name="_Hlk223017847"/>
      <w:r w:rsidRPr="00AC1EB9">
        <w:rPr>
          <w:rFonts w:hint="eastAsia"/>
          <w:sz w:val="28"/>
          <w:szCs w:val="28"/>
        </w:rPr>
        <w:t>华宸未来基金管理有限公司关于华宸未来稳健添利债券型证券投资基金基金份额持有人大会表决结果暨决议生效的公告</w:t>
      </w:r>
    </w:p>
    <w:p w:rsidR="007668A0" w:rsidRDefault="007668A0">
      <w:pPr>
        <w:ind w:firstLine="480"/>
      </w:pP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依据《中华人民共和国证券投资基金法》《公开募集证券投资基金运作管理办法》《华宸未来稳健添利债券型证券投资基金基金合同》（以下简称“《基金合同》”）的有关规定，现将华宸未来稳健添利债券型证券投资基金（以下简称“本基金”）基金份额持有人大会的相关事项公告如下。</w:t>
      </w:r>
      <w:bookmarkStart w:id="1" w:name="_GoBack"/>
      <w:bookmarkEnd w:id="1"/>
    </w:p>
    <w:p w:rsidR="007668A0" w:rsidRPr="00AC1EB9" w:rsidRDefault="0050669E">
      <w:pPr>
        <w:ind w:firstLine="422"/>
        <w:rPr>
          <w:rFonts w:asciiTheme="minorEastAsia" w:eastAsiaTheme="minorEastAsia" w:hAnsiTheme="minorEastAsia"/>
          <w:b/>
          <w:bCs/>
          <w:sz w:val="21"/>
          <w:szCs w:val="21"/>
        </w:rPr>
      </w:pPr>
      <w:r w:rsidRPr="00AC1EB9">
        <w:rPr>
          <w:rFonts w:asciiTheme="minorEastAsia" w:eastAsiaTheme="minorEastAsia" w:hAnsiTheme="minorEastAsia" w:hint="eastAsia"/>
          <w:b/>
          <w:bCs/>
          <w:sz w:val="21"/>
          <w:szCs w:val="21"/>
        </w:rPr>
        <w:t>一、本次基金份额持有人大会会议情况</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本基金以通讯方式组织召开了基金份额持有人大会，大会投票表决起止时间为自202</w:t>
      </w:r>
      <w:r w:rsidRPr="00AC1EB9">
        <w:rPr>
          <w:rFonts w:asciiTheme="minorEastAsia" w:eastAsiaTheme="minorEastAsia" w:hAnsiTheme="minorEastAsia"/>
          <w:sz w:val="21"/>
          <w:szCs w:val="21"/>
        </w:rPr>
        <w:t>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1</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27</w:t>
      </w:r>
      <w:r w:rsidRPr="00AC1EB9">
        <w:rPr>
          <w:rFonts w:asciiTheme="minorEastAsia" w:eastAsiaTheme="minorEastAsia" w:hAnsiTheme="minorEastAsia" w:hint="eastAsia"/>
          <w:sz w:val="21"/>
          <w:szCs w:val="21"/>
        </w:rPr>
        <w:t>日起，至202</w:t>
      </w:r>
      <w:r w:rsidRPr="00AC1EB9">
        <w:rPr>
          <w:rFonts w:asciiTheme="minorEastAsia" w:eastAsiaTheme="minorEastAsia" w:hAnsiTheme="minorEastAsia"/>
          <w:sz w:val="21"/>
          <w:szCs w:val="21"/>
        </w:rPr>
        <w:t>6</w:t>
      </w:r>
      <w:r w:rsidRPr="00AC1EB9">
        <w:rPr>
          <w:rFonts w:asciiTheme="minorEastAsia" w:eastAsiaTheme="minorEastAsia" w:hAnsiTheme="minorEastAsia" w:hint="eastAsia"/>
          <w:sz w:val="21"/>
          <w:szCs w:val="21"/>
        </w:rPr>
        <w:t>年2月</w:t>
      </w:r>
      <w:r w:rsidRPr="00AC1EB9">
        <w:rPr>
          <w:rFonts w:asciiTheme="minorEastAsia" w:eastAsiaTheme="minorEastAsia" w:hAnsiTheme="minorEastAsia"/>
          <w:sz w:val="21"/>
          <w:szCs w:val="21"/>
        </w:rPr>
        <w:t>25</w:t>
      </w:r>
      <w:r w:rsidRPr="00AC1EB9">
        <w:rPr>
          <w:rFonts w:asciiTheme="minorEastAsia" w:eastAsiaTheme="minorEastAsia" w:hAnsiTheme="minorEastAsia" w:hint="eastAsia"/>
          <w:sz w:val="21"/>
          <w:szCs w:val="21"/>
        </w:rPr>
        <w:t>日1</w:t>
      </w:r>
      <w:r w:rsidRPr="00AC1EB9">
        <w:rPr>
          <w:rFonts w:asciiTheme="minorEastAsia" w:eastAsiaTheme="minorEastAsia" w:hAnsiTheme="minorEastAsia"/>
          <w:sz w:val="21"/>
          <w:szCs w:val="21"/>
        </w:rPr>
        <w:t>7</w:t>
      </w:r>
      <w:r w:rsidRPr="00AC1EB9">
        <w:rPr>
          <w:rFonts w:asciiTheme="minorEastAsia" w:eastAsiaTheme="minorEastAsia" w:hAnsiTheme="minorEastAsia" w:hint="eastAsia"/>
          <w:sz w:val="21"/>
          <w:szCs w:val="21"/>
        </w:rPr>
        <w:t>:0</w:t>
      </w:r>
      <w:r w:rsidRPr="00AC1EB9">
        <w:rPr>
          <w:rFonts w:asciiTheme="minorEastAsia" w:eastAsiaTheme="minorEastAsia" w:hAnsiTheme="minorEastAsia"/>
          <w:sz w:val="21"/>
          <w:szCs w:val="21"/>
        </w:rPr>
        <w:t>0止</w:t>
      </w:r>
      <w:r w:rsidRPr="00AC1EB9">
        <w:rPr>
          <w:rFonts w:asciiTheme="minorEastAsia" w:eastAsiaTheme="minorEastAsia" w:hAnsiTheme="minorEastAsia" w:hint="eastAsia"/>
          <w:sz w:val="21"/>
          <w:szCs w:val="21"/>
        </w:rPr>
        <w:t>。202</w:t>
      </w:r>
      <w:r w:rsidRPr="00AC1EB9">
        <w:rPr>
          <w:rFonts w:asciiTheme="minorEastAsia" w:eastAsiaTheme="minorEastAsia" w:hAnsiTheme="minorEastAsia"/>
          <w:sz w:val="21"/>
          <w:szCs w:val="21"/>
        </w:rPr>
        <w:t>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2</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26</w:t>
      </w:r>
      <w:r w:rsidRPr="00AC1EB9">
        <w:rPr>
          <w:rFonts w:asciiTheme="minorEastAsia" w:eastAsiaTheme="minorEastAsia" w:hAnsiTheme="minorEastAsia" w:hint="eastAsia"/>
          <w:sz w:val="21"/>
          <w:szCs w:val="21"/>
        </w:rPr>
        <w:t>日，在本基金的基金托管人中国工商银行股份有限公司授权代表的监督下，本基金管理人对本次大会表决进行了计票，上海市通力律师事务所对计票过程进行了见证，上海市东方公证处对计票过程及结果进行了公证。</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经统计，参与表决的基金份额持有人及代理人所代表的基金份额为</w:t>
      </w:r>
      <w:r w:rsidR="00F03398" w:rsidRPr="00AC1EB9">
        <w:rPr>
          <w:rFonts w:asciiTheme="minorEastAsia" w:eastAsiaTheme="minorEastAsia" w:hAnsiTheme="minorEastAsia"/>
          <w:sz w:val="21"/>
          <w:szCs w:val="21"/>
        </w:rPr>
        <w:t>32,421,503.34</w:t>
      </w:r>
      <w:r w:rsidRPr="00AC1EB9">
        <w:rPr>
          <w:rFonts w:asciiTheme="minorEastAsia" w:eastAsiaTheme="minorEastAsia" w:hAnsiTheme="minorEastAsia" w:hint="eastAsia"/>
          <w:sz w:val="21"/>
          <w:szCs w:val="21"/>
        </w:rPr>
        <w:t>份，其中有效表决份额</w:t>
      </w:r>
      <w:r w:rsidR="00F03398" w:rsidRPr="00AC1EB9">
        <w:rPr>
          <w:rFonts w:asciiTheme="minorEastAsia" w:eastAsiaTheme="minorEastAsia" w:hAnsiTheme="minorEastAsia"/>
          <w:sz w:val="21"/>
          <w:szCs w:val="21"/>
        </w:rPr>
        <w:t>32,421,503.34</w:t>
      </w:r>
      <w:r w:rsidRPr="00AC1EB9">
        <w:rPr>
          <w:rFonts w:asciiTheme="minorEastAsia" w:eastAsiaTheme="minorEastAsia" w:hAnsiTheme="minorEastAsia" w:hint="eastAsia"/>
          <w:sz w:val="21"/>
          <w:szCs w:val="21"/>
        </w:rPr>
        <w:t>份，有效表决份额占权益登记日基金总份额</w:t>
      </w:r>
      <w:r w:rsidR="00F03398" w:rsidRPr="00AC1EB9">
        <w:rPr>
          <w:rFonts w:asciiTheme="minorEastAsia" w:eastAsiaTheme="minorEastAsia" w:hAnsiTheme="minorEastAsia"/>
          <w:sz w:val="21"/>
          <w:szCs w:val="21"/>
        </w:rPr>
        <w:t>60</w:t>
      </w:r>
      <w:r w:rsidR="00F03398" w:rsidRPr="00AC1EB9">
        <w:rPr>
          <w:rFonts w:asciiTheme="minorEastAsia" w:eastAsiaTheme="minorEastAsia" w:hAnsiTheme="minorEastAsia" w:hint="eastAsia"/>
          <w:sz w:val="21"/>
          <w:szCs w:val="21"/>
        </w:rPr>
        <w:t>,</w:t>
      </w:r>
      <w:r w:rsidR="00F03398" w:rsidRPr="00AC1EB9">
        <w:rPr>
          <w:rFonts w:asciiTheme="minorEastAsia" w:eastAsiaTheme="minorEastAsia" w:hAnsiTheme="minorEastAsia"/>
          <w:sz w:val="21"/>
          <w:szCs w:val="21"/>
        </w:rPr>
        <w:t>470</w:t>
      </w:r>
      <w:r w:rsidR="00F03398" w:rsidRPr="00AC1EB9">
        <w:rPr>
          <w:rFonts w:asciiTheme="minorEastAsia" w:eastAsiaTheme="minorEastAsia" w:hAnsiTheme="minorEastAsia" w:hint="eastAsia"/>
          <w:sz w:val="21"/>
          <w:szCs w:val="21"/>
        </w:rPr>
        <w:t>,5</w:t>
      </w:r>
      <w:r w:rsidR="00F03398" w:rsidRPr="00AC1EB9">
        <w:rPr>
          <w:rFonts w:asciiTheme="minorEastAsia" w:eastAsiaTheme="minorEastAsia" w:hAnsiTheme="minorEastAsia"/>
          <w:sz w:val="21"/>
          <w:szCs w:val="21"/>
        </w:rPr>
        <w:t>39.23</w:t>
      </w:r>
      <w:r w:rsidRPr="00AC1EB9">
        <w:rPr>
          <w:rFonts w:asciiTheme="minorEastAsia" w:eastAsiaTheme="minorEastAsia" w:hAnsiTheme="minorEastAsia" w:hint="eastAsia"/>
          <w:sz w:val="21"/>
          <w:szCs w:val="21"/>
        </w:rPr>
        <w:t>份的</w:t>
      </w:r>
      <w:r w:rsidR="00F03398" w:rsidRPr="00AC1EB9">
        <w:rPr>
          <w:rFonts w:asciiTheme="minorEastAsia" w:eastAsiaTheme="minorEastAsia" w:hAnsiTheme="minorEastAsia"/>
          <w:sz w:val="21"/>
          <w:szCs w:val="21"/>
        </w:rPr>
        <w:t>53.62</w:t>
      </w:r>
      <w:r w:rsidRPr="00AC1EB9">
        <w:rPr>
          <w:rFonts w:asciiTheme="minorEastAsia" w:eastAsiaTheme="minorEastAsia" w:hAnsiTheme="minorEastAsia" w:hint="eastAsia"/>
          <w:sz w:val="21"/>
          <w:szCs w:val="21"/>
        </w:rPr>
        <w:t>%，符合《中华人民共和国证券投资基金法》</w:t>
      </w:r>
      <w:r w:rsidRPr="00AC1EB9">
        <w:rPr>
          <w:rFonts w:asciiTheme="minorEastAsia" w:eastAsiaTheme="minorEastAsia" w:hAnsiTheme="minorEastAsia"/>
          <w:sz w:val="21"/>
          <w:szCs w:val="21"/>
        </w:rPr>
        <w:t>《公开募集证券投资基金运作管理办法》和</w:t>
      </w:r>
      <w:r w:rsidRPr="00AC1EB9">
        <w:rPr>
          <w:rFonts w:asciiTheme="minorEastAsia" w:eastAsiaTheme="minorEastAsia" w:hAnsiTheme="minorEastAsia" w:hint="eastAsia"/>
          <w:sz w:val="21"/>
          <w:szCs w:val="21"/>
        </w:rPr>
        <w:t>《基金合同》的有关规定。</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会议审议了《关于华宸未来稳健添利债券型证券投资基金变更基金管理人并变更注册为富国丰泰债券型证券投资基金的议案》（以下简称“本次会议议案”），并由参加大会的基金份额持有人对本次会议议案进行表决。表决结果为：</w:t>
      </w:r>
      <w:r w:rsidR="00F03398" w:rsidRPr="00AC1EB9">
        <w:rPr>
          <w:rFonts w:asciiTheme="minorEastAsia" w:eastAsiaTheme="minorEastAsia" w:hAnsiTheme="minorEastAsia"/>
          <w:sz w:val="21"/>
          <w:szCs w:val="21"/>
        </w:rPr>
        <w:t>32,421,503.34</w:t>
      </w:r>
      <w:r w:rsidRPr="00AC1EB9">
        <w:rPr>
          <w:rFonts w:asciiTheme="minorEastAsia" w:eastAsiaTheme="minorEastAsia" w:hAnsiTheme="minorEastAsia" w:hint="eastAsia"/>
          <w:sz w:val="21"/>
          <w:szCs w:val="21"/>
        </w:rPr>
        <w:t>份基金份额表示同意，</w:t>
      </w:r>
      <w:r w:rsidR="00F03398" w:rsidRPr="00AC1EB9">
        <w:rPr>
          <w:rFonts w:asciiTheme="minorEastAsia" w:eastAsiaTheme="minorEastAsia" w:hAnsiTheme="minorEastAsia"/>
          <w:sz w:val="21"/>
          <w:szCs w:val="21"/>
        </w:rPr>
        <w:t>0</w:t>
      </w:r>
      <w:r w:rsidRPr="00AC1EB9">
        <w:rPr>
          <w:rFonts w:asciiTheme="minorEastAsia" w:eastAsiaTheme="minorEastAsia" w:hAnsiTheme="minorEastAsia" w:hint="eastAsia"/>
          <w:sz w:val="21"/>
          <w:szCs w:val="21"/>
        </w:rPr>
        <w:t>份基金份额表示反对，</w:t>
      </w:r>
      <w:r w:rsidR="00F03398" w:rsidRPr="00AC1EB9">
        <w:rPr>
          <w:rFonts w:asciiTheme="minorEastAsia" w:eastAsiaTheme="minorEastAsia" w:hAnsiTheme="minorEastAsia"/>
          <w:sz w:val="21"/>
          <w:szCs w:val="21"/>
        </w:rPr>
        <w:t>0</w:t>
      </w:r>
      <w:r w:rsidRPr="00AC1EB9">
        <w:rPr>
          <w:rFonts w:asciiTheme="minorEastAsia" w:eastAsiaTheme="minorEastAsia" w:hAnsiTheme="minorEastAsia" w:hint="eastAsia"/>
          <w:sz w:val="21"/>
          <w:szCs w:val="21"/>
        </w:rPr>
        <w:t>份基金份额表示弃权。同意本次议案的基金份额占参加本次大会的持有人所持基金份额的</w:t>
      </w:r>
      <w:r w:rsidR="00F03398" w:rsidRPr="00AC1EB9">
        <w:rPr>
          <w:rFonts w:asciiTheme="minorEastAsia" w:eastAsiaTheme="minorEastAsia" w:hAnsiTheme="minorEastAsia"/>
          <w:sz w:val="21"/>
          <w:szCs w:val="21"/>
        </w:rPr>
        <w:t>100</w:t>
      </w:r>
      <w:r w:rsidRPr="00AC1EB9">
        <w:rPr>
          <w:rFonts w:asciiTheme="minorEastAsia" w:eastAsiaTheme="minorEastAsia" w:hAnsiTheme="minorEastAsia" w:hint="eastAsia"/>
          <w:sz w:val="21"/>
          <w:szCs w:val="21"/>
        </w:rPr>
        <w:t>％，达到三分之</w:t>
      </w:r>
      <w:r w:rsidRPr="00AC1EB9">
        <w:rPr>
          <w:rFonts w:asciiTheme="minorEastAsia" w:eastAsiaTheme="minorEastAsia" w:hAnsiTheme="minorEastAsia"/>
          <w:sz w:val="21"/>
          <w:szCs w:val="21"/>
        </w:rPr>
        <w:t>二</w:t>
      </w:r>
      <w:r w:rsidRPr="00AC1EB9">
        <w:rPr>
          <w:rFonts w:asciiTheme="minorEastAsia" w:eastAsiaTheme="minorEastAsia" w:hAnsiTheme="minorEastAsia" w:hint="eastAsia"/>
          <w:sz w:val="21"/>
          <w:szCs w:val="21"/>
        </w:rPr>
        <w:t>以上，符合《中华人民共和国证券投资基金法》《公开募集证券投资基金运作管理办法》和《基金合同》的有关规定，本次会议议案获得通过。</w:t>
      </w:r>
    </w:p>
    <w:p w:rsidR="007668A0" w:rsidRPr="00AC1EB9" w:rsidRDefault="0050669E">
      <w:pPr>
        <w:ind w:firstLine="422"/>
        <w:rPr>
          <w:rFonts w:asciiTheme="minorEastAsia" w:eastAsiaTheme="minorEastAsia" w:hAnsiTheme="minorEastAsia"/>
          <w:b/>
          <w:bCs/>
          <w:sz w:val="21"/>
          <w:szCs w:val="21"/>
        </w:rPr>
      </w:pPr>
      <w:r w:rsidRPr="00AC1EB9">
        <w:rPr>
          <w:rFonts w:asciiTheme="minorEastAsia" w:eastAsiaTheme="minorEastAsia" w:hAnsiTheme="minorEastAsia" w:hint="eastAsia"/>
          <w:b/>
          <w:bCs/>
          <w:sz w:val="21"/>
          <w:szCs w:val="21"/>
        </w:rPr>
        <w:t>二、本次基金份额持有人大会决议的生效</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根据《公开募集证券投资基金运作管理办法》的规定，基金份额持有人大会决定的事项自表决通过之日起生效。本次基金份额持有人大会已自2026年1月27日起，至2026年2月25日17:00止对本次会议议案进行了投票表决，根据202</w:t>
      </w:r>
      <w:r w:rsidRPr="00AC1EB9">
        <w:rPr>
          <w:rFonts w:asciiTheme="minorEastAsia" w:eastAsiaTheme="minorEastAsia" w:hAnsiTheme="minorEastAsia"/>
          <w:sz w:val="21"/>
          <w:szCs w:val="21"/>
        </w:rPr>
        <w:t>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2</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26</w:t>
      </w:r>
      <w:r w:rsidRPr="00AC1EB9">
        <w:rPr>
          <w:rFonts w:asciiTheme="minorEastAsia" w:eastAsiaTheme="minorEastAsia" w:hAnsiTheme="minorEastAsia" w:hint="eastAsia"/>
          <w:sz w:val="21"/>
          <w:szCs w:val="21"/>
        </w:rPr>
        <w:t>日的计票结果，本</w:t>
      </w:r>
      <w:r w:rsidRPr="00AC1EB9">
        <w:rPr>
          <w:rFonts w:asciiTheme="minorEastAsia" w:eastAsiaTheme="minorEastAsia" w:hAnsiTheme="minorEastAsia" w:hint="eastAsia"/>
          <w:sz w:val="21"/>
          <w:szCs w:val="21"/>
        </w:rPr>
        <w:lastRenderedPageBreak/>
        <w:t>次会议议案获表决通过，本次基金份额持有人大会决议自2026年2月26日起生效。基金管理人将自该日起五日内将表决通过的事项报中国证券监督管理委员会备案。</w:t>
      </w:r>
    </w:p>
    <w:p w:rsidR="007668A0" w:rsidRPr="00AC1EB9" w:rsidRDefault="0050669E">
      <w:pPr>
        <w:ind w:firstLine="422"/>
        <w:rPr>
          <w:rFonts w:asciiTheme="minorEastAsia" w:eastAsiaTheme="minorEastAsia" w:hAnsiTheme="minorEastAsia"/>
          <w:b/>
          <w:bCs/>
          <w:sz w:val="21"/>
          <w:szCs w:val="21"/>
        </w:rPr>
      </w:pPr>
      <w:r w:rsidRPr="00AC1EB9">
        <w:rPr>
          <w:rFonts w:asciiTheme="minorEastAsia" w:eastAsiaTheme="minorEastAsia" w:hAnsiTheme="minorEastAsia" w:hint="eastAsia"/>
          <w:b/>
          <w:bCs/>
          <w:sz w:val="21"/>
          <w:szCs w:val="21"/>
        </w:rPr>
        <w:t>三、后续安排</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1、赎回选择期</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对于本基金基金份额持有人持有的基金份额，基金管理人于</w:t>
      </w:r>
      <w:r w:rsidRPr="00AC1EB9">
        <w:rPr>
          <w:rFonts w:asciiTheme="minorEastAsia" w:eastAsiaTheme="minorEastAsia" w:hAnsiTheme="minorEastAsia"/>
          <w:sz w:val="21"/>
          <w:szCs w:val="21"/>
        </w:rPr>
        <w:t>2026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2</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27</w:t>
      </w:r>
      <w:r w:rsidRPr="00AC1EB9">
        <w:rPr>
          <w:rFonts w:asciiTheme="minorEastAsia" w:eastAsiaTheme="minorEastAsia" w:hAnsiTheme="minorEastAsia" w:hint="eastAsia"/>
          <w:sz w:val="21"/>
          <w:szCs w:val="21"/>
        </w:rPr>
        <w:t>日至</w:t>
      </w:r>
      <w:r w:rsidRPr="00AC1EB9">
        <w:rPr>
          <w:rFonts w:asciiTheme="minorEastAsia" w:eastAsiaTheme="minorEastAsia" w:hAnsiTheme="minorEastAsia"/>
          <w:sz w:val="21"/>
          <w:szCs w:val="21"/>
        </w:rPr>
        <w:t>2026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3</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5</w:t>
      </w:r>
      <w:r w:rsidRPr="00AC1EB9">
        <w:rPr>
          <w:rFonts w:asciiTheme="minorEastAsia" w:eastAsiaTheme="minorEastAsia" w:hAnsiTheme="minorEastAsia" w:hint="eastAsia"/>
          <w:sz w:val="21"/>
          <w:szCs w:val="21"/>
        </w:rPr>
        <w:t>日设置</w:t>
      </w:r>
      <w:r w:rsidRPr="00AC1EB9">
        <w:rPr>
          <w:rFonts w:asciiTheme="minorEastAsia" w:eastAsiaTheme="minorEastAsia" w:hAnsiTheme="minorEastAsia"/>
          <w:sz w:val="21"/>
          <w:szCs w:val="21"/>
        </w:rPr>
        <w:t>5</w:t>
      </w:r>
      <w:r w:rsidRPr="00AC1EB9">
        <w:rPr>
          <w:rFonts w:asciiTheme="minorEastAsia" w:eastAsiaTheme="minorEastAsia" w:hAnsiTheme="minorEastAsia" w:hint="eastAsia"/>
          <w:sz w:val="21"/>
          <w:szCs w:val="21"/>
        </w:rPr>
        <w:t>个交易日的赎回选择期，以供基金份额持有人做出赎回选择，赎回选择期内赎回不收取赎回费。拟赎回基金份额的投资者应在不晚于</w:t>
      </w:r>
      <w:r w:rsidRPr="00AC1EB9">
        <w:rPr>
          <w:rFonts w:asciiTheme="minorEastAsia" w:eastAsiaTheme="minorEastAsia" w:hAnsiTheme="minorEastAsia"/>
          <w:sz w:val="21"/>
          <w:szCs w:val="21"/>
        </w:rPr>
        <w:t>2026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3</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5</w:t>
      </w:r>
      <w:r w:rsidRPr="00AC1EB9">
        <w:rPr>
          <w:rFonts w:asciiTheme="minorEastAsia" w:eastAsiaTheme="minorEastAsia" w:hAnsiTheme="minorEastAsia" w:hint="eastAsia"/>
          <w:sz w:val="21"/>
          <w:szCs w:val="21"/>
        </w:rPr>
        <w:t>日</w:t>
      </w:r>
      <w:r w:rsidRPr="00AC1EB9">
        <w:rPr>
          <w:rFonts w:asciiTheme="minorEastAsia" w:eastAsiaTheme="minorEastAsia" w:hAnsiTheme="minorEastAsia"/>
          <w:sz w:val="21"/>
          <w:szCs w:val="21"/>
        </w:rPr>
        <w:t>15:00</w:t>
      </w:r>
      <w:r w:rsidRPr="00AC1EB9">
        <w:rPr>
          <w:rFonts w:asciiTheme="minorEastAsia" w:eastAsiaTheme="minorEastAsia" w:hAnsiTheme="minorEastAsia" w:hint="eastAsia"/>
          <w:sz w:val="21"/>
          <w:szCs w:val="21"/>
        </w:rPr>
        <w:t>前提交赎回申请。请投资者合理安排时间。</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在赎回选择期期间，由于需应对赎回等情况，基金份额持有人同意豁免《基金合同》中约定的投资组合比例限制等条款。</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赎回选择期结束后，基金管理人将根据基金份额持有人大会决议执行本基金的正式变更。赎回选择期间未赎回的基金份额持有人，其持有的本基金基金份额将根据相关安排结转为富国丰泰债券型证券投资基金的基金份额，结转后的各类基金份额的持有期限自《富国丰泰债券型证券投资基金基金合同》生效之日起重新计算。</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因存量基金份额的份额登记机构将由华宸未来基金管理有限公司变更为富国基金管理有限公司（以下简称“富国基金”），份额持有人需在富国基金开立基金账户。基金份额持有人可由原销售机构根据其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修改后的基金合同生效前，如果原华宸未来稳健添利债券型证券投资基金基金份额持有人未选择将原份额进行赎回且未通过原销售机构在富国基金注册登记系统开立基金账户，则其所持有的原份额将统一转登记至富国基金在直销渠道为其开立的基金账户上。针对因上述原因转至富国基金直销渠道的C类基金份额，因富国基金直销渠道暂不支持C类基金份额，相关C类基金份额将按照转登记日各类基金份额的基金份额净值登记为A类基金份额。</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2、暂停赎回安排</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赎回选择期结束后，本基金将根据持有人大会决议执行本基金管理人的正式变更，本基金将自</w:t>
      </w:r>
      <w:r w:rsidRPr="00AC1EB9">
        <w:rPr>
          <w:rFonts w:asciiTheme="minorEastAsia" w:eastAsiaTheme="minorEastAsia" w:hAnsiTheme="minorEastAsia"/>
          <w:sz w:val="21"/>
          <w:szCs w:val="21"/>
        </w:rPr>
        <w:t>2026</w:t>
      </w:r>
      <w:r w:rsidRPr="00AC1EB9">
        <w:rPr>
          <w:rFonts w:asciiTheme="minorEastAsia" w:eastAsiaTheme="minorEastAsia" w:hAnsiTheme="minorEastAsia" w:hint="eastAsia"/>
          <w:sz w:val="21"/>
          <w:szCs w:val="21"/>
        </w:rPr>
        <w:t>年</w:t>
      </w:r>
      <w:r w:rsidRPr="00AC1EB9">
        <w:rPr>
          <w:rFonts w:asciiTheme="minorEastAsia" w:eastAsiaTheme="minorEastAsia" w:hAnsiTheme="minorEastAsia"/>
          <w:sz w:val="21"/>
          <w:szCs w:val="21"/>
        </w:rPr>
        <w:t>3</w:t>
      </w:r>
      <w:r w:rsidRPr="00AC1EB9">
        <w:rPr>
          <w:rFonts w:asciiTheme="minorEastAsia" w:eastAsiaTheme="minorEastAsia" w:hAnsiTheme="minorEastAsia" w:hint="eastAsia"/>
          <w:sz w:val="21"/>
          <w:szCs w:val="21"/>
        </w:rPr>
        <w:t>月</w:t>
      </w:r>
      <w:r w:rsidRPr="00AC1EB9">
        <w:rPr>
          <w:rFonts w:asciiTheme="minorEastAsia" w:eastAsiaTheme="minorEastAsia" w:hAnsiTheme="minorEastAsia"/>
          <w:sz w:val="21"/>
          <w:szCs w:val="21"/>
        </w:rPr>
        <w:t>6</w:t>
      </w:r>
      <w:r w:rsidRPr="00AC1EB9">
        <w:rPr>
          <w:rFonts w:asciiTheme="minorEastAsia" w:eastAsiaTheme="minorEastAsia" w:hAnsiTheme="minorEastAsia" w:hint="eastAsia"/>
          <w:sz w:val="21"/>
          <w:szCs w:val="21"/>
        </w:rPr>
        <w:t>日起暂停办理赎回业务，并启动办理变更管理人相关交接手续。</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3、《富国丰泰债券型证券投资基金基金合同》的生效</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在变更管理人的相关手续办妥后，《富国丰泰债券型证券投资基金基金合同》的生效时间以及开放申购、赎回等业务的具体安排将由富国基金另行发布公告。投资者届时可登录富国基金网站（www.fullgoal.com.cn）查询详细信息。请投资者注意查看。</w:t>
      </w:r>
    </w:p>
    <w:p w:rsidR="007668A0" w:rsidRPr="00AC1EB9" w:rsidRDefault="0050669E">
      <w:pPr>
        <w:ind w:firstLine="420"/>
        <w:rPr>
          <w:rFonts w:asciiTheme="minorEastAsia" w:eastAsiaTheme="minorEastAsia" w:hAnsiTheme="minorEastAsia"/>
          <w:b/>
          <w:sz w:val="21"/>
          <w:szCs w:val="21"/>
        </w:rPr>
      </w:pPr>
      <w:r w:rsidRPr="00AC1EB9">
        <w:rPr>
          <w:rFonts w:asciiTheme="minorEastAsia" w:eastAsiaTheme="minorEastAsia" w:hAnsiTheme="minorEastAsia" w:hint="eastAsia"/>
          <w:sz w:val="21"/>
          <w:szCs w:val="21"/>
        </w:rPr>
        <w:t>四</w:t>
      </w:r>
      <w:r w:rsidRPr="00AC1EB9">
        <w:rPr>
          <w:rFonts w:asciiTheme="minorEastAsia" w:eastAsiaTheme="minorEastAsia" w:hAnsiTheme="minorEastAsia" w:hint="eastAsia"/>
          <w:b/>
          <w:bCs/>
          <w:sz w:val="21"/>
          <w:szCs w:val="21"/>
        </w:rPr>
        <w:t>、</w:t>
      </w:r>
      <w:r w:rsidRPr="00AC1EB9">
        <w:rPr>
          <w:rFonts w:asciiTheme="minorEastAsia" w:eastAsiaTheme="minorEastAsia" w:hAnsiTheme="minorEastAsia" w:hint="eastAsia"/>
          <w:b/>
          <w:sz w:val="21"/>
          <w:szCs w:val="21"/>
        </w:rPr>
        <w:t>备查文件</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1、《华宸未来基金管理有限公司关于以通讯会议方式召开华宸未来稳健添利债券型证券投资基金基金份额持有人大会的公告》</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2、《华宸未来基金管理有限公司关于以通讯会议方式召开华宸未来稳健添利债券型证券投资基金基金份额持有人大会的第一次提示性公告》</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3、《华宸未来基金管理有限公司关于以通讯会议方式召开华宸未来稳健添利债券型证券投资基金基金份额持有人大会的第二次提示性公告》</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4、上海市东方公证处出具的公证书</w:t>
      </w: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5、上海市通力律师事务所出具的法律意见书</w:t>
      </w:r>
    </w:p>
    <w:p w:rsidR="007668A0" w:rsidRPr="00AC1EB9" w:rsidRDefault="007668A0">
      <w:pPr>
        <w:ind w:firstLine="420"/>
        <w:rPr>
          <w:rFonts w:asciiTheme="minorEastAsia" w:eastAsiaTheme="minorEastAsia" w:hAnsiTheme="minorEastAsia"/>
          <w:sz w:val="21"/>
          <w:szCs w:val="21"/>
        </w:rPr>
      </w:pPr>
    </w:p>
    <w:p w:rsidR="007668A0" w:rsidRPr="00AC1EB9" w:rsidRDefault="0050669E">
      <w:pPr>
        <w:ind w:firstLine="420"/>
        <w:rPr>
          <w:rFonts w:asciiTheme="minorEastAsia" w:eastAsiaTheme="minorEastAsia" w:hAnsiTheme="minorEastAsia"/>
          <w:sz w:val="21"/>
          <w:szCs w:val="21"/>
        </w:rPr>
      </w:pPr>
      <w:r w:rsidRPr="00AC1EB9">
        <w:rPr>
          <w:rFonts w:asciiTheme="minorEastAsia" w:eastAsiaTheme="minorEastAsia" w:hAnsiTheme="minorEastAsia"/>
          <w:sz w:val="21"/>
          <w:szCs w:val="21"/>
        </w:rPr>
        <w:t>特此公告</w:t>
      </w:r>
      <w:r w:rsidRPr="00AC1EB9">
        <w:rPr>
          <w:rFonts w:asciiTheme="minorEastAsia" w:eastAsiaTheme="minorEastAsia" w:hAnsiTheme="minorEastAsia" w:hint="eastAsia"/>
          <w:sz w:val="21"/>
          <w:szCs w:val="21"/>
        </w:rPr>
        <w:t>。</w:t>
      </w:r>
    </w:p>
    <w:p w:rsidR="007668A0" w:rsidRPr="00AC1EB9" w:rsidRDefault="007668A0">
      <w:pPr>
        <w:ind w:firstLine="420"/>
        <w:rPr>
          <w:rFonts w:asciiTheme="minorEastAsia" w:eastAsiaTheme="minorEastAsia" w:hAnsiTheme="minorEastAsia"/>
          <w:sz w:val="21"/>
          <w:szCs w:val="21"/>
        </w:rPr>
      </w:pPr>
    </w:p>
    <w:p w:rsidR="007668A0" w:rsidRPr="00AC1EB9" w:rsidRDefault="007668A0">
      <w:pPr>
        <w:ind w:firstLine="420"/>
        <w:rPr>
          <w:rFonts w:asciiTheme="minorEastAsia" w:eastAsiaTheme="minorEastAsia" w:hAnsiTheme="minorEastAsia"/>
          <w:sz w:val="21"/>
          <w:szCs w:val="21"/>
        </w:rPr>
      </w:pPr>
    </w:p>
    <w:p w:rsidR="007668A0" w:rsidRPr="00AC1EB9" w:rsidRDefault="0050669E">
      <w:pPr>
        <w:ind w:firstLine="420"/>
        <w:jc w:val="right"/>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华宸未来基金管理有限公司</w:t>
      </w:r>
    </w:p>
    <w:p w:rsidR="007668A0" w:rsidRPr="00AC1EB9" w:rsidRDefault="0050669E" w:rsidP="00F32DED">
      <w:pPr>
        <w:spacing w:line="560" w:lineRule="exact"/>
        <w:ind w:right="640" w:firstLineChars="1200" w:firstLine="2520"/>
        <w:jc w:val="right"/>
        <w:rPr>
          <w:rFonts w:asciiTheme="minorEastAsia" w:eastAsiaTheme="minorEastAsia" w:hAnsiTheme="minorEastAsia"/>
          <w:sz w:val="21"/>
          <w:szCs w:val="21"/>
        </w:rPr>
      </w:pPr>
      <w:r w:rsidRPr="00AC1EB9">
        <w:rPr>
          <w:rFonts w:asciiTheme="minorEastAsia" w:eastAsiaTheme="minorEastAsia" w:hAnsiTheme="minorEastAsia" w:hint="eastAsia"/>
          <w:sz w:val="21"/>
          <w:szCs w:val="21"/>
        </w:rPr>
        <w:t>2</w:t>
      </w:r>
      <w:r w:rsidRPr="00AC1EB9">
        <w:rPr>
          <w:rFonts w:asciiTheme="minorEastAsia" w:eastAsiaTheme="minorEastAsia" w:hAnsiTheme="minorEastAsia"/>
          <w:sz w:val="21"/>
          <w:szCs w:val="21"/>
        </w:rPr>
        <w:t>026年2月27日</w:t>
      </w:r>
      <w:bookmarkEnd w:id="0"/>
    </w:p>
    <w:sectPr w:rsidR="007668A0" w:rsidRPr="00AC1EB9" w:rsidSect="005F06A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8EE" w:rsidRDefault="00A748EE">
      <w:pPr>
        <w:spacing w:line="240" w:lineRule="auto"/>
        <w:ind w:firstLine="480"/>
      </w:pPr>
      <w:r>
        <w:separator/>
      </w:r>
    </w:p>
  </w:endnote>
  <w:endnote w:type="continuationSeparator" w:id="0">
    <w:p w:rsidR="00A748EE" w:rsidRDefault="00A748E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9" w:rsidRDefault="00AC1EB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A0" w:rsidRDefault="007668A0">
    <w:pPr>
      <w:pStyle w:val="a6"/>
      <w:ind w:firstLine="360"/>
      <w:jc w:val="center"/>
    </w:pPr>
  </w:p>
  <w:p w:rsidR="007668A0" w:rsidRDefault="007668A0">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9" w:rsidRDefault="00AC1EB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8EE" w:rsidRDefault="00A748EE">
      <w:pPr>
        <w:ind w:firstLine="480"/>
      </w:pPr>
      <w:r>
        <w:separator/>
      </w:r>
    </w:p>
  </w:footnote>
  <w:footnote w:type="continuationSeparator" w:id="0">
    <w:p w:rsidR="00A748EE" w:rsidRDefault="00A748EE">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9" w:rsidRDefault="00AC1EB9">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9" w:rsidRDefault="00AC1EB9">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9" w:rsidRDefault="00AC1EB9">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A59"/>
    <w:rsid w:val="000045E1"/>
    <w:rsid w:val="00006DA4"/>
    <w:rsid w:val="00023FD3"/>
    <w:rsid w:val="00050A2E"/>
    <w:rsid w:val="0008234E"/>
    <w:rsid w:val="0008468A"/>
    <w:rsid w:val="00084FA4"/>
    <w:rsid w:val="00094511"/>
    <w:rsid w:val="000C07EA"/>
    <w:rsid w:val="000C2F30"/>
    <w:rsid w:val="000E417A"/>
    <w:rsid w:val="000E665F"/>
    <w:rsid w:val="000F4AD4"/>
    <w:rsid w:val="00101629"/>
    <w:rsid w:val="001122B5"/>
    <w:rsid w:val="00124360"/>
    <w:rsid w:val="00133898"/>
    <w:rsid w:val="00145A0A"/>
    <w:rsid w:val="00163A20"/>
    <w:rsid w:val="00175315"/>
    <w:rsid w:val="00175BC1"/>
    <w:rsid w:val="001939CF"/>
    <w:rsid w:val="001A7019"/>
    <w:rsid w:val="001B51C8"/>
    <w:rsid w:val="00206990"/>
    <w:rsid w:val="00211108"/>
    <w:rsid w:val="00222ABB"/>
    <w:rsid w:val="00224D1B"/>
    <w:rsid w:val="0022520A"/>
    <w:rsid w:val="00244C6F"/>
    <w:rsid w:val="00244F0E"/>
    <w:rsid w:val="002667BB"/>
    <w:rsid w:val="002901CF"/>
    <w:rsid w:val="002A501F"/>
    <w:rsid w:val="002A57D2"/>
    <w:rsid w:val="002C01DA"/>
    <w:rsid w:val="002C0264"/>
    <w:rsid w:val="002F6550"/>
    <w:rsid w:val="00333F48"/>
    <w:rsid w:val="00335708"/>
    <w:rsid w:val="00341453"/>
    <w:rsid w:val="003667D2"/>
    <w:rsid w:val="00371369"/>
    <w:rsid w:val="003B5F9A"/>
    <w:rsid w:val="003F102D"/>
    <w:rsid w:val="003F77B4"/>
    <w:rsid w:val="004077C6"/>
    <w:rsid w:val="0041072E"/>
    <w:rsid w:val="00411FBA"/>
    <w:rsid w:val="00415635"/>
    <w:rsid w:val="004311C4"/>
    <w:rsid w:val="00437082"/>
    <w:rsid w:val="00442ACA"/>
    <w:rsid w:val="00453CFC"/>
    <w:rsid w:val="00462629"/>
    <w:rsid w:val="0048426C"/>
    <w:rsid w:val="00485D67"/>
    <w:rsid w:val="004A34F9"/>
    <w:rsid w:val="004B1328"/>
    <w:rsid w:val="0050669E"/>
    <w:rsid w:val="0051562C"/>
    <w:rsid w:val="00517606"/>
    <w:rsid w:val="00541D49"/>
    <w:rsid w:val="005448DC"/>
    <w:rsid w:val="00567A46"/>
    <w:rsid w:val="00582D5B"/>
    <w:rsid w:val="0059589E"/>
    <w:rsid w:val="005A3667"/>
    <w:rsid w:val="005C457A"/>
    <w:rsid w:val="005C65ED"/>
    <w:rsid w:val="005D28E5"/>
    <w:rsid w:val="005E116A"/>
    <w:rsid w:val="005E13B5"/>
    <w:rsid w:val="005F06A8"/>
    <w:rsid w:val="005F094A"/>
    <w:rsid w:val="00631362"/>
    <w:rsid w:val="00631540"/>
    <w:rsid w:val="00637D9F"/>
    <w:rsid w:val="006445BB"/>
    <w:rsid w:val="00654524"/>
    <w:rsid w:val="006600C5"/>
    <w:rsid w:val="00676B65"/>
    <w:rsid w:val="00682B69"/>
    <w:rsid w:val="00697A74"/>
    <w:rsid w:val="006E4DFD"/>
    <w:rsid w:val="006E62E3"/>
    <w:rsid w:val="007007F6"/>
    <w:rsid w:val="007064C7"/>
    <w:rsid w:val="007169D0"/>
    <w:rsid w:val="00756E73"/>
    <w:rsid w:val="007668A0"/>
    <w:rsid w:val="007713E1"/>
    <w:rsid w:val="00780AF9"/>
    <w:rsid w:val="007817A2"/>
    <w:rsid w:val="00793D94"/>
    <w:rsid w:val="007C04CD"/>
    <w:rsid w:val="007C6944"/>
    <w:rsid w:val="007F108C"/>
    <w:rsid w:val="00832960"/>
    <w:rsid w:val="00835992"/>
    <w:rsid w:val="00850C6C"/>
    <w:rsid w:val="00875088"/>
    <w:rsid w:val="00881912"/>
    <w:rsid w:val="008F0D35"/>
    <w:rsid w:val="008F1208"/>
    <w:rsid w:val="008F313C"/>
    <w:rsid w:val="00905605"/>
    <w:rsid w:val="009062CC"/>
    <w:rsid w:val="00920E56"/>
    <w:rsid w:val="00927C39"/>
    <w:rsid w:val="00932D77"/>
    <w:rsid w:val="00934188"/>
    <w:rsid w:val="009352A8"/>
    <w:rsid w:val="00936C57"/>
    <w:rsid w:val="009846A7"/>
    <w:rsid w:val="00994640"/>
    <w:rsid w:val="009D2C8B"/>
    <w:rsid w:val="009F5D6C"/>
    <w:rsid w:val="00A15B87"/>
    <w:rsid w:val="00A21FB4"/>
    <w:rsid w:val="00A459BE"/>
    <w:rsid w:val="00A47A90"/>
    <w:rsid w:val="00A70041"/>
    <w:rsid w:val="00A748EE"/>
    <w:rsid w:val="00A8319D"/>
    <w:rsid w:val="00A94999"/>
    <w:rsid w:val="00AA4149"/>
    <w:rsid w:val="00AA7262"/>
    <w:rsid w:val="00AC1EB9"/>
    <w:rsid w:val="00AC2831"/>
    <w:rsid w:val="00AC377B"/>
    <w:rsid w:val="00AC582F"/>
    <w:rsid w:val="00AE4220"/>
    <w:rsid w:val="00B00C90"/>
    <w:rsid w:val="00B22D6C"/>
    <w:rsid w:val="00B362E2"/>
    <w:rsid w:val="00B56D89"/>
    <w:rsid w:val="00B62763"/>
    <w:rsid w:val="00B67740"/>
    <w:rsid w:val="00B925EA"/>
    <w:rsid w:val="00BA7785"/>
    <w:rsid w:val="00BB6C35"/>
    <w:rsid w:val="00BC17A5"/>
    <w:rsid w:val="00C036DD"/>
    <w:rsid w:val="00C059D7"/>
    <w:rsid w:val="00C13A72"/>
    <w:rsid w:val="00C201BE"/>
    <w:rsid w:val="00C21379"/>
    <w:rsid w:val="00C41581"/>
    <w:rsid w:val="00C44D5E"/>
    <w:rsid w:val="00C8654B"/>
    <w:rsid w:val="00C94423"/>
    <w:rsid w:val="00C9467D"/>
    <w:rsid w:val="00C97A13"/>
    <w:rsid w:val="00CC2797"/>
    <w:rsid w:val="00CC50F3"/>
    <w:rsid w:val="00CE6BB0"/>
    <w:rsid w:val="00D15CD7"/>
    <w:rsid w:val="00D2191E"/>
    <w:rsid w:val="00D52508"/>
    <w:rsid w:val="00D54B63"/>
    <w:rsid w:val="00D75E42"/>
    <w:rsid w:val="00DA7766"/>
    <w:rsid w:val="00DB2E65"/>
    <w:rsid w:val="00DB3696"/>
    <w:rsid w:val="00DC4E58"/>
    <w:rsid w:val="00DD26E0"/>
    <w:rsid w:val="00DE1A59"/>
    <w:rsid w:val="00DE62E4"/>
    <w:rsid w:val="00E01FDA"/>
    <w:rsid w:val="00E05C4C"/>
    <w:rsid w:val="00E103AA"/>
    <w:rsid w:val="00E12599"/>
    <w:rsid w:val="00E44F18"/>
    <w:rsid w:val="00E512BA"/>
    <w:rsid w:val="00E540B3"/>
    <w:rsid w:val="00E73A7D"/>
    <w:rsid w:val="00EB2E74"/>
    <w:rsid w:val="00ED2ADD"/>
    <w:rsid w:val="00ED579D"/>
    <w:rsid w:val="00EE18B9"/>
    <w:rsid w:val="00EF0BCD"/>
    <w:rsid w:val="00F026CC"/>
    <w:rsid w:val="00F03398"/>
    <w:rsid w:val="00F13B21"/>
    <w:rsid w:val="00F13E6F"/>
    <w:rsid w:val="00F1464C"/>
    <w:rsid w:val="00F20C77"/>
    <w:rsid w:val="00F32DED"/>
    <w:rsid w:val="00F44D2E"/>
    <w:rsid w:val="00F66F8E"/>
    <w:rsid w:val="00F67B04"/>
    <w:rsid w:val="00F71907"/>
    <w:rsid w:val="00F77E7B"/>
    <w:rsid w:val="00F80E97"/>
    <w:rsid w:val="00F83E82"/>
    <w:rsid w:val="00FC212B"/>
    <w:rsid w:val="00FF2A4E"/>
    <w:rsid w:val="4FB06B67"/>
    <w:rsid w:val="7AD43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6A8"/>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5F06A8"/>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5F06A8"/>
    <w:pPr>
      <w:keepNext/>
      <w:keepLines/>
      <w:ind w:firstLineChars="0" w:firstLine="0"/>
      <w:outlineLvl w:val="1"/>
    </w:pPr>
    <w:rPr>
      <w:b/>
      <w:szCs w:val="20"/>
    </w:rPr>
  </w:style>
  <w:style w:type="paragraph" w:styleId="3">
    <w:name w:val="heading 3"/>
    <w:basedOn w:val="a"/>
    <w:next w:val="a"/>
    <w:link w:val="3Char"/>
    <w:qFormat/>
    <w:rsid w:val="005F06A8"/>
    <w:pPr>
      <w:keepNext/>
      <w:keepLines/>
      <w:ind w:firstLineChars="0" w:firstLine="0"/>
      <w:outlineLvl w:val="2"/>
    </w:pPr>
    <w:rPr>
      <w:b/>
      <w:bCs/>
      <w:szCs w:val="32"/>
    </w:rPr>
  </w:style>
  <w:style w:type="paragraph" w:styleId="4">
    <w:name w:val="heading 4"/>
    <w:basedOn w:val="a"/>
    <w:next w:val="a"/>
    <w:link w:val="4Char"/>
    <w:qFormat/>
    <w:rsid w:val="005F06A8"/>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5F06A8"/>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5F06A8"/>
    <w:pPr>
      <w:keepNext/>
      <w:keepLines/>
      <w:numPr>
        <w:ilvl w:val="5"/>
        <w:numId w:val="1"/>
      </w:numPr>
      <w:spacing w:before="240" w:after="64" w:line="320" w:lineRule="auto"/>
      <w:outlineLvl w:val="5"/>
    </w:pPr>
    <w:rPr>
      <w:rFonts w:ascii="Arial" w:eastAsia="黑体" w:hAnsi="Arial"/>
      <w:b/>
      <w:bCs/>
    </w:rPr>
  </w:style>
  <w:style w:type="paragraph" w:styleId="7">
    <w:name w:val="heading 7"/>
    <w:basedOn w:val="a"/>
    <w:next w:val="a"/>
    <w:link w:val="7Char"/>
    <w:qFormat/>
    <w:rsid w:val="005F06A8"/>
    <w:pPr>
      <w:keepNext/>
      <w:keepLines/>
      <w:numPr>
        <w:ilvl w:val="6"/>
        <w:numId w:val="1"/>
      </w:numPr>
      <w:spacing w:before="240" w:after="64" w:line="320" w:lineRule="auto"/>
      <w:outlineLvl w:val="6"/>
    </w:pPr>
    <w:rPr>
      <w:b/>
      <w:bCs/>
    </w:rPr>
  </w:style>
  <w:style w:type="paragraph" w:styleId="8">
    <w:name w:val="heading 8"/>
    <w:basedOn w:val="a"/>
    <w:next w:val="a"/>
    <w:link w:val="8Char"/>
    <w:rsid w:val="005F06A8"/>
    <w:pPr>
      <w:keepNext/>
      <w:keepLines/>
      <w:numPr>
        <w:ilvl w:val="7"/>
        <w:numId w:val="1"/>
      </w:numPr>
      <w:spacing w:before="240" w:after="64" w:line="320" w:lineRule="auto"/>
      <w:outlineLvl w:val="7"/>
    </w:pPr>
    <w:rPr>
      <w:rFonts w:ascii="Arial" w:eastAsia="黑体" w:hAnsi="Arial"/>
    </w:rPr>
  </w:style>
  <w:style w:type="paragraph" w:styleId="9">
    <w:name w:val="heading 9"/>
    <w:basedOn w:val="a"/>
    <w:next w:val="a"/>
    <w:link w:val="9Char"/>
    <w:qFormat/>
    <w:rsid w:val="005F06A8"/>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F06A8"/>
    <w:pPr>
      <w:jc w:val="left"/>
    </w:pPr>
  </w:style>
  <w:style w:type="paragraph" w:styleId="a4">
    <w:name w:val="Body Text Indent"/>
    <w:basedOn w:val="a"/>
    <w:link w:val="Char0"/>
    <w:qFormat/>
    <w:rsid w:val="005F06A8"/>
    <w:pPr>
      <w:autoSpaceDE w:val="0"/>
      <w:autoSpaceDN w:val="0"/>
      <w:adjustRightInd w:val="0"/>
      <w:spacing w:after="120" w:line="440" w:lineRule="atLeast"/>
      <w:ind w:firstLine="539"/>
    </w:pPr>
    <w:rPr>
      <w:rFonts w:ascii="宋体" w:hint="eastAsia"/>
      <w:kern w:val="0"/>
      <w:szCs w:val="20"/>
    </w:rPr>
  </w:style>
  <w:style w:type="paragraph" w:styleId="a5">
    <w:name w:val="Balloon Text"/>
    <w:basedOn w:val="a"/>
    <w:link w:val="Char1"/>
    <w:uiPriority w:val="99"/>
    <w:semiHidden/>
    <w:unhideWhenUsed/>
    <w:qFormat/>
    <w:rsid w:val="005F06A8"/>
    <w:pPr>
      <w:spacing w:line="240" w:lineRule="auto"/>
    </w:pPr>
    <w:rPr>
      <w:sz w:val="18"/>
      <w:szCs w:val="18"/>
    </w:rPr>
  </w:style>
  <w:style w:type="paragraph" w:styleId="a6">
    <w:name w:val="footer"/>
    <w:basedOn w:val="a"/>
    <w:link w:val="Char2"/>
    <w:uiPriority w:val="99"/>
    <w:unhideWhenUsed/>
    <w:qFormat/>
    <w:rsid w:val="005F06A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F06A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5F06A8"/>
    <w:rPr>
      <w:b/>
      <w:bCs/>
    </w:rPr>
  </w:style>
  <w:style w:type="table" w:styleId="a9">
    <w:name w:val="Table Grid"/>
    <w:basedOn w:val="a1"/>
    <w:uiPriority w:val="59"/>
    <w:qFormat/>
    <w:rsid w:val="005F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5F06A8"/>
    <w:rPr>
      <w:color w:val="0000FF"/>
      <w:u w:val="single"/>
    </w:rPr>
  </w:style>
  <w:style w:type="character" w:styleId="ab">
    <w:name w:val="annotation reference"/>
    <w:basedOn w:val="a0"/>
    <w:uiPriority w:val="99"/>
    <w:semiHidden/>
    <w:unhideWhenUsed/>
    <w:qFormat/>
    <w:rsid w:val="005F06A8"/>
    <w:rPr>
      <w:sz w:val="21"/>
      <w:szCs w:val="21"/>
    </w:rPr>
  </w:style>
  <w:style w:type="character" w:customStyle="1" w:styleId="1Char">
    <w:name w:val="标题 1 Char"/>
    <w:basedOn w:val="a0"/>
    <w:link w:val="1"/>
    <w:qFormat/>
    <w:rsid w:val="005F06A8"/>
    <w:rPr>
      <w:rFonts w:ascii="Times New Roman" w:hAnsi="Times New Roman"/>
      <w:b/>
      <w:bCs/>
      <w:color w:val="000000"/>
      <w:kern w:val="44"/>
      <w:sz w:val="32"/>
      <w:szCs w:val="44"/>
    </w:rPr>
  </w:style>
  <w:style w:type="character" w:customStyle="1" w:styleId="2Char">
    <w:name w:val="标题 2 Char"/>
    <w:basedOn w:val="a0"/>
    <w:link w:val="2"/>
    <w:qFormat/>
    <w:rsid w:val="005F06A8"/>
    <w:rPr>
      <w:rFonts w:ascii="Times New Roman" w:hAnsi="Times New Roman"/>
      <w:b/>
      <w:kern w:val="2"/>
      <w:sz w:val="24"/>
    </w:rPr>
  </w:style>
  <w:style w:type="character" w:customStyle="1" w:styleId="3Char">
    <w:name w:val="标题 3 Char"/>
    <w:basedOn w:val="a0"/>
    <w:link w:val="3"/>
    <w:qFormat/>
    <w:rsid w:val="005F06A8"/>
    <w:rPr>
      <w:rFonts w:ascii="Times New Roman" w:hAnsi="Times New Roman"/>
      <w:b/>
      <w:bCs/>
      <w:kern w:val="2"/>
      <w:sz w:val="24"/>
      <w:szCs w:val="32"/>
    </w:rPr>
  </w:style>
  <w:style w:type="character" w:customStyle="1" w:styleId="4Char">
    <w:name w:val="标题 4 Char"/>
    <w:basedOn w:val="a0"/>
    <w:link w:val="4"/>
    <w:qFormat/>
    <w:rsid w:val="005F06A8"/>
    <w:rPr>
      <w:rFonts w:ascii="Arial" w:eastAsia="黑体" w:hAnsi="Arial" w:cs="Times New Roman"/>
      <w:b/>
      <w:bCs/>
      <w:sz w:val="28"/>
      <w:szCs w:val="28"/>
    </w:rPr>
  </w:style>
  <w:style w:type="character" w:customStyle="1" w:styleId="5Char">
    <w:name w:val="标题 5 Char"/>
    <w:basedOn w:val="a0"/>
    <w:link w:val="5"/>
    <w:qFormat/>
    <w:rsid w:val="005F06A8"/>
    <w:rPr>
      <w:rFonts w:ascii="Times New Roman" w:eastAsia="宋体" w:hAnsi="Times New Roman" w:cs="Times New Roman"/>
      <w:b/>
      <w:bCs/>
      <w:sz w:val="28"/>
      <w:szCs w:val="28"/>
    </w:rPr>
  </w:style>
  <w:style w:type="character" w:customStyle="1" w:styleId="6Char">
    <w:name w:val="标题 6 Char"/>
    <w:basedOn w:val="a0"/>
    <w:link w:val="6"/>
    <w:qFormat/>
    <w:rsid w:val="005F06A8"/>
    <w:rPr>
      <w:rFonts w:ascii="Arial" w:eastAsia="黑体" w:hAnsi="Arial" w:cs="Times New Roman"/>
      <w:b/>
      <w:bCs/>
      <w:sz w:val="24"/>
      <w:szCs w:val="24"/>
    </w:rPr>
  </w:style>
  <w:style w:type="character" w:customStyle="1" w:styleId="7Char">
    <w:name w:val="标题 7 Char"/>
    <w:basedOn w:val="a0"/>
    <w:link w:val="7"/>
    <w:qFormat/>
    <w:rsid w:val="005F06A8"/>
    <w:rPr>
      <w:rFonts w:ascii="Times New Roman" w:eastAsia="宋体" w:hAnsi="Times New Roman" w:cs="Times New Roman"/>
      <w:b/>
      <w:bCs/>
      <w:sz w:val="24"/>
      <w:szCs w:val="24"/>
    </w:rPr>
  </w:style>
  <w:style w:type="character" w:customStyle="1" w:styleId="8Char">
    <w:name w:val="标题 8 Char"/>
    <w:basedOn w:val="a0"/>
    <w:link w:val="8"/>
    <w:qFormat/>
    <w:rsid w:val="005F06A8"/>
    <w:rPr>
      <w:rFonts w:ascii="Arial" w:eastAsia="黑体" w:hAnsi="Arial" w:cs="Times New Roman"/>
      <w:sz w:val="24"/>
      <w:szCs w:val="24"/>
    </w:rPr>
  </w:style>
  <w:style w:type="character" w:customStyle="1" w:styleId="9Char">
    <w:name w:val="标题 9 Char"/>
    <w:basedOn w:val="a0"/>
    <w:link w:val="9"/>
    <w:qFormat/>
    <w:rsid w:val="005F06A8"/>
    <w:rPr>
      <w:rFonts w:ascii="Arial" w:eastAsia="黑体" w:hAnsi="Arial" w:cs="Times New Roman"/>
      <w:szCs w:val="21"/>
    </w:rPr>
  </w:style>
  <w:style w:type="character" w:customStyle="1" w:styleId="Char0">
    <w:name w:val="正文文本缩进 Char"/>
    <w:basedOn w:val="a0"/>
    <w:link w:val="a4"/>
    <w:qFormat/>
    <w:rsid w:val="005F06A8"/>
    <w:rPr>
      <w:rFonts w:ascii="宋体" w:eastAsia="宋体" w:hAnsi="Times New Roman" w:cs="Times New Roman"/>
      <w:kern w:val="0"/>
      <w:sz w:val="24"/>
      <w:szCs w:val="20"/>
    </w:rPr>
  </w:style>
  <w:style w:type="character" w:customStyle="1" w:styleId="Char3">
    <w:name w:val="页眉 Char"/>
    <w:basedOn w:val="a0"/>
    <w:link w:val="a7"/>
    <w:uiPriority w:val="99"/>
    <w:rsid w:val="005F06A8"/>
    <w:rPr>
      <w:rFonts w:ascii="Times New Roman" w:eastAsia="宋体" w:hAnsi="Times New Roman" w:cs="Times New Roman"/>
      <w:sz w:val="18"/>
      <w:szCs w:val="18"/>
    </w:rPr>
  </w:style>
  <w:style w:type="character" w:customStyle="1" w:styleId="Char2">
    <w:name w:val="页脚 Char"/>
    <w:basedOn w:val="a0"/>
    <w:link w:val="a6"/>
    <w:uiPriority w:val="99"/>
    <w:rsid w:val="005F06A8"/>
    <w:rPr>
      <w:rFonts w:ascii="Times New Roman" w:eastAsia="宋体" w:hAnsi="Times New Roman" w:cs="Times New Roman"/>
      <w:sz w:val="18"/>
      <w:szCs w:val="18"/>
    </w:rPr>
  </w:style>
  <w:style w:type="paragraph" w:customStyle="1" w:styleId="Default">
    <w:name w:val="Default"/>
    <w:qFormat/>
    <w:rsid w:val="005F06A8"/>
    <w:pPr>
      <w:widowControl w:val="0"/>
      <w:autoSpaceDE w:val="0"/>
      <w:autoSpaceDN w:val="0"/>
      <w:adjustRightInd w:val="0"/>
    </w:pPr>
    <w:rPr>
      <w:rFonts w:ascii="宋体" w:hAnsi="Times New Roman" w:cs="宋体"/>
      <w:color w:val="000000"/>
      <w:sz w:val="24"/>
      <w:szCs w:val="24"/>
    </w:rPr>
  </w:style>
  <w:style w:type="character" w:customStyle="1" w:styleId="Char1">
    <w:name w:val="批注框文本 Char"/>
    <w:basedOn w:val="a0"/>
    <w:link w:val="a5"/>
    <w:uiPriority w:val="99"/>
    <w:semiHidden/>
    <w:qFormat/>
    <w:rsid w:val="005F06A8"/>
    <w:rPr>
      <w:rFonts w:ascii="Times New Roman" w:hAnsi="Times New Roman"/>
      <w:kern w:val="2"/>
      <w:sz w:val="18"/>
      <w:szCs w:val="18"/>
    </w:rPr>
  </w:style>
  <w:style w:type="paragraph" w:customStyle="1" w:styleId="10">
    <w:name w:val="修订1"/>
    <w:hidden/>
    <w:uiPriority w:val="99"/>
    <w:semiHidden/>
    <w:qFormat/>
    <w:rsid w:val="005F06A8"/>
    <w:rPr>
      <w:rFonts w:ascii="Times New Roman" w:hAnsi="Times New Roman"/>
      <w:kern w:val="2"/>
      <w:sz w:val="24"/>
      <w:szCs w:val="24"/>
    </w:rPr>
  </w:style>
  <w:style w:type="character" w:customStyle="1" w:styleId="Char">
    <w:name w:val="批注文字 Char"/>
    <w:basedOn w:val="a0"/>
    <w:link w:val="a3"/>
    <w:uiPriority w:val="99"/>
    <w:semiHidden/>
    <w:qFormat/>
    <w:rsid w:val="005F06A8"/>
    <w:rPr>
      <w:rFonts w:ascii="Times New Roman" w:hAnsi="Times New Roman"/>
      <w:kern w:val="2"/>
      <w:sz w:val="24"/>
      <w:szCs w:val="24"/>
    </w:rPr>
  </w:style>
  <w:style w:type="character" w:customStyle="1" w:styleId="Char4">
    <w:name w:val="批注主题 Char"/>
    <w:basedOn w:val="Char"/>
    <w:link w:val="a8"/>
    <w:uiPriority w:val="99"/>
    <w:semiHidden/>
    <w:rsid w:val="005F06A8"/>
    <w:rPr>
      <w:rFonts w:ascii="Times New Roman" w:hAnsi="Times New Roman"/>
      <w:b/>
      <w:bCs/>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2B34-57F7-4F8F-90B3-0E30B1A4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公告模板2.dotx</Template>
  <TotalTime>0</TotalTime>
  <Pages>2</Pages>
  <Words>335</Words>
  <Characters>1916</Characters>
  <Application>Microsoft Office Word</Application>
  <DocSecurity>4</DocSecurity>
  <Lines>15</Lines>
  <Paragraphs>4</Paragraphs>
  <ScaleCrop>false</ScaleCrop>
  <Company>MS</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富国基金</dc:creator>
  <cp:lastModifiedBy>ZHONGM</cp:lastModifiedBy>
  <cp:revision>2</cp:revision>
  <dcterms:created xsi:type="dcterms:W3CDTF">2026-02-26T16:00:00Z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4A384167891143C78A28ACBC6EB5E3D6_13</vt:lpwstr>
  </property>
</Properties>
</file>