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D6" w:rsidRDefault="0049211A" w:rsidP="007D64D6">
      <w:pPr>
        <w:jc w:val="center"/>
        <w:rPr>
          <w:rFonts w:ascii="宋体" w:eastAsia="宋体" w:hAnsi="宋体" w:cs="宋体"/>
          <w:b/>
          <w:bCs/>
          <w:sz w:val="36"/>
          <w:szCs w:val="36"/>
          <w:lang w:eastAsia="zh-CN"/>
        </w:rPr>
      </w:pPr>
      <w:r>
        <w:rPr>
          <w:rFonts w:ascii="宋体" w:eastAsia="宋体" w:hAnsi="宋体" w:cs="宋体"/>
          <w:b/>
          <w:bCs/>
          <w:sz w:val="36"/>
          <w:szCs w:val="36"/>
          <w:lang w:eastAsia="zh-CN"/>
        </w:rPr>
        <w:t>华宝标普港股通低波红利交易型开放式指数证券投资基金</w:t>
      </w:r>
    </w:p>
    <w:p w:rsidR="00480B10" w:rsidRDefault="0049211A" w:rsidP="007D64D6">
      <w:pPr>
        <w:jc w:val="center"/>
        <w:rPr>
          <w:rFonts w:ascii="宋体" w:eastAsia="宋体" w:hAnsi="宋体" w:cs="宋体"/>
          <w:b/>
          <w:bCs/>
          <w:sz w:val="36"/>
          <w:szCs w:val="36"/>
          <w:lang w:eastAsia="zh-CN"/>
        </w:rPr>
      </w:pPr>
      <w:r>
        <w:rPr>
          <w:rFonts w:ascii="宋体" w:eastAsia="宋体" w:hAnsi="宋体" w:cs="宋体"/>
          <w:b/>
          <w:bCs/>
          <w:sz w:val="36"/>
          <w:szCs w:val="36"/>
          <w:lang w:eastAsia="zh-CN"/>
        </w:rPr>
        <w:t>联接基金第三次分红公告</w:t>
      </w:r>
    </w:p>
    <w:p w:rsidR="00480B10" w:rsidRDefault="0049211A">
      <w:pPr>
        <w:spacing w:line="360" w:lineRule="atLeast"/>
        <w:jc w:val="center"/>
        <w:rPr>
          <w:rFonts w:ascii="宋体" w:eastAsia="宋体" w:hAnsi="宋体" w:cs="宋体"/>
          <w:b/>
          <w:bCs/>
        </w:rPr>
      </w:pPr>
      <w:r>
        <w:rPr>
          <w:rFonts w:ascii="宋体" w:eastAsia="宋体" w:hAnsi="宋体" w:cs="宋体"/>
          <w:b/>
          <w:bCs/>
        </w:rPr>
        <w:t>公告送出日期：2026年2月27日</w:t>
      </w:r>
    </w:p>
    <w:p w:rsidR="00480B10" w:rsidRDefault="0049211A">
      <w:pPr>
        <w:pStyle w:val="2"/>
        <w:keepNext w:val="0"/>
        <w:spacing w:before="199" w:after="199" w:line="300" w:lineRule="atLeast"/>
        <w:rPr>
          <w:rFonts w:ascii="宋体" w:eastAsia="宋体" w:hAnsi="宋体" w:cs="宋体"/>
        </w:rPr>
      </w:pPr>
      <w:r>
        <w:rPr>
          <w:rFonts w:ascii="宋体" w:eastAsia="宋体" w:hAnsi="宋体" w:cs="宋体"/>
          <w:i w:val="0"/>
          <w:iCs w:val="0"/>
          <w:sz w:val="24"/>
          <w:szCs w:val="24"/>
        </w:rPr>
        <w:t>1 公告基本信息</w:t>
      </w:r>
    </w:p>
    <w:tbl>
      <w:tblPr>
        <w:tblW w:w="0" w:type="auto"/>
        <w:jc w:val="center"/>
        <w:tblCellMar>
          <w:top w:w="15" w:type="dxa"/>
          <w:left w:w="15" w:type="dxa"/>
          <w:bottom w:w="15" w:type="dxa"/>
          <w:right w:w="15" w:type="dxa"/>
        </w:tblCellMar>
        <w:tblLook w:val="04A0"/>
      </w:tblPr>
      <w:tblGrid>
        <w:gridCol w:w="2122"/>
        <w:gridCol w:w="3184"/>
        <w:gridCol w:w="2171"/>
        <w:gridCol w:w="2171"/>
      </w:tblGrid>
      <w:tr w:rsidR="00480B10">
        <w:trPr>
          <w:jc w:val="center"/>
        </w:trPr>
        <w:tc>
          <w:tcPr>
            <w:tcW w:w="275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基金名称</w:t>
            </w:r>
          </w:p>
        </w:tc>
        <w:tc>
          <w:tcPr>
            <w:tcW w:w="225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华宝标普港股通低波红利交易型开放式指数证券投资基金联接基金</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基金简称</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华宝标普港股通低波红利ETF联接</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基金主代码</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022887</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基金合同生效日</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rsidP="009A69A7">
            <w:pPr>
              <w:rPr>
                <w:rFonts w:ascii="宋体" w:eastAsia="宋体" w:hAnsi="宋体" w:cs="宋体"/>
                <w:color w:val="000000"/>
                <w:sz w:val="21"/>
                <w:szCs w:val="21"/>
              </w:rPr>
            </w:pPr>
            <w:r>
              <w:rPr>
                <w:rFonts w:ascii="宋体" w:eastAsia="宋体" w:hAnsi="宋体" w:cs="宋体"/>
                <w:color w:val="000000"/>
                <w:sz w:val="21"/>
                <w:szCs w:val="21"/>
              </w:rPr>
              <w:t>2025年</w:t>
            </w:r>
            <w:r w:rsidR="009A69A7">
              <w:rPr>
                <w:rFonts w:ascii="宋体" w:eastAsia="宋体" w:hAnsi="宋体" w:cs="宋体"/>
                <w:color w:val="000000"/>
                <w:sz w:val="21"/>
                <w:szCs w:val="21"/>
              </w:rPr>
              <w:t>5</w:t>
            </w:r>
            <w:r>
              <w:rPr>
                <w:rFonts w:ascii="宋体" w:eastAsia="宋体" w:hAnsi="宋体" w:cs="宋体"/>
                <w:color w:val="000000"/>
                <w:sz w:val="21"/>
                <w:szCs w:val="21"/>
              </w:rPr>
              <w:t>月</w:t>
            </w:r>
            <w:r w:rsidR="009A69A7">
              <w:rPr>
                <w:rFonts w:ascii="宋体" w:eastAsia="宋体" w:hAnsi="宋体" w:cs="宋体"/>
                <w:color w:val="000000"/>
                <w:sz w:val="21"/>
                <w:szCs w:val="21"/>
              </w:rPr>
              <w:t>13</w:t>
            </w:r>
            <w:r>
              <w:rPr>
                <w:rFonts w:ascii="宋体" w:eastAsia="宋体" w:hAnsi="宋体" w:cs="宋体"/>
                <w:color w:val="000000"/>
                <w:sz w:val="21"/>
                <w:szCs w:val="21"/>
              </w:rPr>
              <w:t>日</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基金管理人名称</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华宝基金管理有限公司</w:t>
            </w:r>
            <w:bookmarkStart w:id="0" w:name="_GoBack"/>
            <w:bookmarkEnd w:id="0"/>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基金托管人名称</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中国建设银行股份有限公司</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公告依据</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《华宝标普港股通低波红利交易型开放式指数证券投资基金联接基金基金合同》、《华宝标普港股通低波红利交易型开放式指数证券投资基金联接基金招募说明书》 </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收益分配基准日</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2026年2月11日</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下属基金的基金代码</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022887</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022888</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下属基金的基金简称</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华宝标普港股通低波红利ETF联接A</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华宝标普港股通低波红利ETF联接C</w:t>
            </w:r>
          </w:p>
        </w:tc>
      </w:tr>
      <w:tr w:rsidR="00480B10">
        <w:trPr>
          <w:jc w:val="center"/>
        </w:trPr>
        <w:tc>
          <w:tcPr>
            <w:tcW w:w="1100" w:type="pct"/>
            <w:vMerge w:val="restar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截止收益分配基准日的相关指标</w:t>
            </w:r>
          </w:p>
        </w:tc>
        <w:tc>
          <w:tcPr>
            <w:tcW w:w="165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基准日基金份额净值（单位：人民币元）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1.2905</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1.2865</w:t>
            </w:r>
          </w:p>
        </w:tc>
      </w:tr>
      <w:tr w:rsidR="00480B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80B10" w:rsidRDefault="00480B10">
            <w:pPr>
              <w:rPr>
                <w:rFonts w:ascii="宋体" w:eastAsia="宋体" w:hAnsi="宋体" w:cs="宋体"/>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基准日基金可供分配利润（单位：人民币元）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12,084,237.04</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10,231,394.56</w:t>
            </w:r>
          </w:p>
        </w:tc>
      </w:tr>
      <w:tr w:rsidR="00480B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80B10" w:rsidRDefault="00480B10">
            <w:pPr>
              <w:rPr>
                <w:rFonts w:ascii="宋体" w:eastAsia="宋体" w:hAnsi="宋体" w:cs="宋体"/>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截止基准日按照基金合同约定的分红比例计算的应分配金额（单位：人民币元）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本次分红方案（单位：元/10份基金份额）</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0.1010</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0.1010</w:t>
            </w:r>
          </w:p>
        </w:tc>
      </w:tr>
      <w:tr w:rsidR="00480B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有关年度分红次数的说明</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本次分红为2026年度的第一次分红</w:t>
            </w:r>
          </w:p>
        </w:tc>
      </w:tr>
    </w:tbl>
    <w:p w:rsidR="00480B10" w:rsidRDefault="0049211A">
      <w:pPr>
        <w:pStyle w:val="2"/>
        <w:keepNext w:val="0"/>
        <w:spacing w:before="199" w:after="199" w:line="300" w:lineRule="atLeast"/>
        <w:rPr>
          <w:rFonts w:ascii="宋体" w:eastAsia="宋体" w:hAnsi="宋体" w:cs="宋体"/>
        </w:rPr>
      </w:pPr>
      <w:r>
        <w:rPr>
          <w:rFonts w:ascii="宋体" w:eastAsia="宋体" w:hAnsi="宋体" w:cs="宋体"/>
          <w:i w:val="0"/>
          <w:iCs w:val="0"/>
          <w:sz w:val="24"/>
          <w:szCs w:val="24"/>
        </w:rPr>
        <w:t>2 与分红相关的其他信息</w:t>
      </w:r>
    </w:p>
    <w:tbl>
      <w:tblPr>
        <w:tblW w:w="0" w:type="auto"/>
        <w:jc w:val="center"/>
        <w:tblCellMar>
          <w:top w:w="15" w:type="dxa"/>
          <w:left w:w="15" w:type="dxa"/>
          <w:bottom w:w="15" w:type="dxa"/>
          <w:right w:w="15" w:type="dxa"/>
        </w:tblCellMar>
        <w:tblLook w:val="04A0"/>
      </w:tblPr>
      <w:tblGrid>
        <w:gridCol w:w="3859"/>
        <w:gridCol w:w="5789"/>
      </w:tblGrid>
      <w:tr w:rsidR="00480B10">
        <w:trPr>
          <w:jc w:val="center"/>
        </w:trPr>
        <w:tc>
          <w:tcPr>
            <w:tcW w:w="200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权益登记日</w:t>
            </w:r>
          </w:p>
        </w:tc>
        <w:tc>
          <w:tcPr>
            <w:tcW w:w="300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2026年3月3日</w:t>
            </w:r>
          </w:p>
        </w:tc>
      </w:tr>
      <w:tr w:rsidR="00480B10">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除息日</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2026年3月3日</w:t>
            </w:r>
          </w:p>
        </w:tc>
      </w:tr>
      <w:tr w:rsidR="00480B10">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现金红利发放日</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2026年3月4日</w:t>
            </w:r>
          </w:p>
        </w:tc>
      </w:tr>
      <w:tr w:rsidR="00480B10">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分红对象</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权益登记日登记在册的本基金所有基金份额持有人 </w:t>
            </w:r>
          </w:p>
        </w:tc>
      </w:tr>
      <w:tr w:rsidR="00480B10">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红利再投资相关事项的说明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红利再投资确认日为2026年3月4日，选择红利再投资方式的基金份额持有人，其现金红利将按2026年3月3日除息后的基金份额净值转换为基金份额，再投资所得的基金份额将于2026年3月4日直接计入其基金账户，2026年3月5日起可以查询、赎回。 </w:t>
            </w:r>
          </w:p>
        </w:tc>
      </w:tr>
      <w:tr w:rsidR="00480B10">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税收相关事项的说明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根据相关规定,基金向投资者分配的基金收益,暂免征收个人所得税和企业所得税。 </w:t>
            </w:r>
          </w:p>
        </w:tc>
      </w:tr>
      <w:tr w:rsidR="00480B10">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rPr>
            </w:pPr>
            <w:r>
              <w:rPr>
                <w:rFonts w:ascii="宋体" w:eastAsia="宋体" w:hAnsi="宋体" w:cs="宋体"/>
                <w:color w:val="000000"/>
                <w:sz w:val="21"/>
                <w:szCs w:val="21"/>
              </w:rPr>
              <w:t>费用相关事项的说明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480B10" w:rsidRDefault="0049211A">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本次分红免收分红手续费和红利再投资费用。选择红利再投资方式的投资者其红利所转换的基金份额免收申购费用。 </w:t>
            </w:r>
          </w:p>
        </w:tc>
      </w:tr>
    </w:tbl>
    <w:p w:rsidR="00480B10" w:rsidRDefault="0049211A">
      <w:pPr>
        <w:spacing w:line="440" w:lineRule="atLeast"/>
        <w:rPr>
          <w:rFonts w:ascii="宋体" w:eastAsia="宋体" w:hAnsi="宋体" w:cs="宋体"/>
          <w:sz w:val="21"/>
          <w:szCs w:val="21"/>
          <w:lang w:eastAsia="zh-CN"/>
        </w:rPr>
      </w:pPr>
      <w:r>
        <w:rPr>
          <w:rFonts w:ascii="宋体" w:eastAsia="宋体" w:hAnsi="宋体" w:cs="宋体"/>
          <w:sz w:val="21"/>
          <w:szCs w:val="21"/>
          <w:lang w:eastAsia="zh-CN"/>
        </w:rPr>
        <w:lastRenderedPageBreak/>
        <w:t>注：（1）选择现金分红方式的投资者的现金红利款将于2026年3月4日自基金托管账户划出。</w:t>
      </w:r>
      <w:r>
        <w:rPr>
          <w:rFonts w:ascii="宋体" w:eastAsia="宋体" w:hAnsi="宋体" w:cs="宋体"/>
          <w:sz w:val="21"/>
          <w:szCs w:val="21"/>
          <w:lang w:eastAsia="zh-CN"/>
        </w:rPr>
        <w:br/>
        <w:t>（2）权益登记日当天基金账户或基金份额处于冻结状态的，以及基金份额在途的（例如已办理转托管转出，但尚未办理转托管转入的），其基金份额相应的收益分配方式根据《华宝基金管理有限公司开放式基金业务规则》的相关规定执行。</w:t>
      </w:r>
      <w:r>
        <w:rPr>
          <w:rFonts w:ascii="宋体" w:eastAsia="宋体" w:hAnsi="宋体" w:cs="宋体"/>
          <w:sz w:val="21"/>
          <w:szCs w:val="21"/>
          <w:lang w:eastAsia="zh-CN"/>
        </w:rPr>
        <w:br/>
        <w:t xml:space="preserve">（3）本次收益分配公告已经本基金托管人中国建设银行股份有限公司复核。 </w:t>
      </w:r>
    </w:p>
    <w:p w:rsidR="00480B10" w:rsidRDefault="0049211A">
      <w:pPr>
        <w:pStyle w:val="2"/>
        <w:keepNext w:val="0"/>
        <w:spacing w:before="199" w:after="199" w:line="440" w:lineRule="atLeast"/>
        <w:rPr>
          <w:rFonts w:ascii="宋体" w:eastAsia="宋体" w:hAnsi="宋体" w:cs="宋体"/>
          <w:lang w:eastAsia="zh-CN"/>
        </w:rPr>
      </w:pPr>
      <w:r>
        <w:rPr>
          <w:rFonts w:ascii="宋体" w:eastAsia="宋体" w:hAnsi="宋体" w:cs="宋体"/>
          <w:i w:val="0"/>
          <w:iCs w:val="0"/>
          <w:sz w:val="24"/>
          <w:szCs w:val="24"/>
          <w:lang w:eastAsia="zh-CN"/>
        </w:rPr>
        <w:t>3 其他需要提示的事项</w:t>
      </w:r>
    </w:p>
    <w:p w:rsidR="00480B10" w:rsidRDefault="0049211A">
      <w:pPr>
        <w:spacing w:line="440" w:lineRule="atLeast"/>
        <w:ind w:firstLine="420"/>
        <w:rPr>
          <w:sz w:val="21"/>
          <w:szCs w:val="21"/>
          <w:lang w:eastAsia="zh-CN"/>
        </w:rPr>
      </w:pPr>
      <w:r>
        <w:rPr>
          <w:rFonts w:ascii="宋体" w:eastAsia="宋体" w:hAnsi="宋体" w:cs="宋体"/>
          <w:sz w:val="21"/>
          <w:szCs w:val="21"/>
          <w:lang w:eastAsia="zh-CN"/>
        </w:rPr>
        <w:t>1、本基金的收益分配方式分为现金分红和红利再投资。根据《公开募集证券投资基金运作管理办法》的有关规定，本基金默认的收益分配方式为现金分红。本次分红权益登记日前未作收益分配方式选择的投资者适用于现金分红。</w:t>
      </w:r>
    </w:p>
    <w:p w:rsidR="00480B10" w:rsidRDefault="0049211A">
      <w:pPr>
        <w:spacing w:line="440" w:lineRule="atLeast"/>
        <w:ind w:firstLine="420"/>
        <w:rPr>
          <w:sz w:val="21"/>
          <w:szCs w:val="21"/>
          <w:lang w:eastAsia="zh-CN"/>
        </w:rPr>
      </w:pPr>
      <w:r>
        <w:rPr>
          <w:rFonts w:ascii="宋体" w:eastAsia="宋体" w:hAnsi="宋体" w:cs="宋体"/>
          <w:sz w:val="21"/>
          <w:szCs w:val="21"/>
          <w:lang w:eastAsia="zh-CN"/>
        </w:rPr>
        <w:t>2、权益登记日当天有效申购和转换转入的基金份额不享有本次分红权益,权益登记日当天有效赎回和转换转出的基金份额享有本次分红权益。</w:t>
      </w:r>
    </w:p>
    <w:p w:rsidR="00480B10" w:rsidRDefault="0049211A">
      <w:pPr>
        <w:spacing w:line="440" w:lineRule="atLeast"/>
        <w:ind w:firstLine="420"/>
        <w:rPr>
          <w:sz w:val="21"/>
          <w:szCs w:val="21"/>
          <w:lang w:eastAsia="zh-CN"/>
        </w:rPr>
      </w:pPr>
      <w:r>
        <w:rPr>
          <w:rFonts w:ascii="宋体" w:eastAsia="宋体" w:hAnsi="宋体" w:cs="宋体"/>
          <w:sz w:val="21"/>
          <w:szCs w:val="21"/>
          <w:lang w:eastAsia="zh-CN"/>
        </w:rPr>
        <w:t>3、投资者可以在基金开放日的交易时间内到销售机构查询和修改收益分配方式。如投资者在不同销售机构选择的收益分配方式不同，将按照投资者在权益登记日之前最后一次选择的收益分配方式为准。凡希望修改收益分配方式的，请务必在2026年3月2日交易时间结束之前（含该日）办理变更手续。</w:t>
      </w:r>
    </w:p>
    <w:p w:rsidR="00480B10" w:rsidRDefault="0049211A">
      <w:pPr>
        <w:spacing w:line="440" w:lineRule="atLeast"/>
        <w:ind w:firstLine="420"/>
        <w:rPr>
          <w:sz w:val="21"/>
          <w:szCs w:val="21"/>
          <w:lang w:eastAsia="zh-CN"/>
        </w:rPr>
      </w:pPr>
      <w:r>
        <w:rPr>
          <w:rFonts w:ascii="宋体" w:eastAsia="宋体" w:hAnsi="宋体" w:cs="宋体"/>
          <w:sz w:val="21"/>
          <w:szCs w:val="21"/>
          <w:lang w:eastAsia="zh-CN"/>
        </w:rPr>
        <w:t>4、选择现金分红的投资者如果应分得红利款小于10元将自动转为红利再投资份额。</w:t>
      </w:r>
    </w:p>
    <w:p w:rsidR="00480B10" w:rsidRDefault="0049211A">
      <w:pPr>
        <w:spacing w:line="440" w:lineRule="atLeast"/>
        <w:ind w:firstLine="420"/>
        <w:rPr>
          <w:sz w:val="21"/>
          <w:szCs w:val="21"/>
          <w:lang w:eastAsia="zh-CN"/>
        </w:rPr>
      </w:pPr>
      <w:r>
        <w:rPr>
          <w:rFonts w:ascii="宋体" w:eastAsia="宋体" w:hAnsi="宋体" w:cs="宋体"/>
          <w:sz w:val="21"/>
          <w:szCs w:val="21"/>
          <w:lang w:eastAsia="zh-CN"/>
        </w:rPr>
        <w:t>5、投资者欲了解有关分红的情况,可到本基金销售网点或通过本公司客户服务中心查询。本公司客服中心电话：400-700-5588、400-820-5050，本公司网址：www.fsfund.com。</w:t>
      </w:r>
    </w:p>
    <w:p w:rsidR="00480B10" w:rsidRDefault="0049211A">
      <w:pPr>
        <w:spacing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风险提示：本基金分红并不改变本基金的风险收益特征，也不会因此降低基金投资风险或提高基金投资收益。本公司承诺以诚实信用、勤勉尽责的原则管理和运用基金资产，但不保证基金一定盈利，也不保证最低收益。基金的过往业绩并不代表其未来表现。投资有风险，敬请投资者认真阅读基金的相关法律文件，并选择适合自身风险承受能力的投资品种进行投资。</w:t>
      </w:r>
    </w:p>
    <w:p w:rsidR="00480B10" w:rsidRDefault="0049211A">
      <w:pPr>
        <w:spacing w:before="210" w:after="210"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特此公告。</w:t>
      </w:r>
    </w:p>
    <w:p w:rsidR="00480B10" w:rsidRDefault="0049211A">
      <w:pPr>
        <w:spacing w:before="210" w:after="210" w:line="560" w:lineRule="atLeast"/>
        <w:jc w:val="right"/>
        <w:rPr>
          <w:rFonts w:ascii="宋体" w:eastAsia="宋体" w:hAnsi="宋体" w:cs="宋体"/>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2026年2月27日</w:t>
      </w:r>
    </w:p>
    <w:p w:rsidR="00A77B3E" w:rsidRDefault="00A77B3E">
      <w:pPr>
        <w:rPr>
          <w:lang w:eastAsia="zh-CN"/>
        </w:rPr>
      </w:pPr>
    </w:p>
    <w:sectPr w:rsidR="00A77B3E" w:rsidSect="0024231D">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BB" w:rsidRDefault="000B3DBB">
      <w:r>
        <w:separator/>
      </w:r>
    </w:p>
  </w:endnote>
  <w:endnote w:type="continuationSeparator" w:id="0">
    <w:p w:rsidR="000B3DBB" w:rsidRDefault="000B3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10" w:rsidRDefault="0024231D">
    <w:pPr>
      <w:jc w:val="center"/>
      <w:rPr>
        <w:sz w:val="20"/>
      </w:rPr>
    </w:pPr>
    <w:r>
      <w:rPr>
        <w:sz w:val="20"/>
      </w:rPr>
      <w:fldChar w:fldCharType="begin"/>
    </w:r>
    <w:r w:rsidR="0049211A">
      <w:rPr>
        <w:rFonts w:ascii="宋体" w:eastAsia="宋体" w:hAnsi="宋体" w:cs="宋体"/>
        <w:sz w:val="20"/>
      </w:rPr>
      <w:instrText>PAGE</w:instrText>
    </w:r>
    <w:r>
      <w:rPr>
        <w:sz w:val="20"/>
      </w:rPr>
      <w:fldChar w:fldCharType="separate"/>
    </w:r>
    <w:r w:rsidR="002A4521">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BB" w:rsidRDefault="000B3DBB">
      <w:r>
        <w:separator/>
      </w:r>
    </w:p>
  </w:footnote>
  <w:footnote w:type="continuationSeparator" w:id="0">
    <w:p w:rsidR="000B3DBB" w:rsidRDefault="000B3D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B3DBB"/>
    <w:rsid w:val="0024231D"/>
    <w:rsid w:val="002A4521"/>
    <w:rsid w:val="00480B10"/>
    <w:rsid w:val="0049211A"/>
    <w:rsid w:val="007D64D6"/>
    <w:rsid w:val="009A69A7"/>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1D"/>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D64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D64D6"/>
    <w:rPr>
      <w:sz w:val="18"/>
      <w:szCs w:val="18"/>
    </w:rPr>
  </w:style>
  <w:style w:type="paragraph" w:styleId="a4">
    <w:name w:val="footer"/>
    <w:basedOn w:val="a"/>
    <w:link w:val="Char0"/>
    <w:unhideWhenUsed/>
    <w:rsid w:val="007D64D6"/>
    <w:pPr>
      <w:tabs>
        <w:tab w:val="center" w:pos="4153"/>
        <w:tab w:val="right" w:pos="8306"/>
      </w:tabs>
      <w:snapToGrid w:val="0"/>
    </w:pPr>
    <w:rPr>
      <w:sz w:val="18"/>
      <w:szCs w:val="18"/>
    </w:rPr>
  </w:style>
  <w:style w:type="character" w:customStyle="1" w:styleId="Char0">
    <w:name w:val="页脚 Char"/>
    <w:basedOn w:val="a0"/>
    <w:link w:val="a4"/>
    <w:rsid w:val="007D64D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2026-02-26T16:01:00Z</dcterms:created>
  <dcterms:modified xsi:type="dcterms:W3CDTF">2026-02-26T16:01:00Z</dcterms:modified>
</cp:coreProperties>
</file>