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BE04C6" w:rsidRDefault="00893436" w:rsidP="00AC3CC5">
      <w:pPr>
        <w:widowControl/>
        <w:spacing w:line="360" w:lineRule="auto"/>
        <w:jc w:val="center"/>
        <w:rPr>
          <w:rFonts w:ascii="宋体" w:eastAsia="宋体" w:hAnsi="宋体" w:cs="宋体"/>
          <w:b/>
          <w:kern w:val="0"/>
          <w:sz w:val="28"/>
          <w:szCs w:val="28"/>
        </w:rPr>
      </w:pPr>
      <w:r w:rsidRPr="00BE04C6">
        <w:rPr>
          <w:rFonts w:ascii="宋体" w:eastAsia="宋体" w:hAnsi="宋体" w:cs="宋体" w:hint="eastAsia"/>
          <w:b/>
          <w:kern w:val="0"/>
          <w:sz w:val="28"/>
          <w:szCs w:val="28"/>
        </w:rPr>
        <w:t>国泰惠享三个月定期开放债券型发起式证券投资基金分红公告</w:t>
      </w:r>
    </w:p>
    <w:p w:rsidR="00893436" w:rsidRPr="00BE04C6" w:rsidRDefault="00893436" w:rsidP="00AC3CC5">
      <w:pPr>
        <w:spacing w:line="360" w:lineRule="auto"/>
        <w:jc w:val="center"/>
        <w:rPr>
          <w:rFonts w:ascii="宋体" w:eastAsia="宋体" w:hAnsi="宋体"/>
          <w:bCs/>
          <w:color w:val="000000"/>
          <w:sz w:val="21"/>
          <w:szCs w:val="21"/>
        </w:rPr>
      </w:pPr>
      <w:r w:rsidRPr="00BE04C6">
        <w:rPr>
          <w:rFonts w:ascii="宋体" w:eastAsia="宋体" w:hAnsi="宋体"/>
          <w:bCs/>
          <w:color w:val="000000"/>
          <w:sz w:val="21"/>
          <w:szCs w:val="21"/>
        </w:rPr>
        <w:t>公告送出日期：</w:t>
      </w:r>
      <w:r w:rsidRPr="00BE04C6">
        <w:rPr>
          <w:rFonts w:ascii="宋体" w:eastAsia="宋体" w:hAnsi="宋体" w:cs="宋体"/>
          <w:bCs/>
          <w:sz w:val="21"/>
          <w:szCs w:val="21"/>
        </w:rPr>
        <w:t>2026年2月27日</w:t>
      </w:r>
    </w:p>
    <w:p w:rsidR="00893436" w:rsidRDefault="00893436" w:rsidP="00AC3CC5">
      <w:pPr>
        <w:pStyle w:val="2"/>
        <w:spacing w:line="360" w:lineRule="auto"/>
        <w:rPr>
          <w:rFonts w:ascii="宋体" w:eastAsia="宋体" w:hAnsi="宋体"/>
          <w:bCs w:val="0"/>
          <w:color w:val="000000"/>
          <w:sz w:val="21"/>
          <w:szCs w:val="21"/>
        </w:rPr>
      </w:pPr>
      <w:bookmarkStart w:id="0" w:name="_Toc275961418"/>
      <w:r w:rsidRPr="00BE04C6">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2977"/>
        <w:gridCol w:w="4861"/>
      </w:tblGrid>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国泰惠享三个月定期开放债券型发起式证券投资基金</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基金简称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国泰惠享三个月定期开放债券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基金主代码</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007871</w:t>
            </w:r>
          </w:p>
        </w:tc>
      </w:tr>
      <w:tr w:rsidR="0039192C" w:rsidRPr="00BE04C6" w:rsidTr="001E1256">
        <w:trPr>
          <w:jc w:val="center"/>
        </w:trPr>
        <w:tc>
          <w:tcPr>
            <w:tcW w:w="4778" w:type="dxa"/>
            <w:gridSpan w:val="2"/>
            <w:vAlign w:val="center"/>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基金合同生效日</w:t>
            </w:r>
          </w:p>
        </w:tc>
        <w:tc>
          <w:tcPr>
            <w:tcW w:w="4861" w:type="dxa"/>
            <w:vAlign w:val="center"/>
          </w:tcPr>
          <w:p w:rsidR="0039192C" w:rsidRPr="00BE04C6" w:rsidRDefault="003E51F2" w:rsidP="00AC3CC5">
            <w:pPr>
              <w:spacing w:line="360" w:lineRule="auto"/>
              <w:rPr>
                <w:rFonts w:ascii="宋体" w:eastAsia="宋体" w:hAnsi="宋体"/>
                <w:sz w:val="21"/>
                <w:szCs w:val="21"/>
              </w:rPr>
            </w:pPr>
            <w:r w:rsidRPr="00BE04C6">
              <w:rPr>
                <w:rFonts w:ascii="宋体" w:eastAsia="宋体" w:hAnsi="宋体"/>
                <w:sz w:val="21"/>
                <w:szCs w:val="21"/>
              </w:rPr>
              <w:t>2019年12月6日</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基金管理人名称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国泰基金管理有限公司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基金托管人名称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中国民生银行股份有限公司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公告依据</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《中华人民共和国证券投资基金法》、《公开募集证券投资基金运作管理办法》、《国泰惠享三个月定期开放债券型发起式证券投资基金基金合同》等</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收益分配基准日</w:t>
            </w:r>
          </w:p>
        </w:tc>
        <w:tc>
          <w:tcPr>
            <w:tcW w:w="4861" w:type="dxa"/>
          </w:tcPr>
          <w:p w:rsidR="00893436"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2026年2月24日</w:t>
            </w:r>
          </w:p>
        </w:tc>
      </w:tr>
      <w:tr w:rsidR="00893436" w:rsidRPr="00BE04C6" w:rsidTr="00407FDF">
        <w:trPr>
          <w:jc w:val="center"/>
        </w:trPr>
        <w:tc>
          <w:tcPr>
            <w:tcW w:w="1801" w:type="dxa"/>
            <w:vMerge w:val="restart"/>
            <w:vAlign w:val="center"/>
          </w:tcPr>
          <w:p w:rsidR="00893436" w:rsidRPr="00BE04C6" w:rsidRDefault="00893436" w:rsidP="00AC3CC5">
            <w:pPr>
              <w:spacing w:line="360" w:lineRule="auto"/>
              <w:jc w:val="center"/>
              <w:rPr>
                <w:rFonts w:ascii="宋体" w:eastAsia="宋体" w:hAnsi="宋体"/>
                <w:color w:val="000000"/>
                <w:sz w:val="21"/>
                <w:szCs w:val="21"/>
              </w:rPr>
            </w:pPr>
            <w:r w:rsidRPr="00BE04C6">
              <w:rPr>
                <w:rFonts w:ascii="宋体" w:eastAsia="宋体" w:hAnsi="宋体"/>
                <w:color w:val="000000"/>
                <w:sz w:val="21"/>
                <w:szCs w:val="21"/>
              </w:rPr>
              <w:t>截止收益分配基准日的相关指标</w:t>
            </w: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基准日基金份额净值</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1.0382</w:t>
            </w:r>
          </w:p>
        </w:tc>
      </w:tr>
      <w:tr w:rsidR="00893436" w:rsidRPr="00BE04C6" w:rsidTr="00407FDF">
        <w:trPr>
          <w:jc w:val="center"/>
        </w:trPr>
        <w:tc>
          <w:tcPr>
            <w:tcW w:w="1801" w:type="dxa"/>
            <w:vMerge/>
          </w:tcPr>
          <w:p w:rsidR="00893436" w:rsidRPr="00BE04C6" w:rsidRDefault="00893436" w:rsidP="00AC3CC5">
            <w:pPr>
              <w:spacing w:line="360" w:lineRule="auto"/>
              <w:rPr>
                <w:rFonts w:ascii="宋体" w:eastAsia="宋体" w:hAnsi="宋体"/>
                <w:color w:val="000000"/>
                <w:sz w:val="21"/>
                <w:szCs w:val="21"/>
              </w:rPr>
            </w:pP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基准日基金可供分配利润</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110,693,893.07</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本次分红方案（单位：元/10份基金份额）</w:t>
            </w:r>
          </w:p>
        </w:tc>
        <w:tc>
          <w:tcPr>
            <w:tcW w:w="4861" w:type="dxa"/>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0.058</w:t>
            </w:r>
          </w:p>
        </w:tc>
      </w:tr>
      <w:tr w:rsidR="00893436" w:rsidRPr="00BE04C6" w:rsidTr="001E1256">
        <w:trPr>
          <w:jc w:val="center"/>
        </w:trPr>
        <w:tc>
          <w:tcPr>
            <w:tcW w:w="4778" w:type="dxa"/>
            <w:gridSpan w:val="2"/>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有关年度分红次数的说明</w:t>
            </w:r>
          </w:p>
        </w:tc>
        <w:tc>
          <w:tcPr>
            <w:tcW w:w="4861" w:type="dxa"/>
            <w:vAlign w:val="center"/>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本次分红为2026年度第一次分红。</w:t>
            </w:r>
          </w:p>
        </w:tc>
      </w:tr>
    </w:tbl>
    <w:p w:rsidR="00C160EE" w:rsidRDefault="002A4C56">
      <w:pPr>
        <w:spacing w:line="360" w:lineRule="auto"/>
        <w:rPr>
          <w:rFonts w:ascii="宋体" w:eastAsia="宋体" w:hAnsi="宋体"/>
          <w:sz w:val="21"/>
          <w:szCs w:val="21"/>
        </w:rPr>
      </w:pPr>
      <w:r>
        <w:rPr>
          <w:rFonts w:ascii="宋体" w:eastAsia="宋体" w:hAnsi="宋体"/>
          <w:sz w:val="21"/>
          <w:szCs w:val="21"/>
        </w:rPr>
        <w:t>注：（1）在符合有关基金分红条件的前提下，本基金管理人可以根据实际情况进行收益分配，具体分配方案以公告为准，若《基金合同》生效不满3个月可不进行收益分配；</w:t>
      </w:r>
    </w:p>
    <w:p w:rsidR="00893436" w:rsidRPr="00BE04C6" w:rsidRDefault="00F45E48" w:rsidP="001E1256">
      <w:pPr>
        <w:spacing w:line="360" w:lineRule="auto"/>
        <w:rPr>
          <w:rFonts w:ascii="宋体" w:eastAsia="宋体" w:hAnsi="宋体"/>
          <w:sz w:val="21"/>
          <w:szCs w:val="21"/>
        </w:rPr>
      </w:pPr>
      <w:r w:rsidRPr="00BE04C6">
        <w:rPr>
          <w:rFonts w:ascii="宋体" w:eastAsia="宋体" w:hAnsi="宋体"/>
          <w:sz w:val="21"/>
          <w:szCs w:val="21"/>
        </w:rPr>
        <w:t>（2）基金收益分配后基金份额净值不能低于面值，即基金收益分配基准日的基金份额净值减去每单位基金份额收益分配金额后不能低于面值。</w:t>
      </w:r>
    </w:p>
    <w:p w:rsidR="00893436" w:rsidRPr="00BE04C6" w:rsidRDefault="00893436" w:rsidP="00AC3CC5">
      <w:pPr>
        <w:pStyle w:val="2"/>
        <w:spacing w:line="360" w:lineRule="auto"/>
        <w:rPr>
          <w:rFonts w:ascii="宋体" w:eastAsia="宋体" w:hAnsi="宋体"/>
          <w:bCs w:val="0"/>
          <w:color w:val="000000"/>
          <w:sz w:val="21"/>
          <w:szCs w:val="21"/>
        </w:rPr>
      </w:pPr>
      <w:bookmarkStart w:id="1" w:name="_Toc275961419"/>
      <w:r w:rsidRPr="00BE04C6">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权益登记日</w:t>
            </w:r>
          </w:p>
        </w:tc>
        <w:tc>
          <w:tcPr>
            <w:tcW w:w="4355" w:type="dxa"/>
          </w:tcPr>
          <w:p w:rsidR="00893436" w:rsidRPr="00BE04C6" w:rsidRDefault="00362297" w:rsidP="00AC3CC5">
            <w:pPr>
              <w:spacing w:line="360" w:lineRule="auto"/>
              <w:rPr>
                <w:rFonts w:ascii="宋体" w:eastAsia="宋体" w:hAnsi="宋体"/>
                <w:sz w:val="21"/>
                <w:szCs w:val="21"/>
              </w:rPr>
            </w:pPr>
            <w:r w:rsidRPr="00BE04C6">
              <w:rPr>
                <w:rFonts w:ascii="宋体" w:eastAsia="宋体" w:hAnsi="宋体"/>
                <w:sz w:val="21"/>
                <w:szCs w:val="21"/>
              </w:rPr>
              <w:t>2026年3月2日</w:t>
            </w:r>
          </w:p>
        </w:tc>
      </w:tr>
      <w:tr w:rsidR="00F8150C" w:rsidRPr="00BE04C6" w:rsidTr="00F8150C">
        <w:trPr>
          <w:jc w:val="center"/>
        </w:trPr>
        <w:tc>
          <w:tcPr>
            <w:tcW w:w="4355" w:type="dxa"/>
          </w:tcPr>
          <w:p w:rsidR="0009778C" w:rsidRPr="00BE04C6" w:rsidRDefault="0009778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lastRenderedPageBreak/>
              <w:t>除息日</w:t>
            </w:r>
          </w:p>
        </w:tc>
        <w:tc>
          <w:tcPr>
            <w:tcW w:w="8710" w:type="dxa"/>
          </w:tcPr>
          <w:p w:rsidR="0009778C" w:rsidRPr="00BE04C6" w:rsidRDefault="00E16B6D" w:rsidP="00F8150C">
            <w:pPr>
              <w:spacing w:line="360" w:lineRule="auto"/>
              <w:rPr>
                <w:rFonts w:ascii="宋体" w:eastAsia="宋体" w:hAnsi="宋体"/>
                <w:sz w:val="21"/>
                <w:szCs w:val="21"/>
              </w:rPr>
            </w:pPr>
            <w:r w:rsidRPr="00BE04C6">
              <w:rPr>
                <w:rFonts w:ascii="宋体" w:eastAsia="宋体" w:hAnsi="宋体"/>
                <w:sz w:val="21"/>
                <w:szCs w:val="21"/>
              </w:rPr>
              <w:t>2026年3月2日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现金红利发放日</w:t>
            </w:r>
          </w:p>
        </w:tc>
        <w:tc>
          <w:tcPr>
            <w:tcW w:w="4355" w:type="dxa"/>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2026年3月3日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分红对象</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权益登记日在注册登记机构登记在册的本基金全体基金份额持有人</w:t>
            </w:r>
          </w:p>
        </w:tc>
      </w:tr>
      <w:tr w:rsidR="00893436" w:rsidRPr="00BE04C6" w:rsidTr="007C142C">
        <w:trPr>
          <w:jc w:val="center"/>
        </w:trPr>
        <w:tc>
          <w:tcPr>
            <w:tcW w:w="4355" w:type="dxa"/>
            <w:shd w:val="clear" w:color="auto" w:fill="auto"/>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红利再投资相关事项的说明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选择红利再投资方式的投资者，其红利将按照2026年3月2日除息后的基金份额净值为计算基准确定再投资份额。本基金管理人对红利再投资所确定的基金份额于2026年3月3日直接计入其基金账户，2026年3月4日起投资者可以查询、赎回。</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税收相关事项的说明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费用相关事项的说明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本基金本次分红免收分红手续费。</w:t>
            </w:r>
          </w:p>
        </w:tc>
      </w:tr>
    </w:tbl>
    <w:p w:rsidR="00893436" w:rsidRPr="00BE04C6" w:rsidRDefault="00893436" w:rsidP="00AC3CC5">
      <w:pPr>
        <w:pStyle w:val="2"/>
        <w:spacing w:line="360" w:lineRule="auto"/>
        <w:rPr>
          <w:rFonts w:ascii="宋体" w:eastAsia="宋体" w:hAnsi="宋体"/>
          <w:bCs w:val="0"/>
          <w:color w:val="000000"/>
          <w:sz w:val="21"/>
          <w:szCs w:val="21"/>
        </w:rPr>
      </w:pPr>
      <w:bookmarkStart w:id="2" w:name="_Toc275961420"/>
      <w:r w:rsidRPr="00BE04C6">
        <w:rPr>
          <w:rFonts w:ascii="宋体" w:eastAsia="宋体" w:hAnsi="宋体"/>
          <w:bCs w:val="0"/>
          <w:color w:val="000000"/>
          <w:sz w:val="21"/>
          <w:szCs w:val="21"/>
        </w:rPr>
        <w:t>3 其他需要提示的事项</w:t>
      </w:r>
      <w:bookmarkEnd w:id="2"/>
    </w:p>
    <w:p w:rsidR="00C160EE" w:rsidRDefault="002A4C56">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C160EE" w:rsidRDefault="002A4C56">
      <w:pPr>
        <w:spacing w:line="360" w:lineRule="auto"/>
        <w:ind w:firstLineChars="200" w:firstLine="420"/>
        <w:rPr>
          <w:rFonts w:ascii="宋体" w:eastAsia="宋体" w:hAnsi="宋体"/>
          <w:sz w:val="21"/>
          <w:szCs w:val="21"/>
        </w:rPr>
      </w:pPr>
      <w:r>
        <w:rPr>
          <w:rFonts w:ascii="宋体" w:eastAsia="宋体" w:hAnsi="宋体"/>
          <w:sz w:val="21"/>
          <w:szCs w:val="21"/>
        </w:rPr>
        <w:t>因分红导致基金份额净值调整到面值或面值附近，在市场波动等因素的影响下，基金投资仍可能出现亏损或基金份额净值仍有可能低于面值。</w:t>
      </w:r>
    </w:p>
    <w:p w:rsidR="00C160EE" w:rsidRDefault="002A4C56">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C160EE" w:rsidRDefault="002A4C56">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C160EE" w:rsidRDefault="002A4C56">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7C142C">
      <w:pPr>
        <w:spacing w:line="360" w:lineRule="auto"/>
        <w:ind w:firstLineChars="200" w:firstLine="420"/>
        <w:rPr>
          <w:rFonts w:ascii="宋体" w:eastAsia="宋体" w:hAnsi="宋体"/>
          <w:sz w:val="21"/>
          <w:szCs w:val="21"/>
        </w:rPr>
      </w:pPr>
      <w:r w:rsidRPr="00BE04C6">
        <w:rPr>
          <w:rFonts w:ascii="宋体" w:eastAsia="宋体" w:hAnsi="宋体"/>
          <w:sz w:val="21"/>
          <w:szCs w:val="21"/>
        </w:rPr>
        <w:t>3）国泰基金管理有限公司直销网点及本基金各销售机构的相关网点。</w:t>
      </w: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国泰基金管理有限公司</w:t>
      </w: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二〇二六年二月二十七日</w:t>
      </w:r>
    </w:p>
    <w:sectPr w:rsidR="00B130DE"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C56" w:rsidRDefault="002A4C56" w:rsidP="00893436">
      <w:r>
        <w:separator/>
      </w:r>
    </w:p>
  </w:endnote>
  <w:endnote w:type="continuationSeparator" w:id="0">
    <w:p w:rsidR="002A4C56" w:rsidRDefault="002A4C5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C56" w:rsidRDefault="002A4C56" w:rsidP="00893436">
      <w:r>
        <w:separator/>
      </w:r>
    </w:p>
  </w:footnote>
  <w:footnote w:type="continuationSeparator" w:id="0">
    <w:p w:rsidR="002A4C56" w:rsidRDefault="002A4C5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7AC1"/>
    <w:rsid w:val="00083B7C"/>
    <w:rsid w:val="00085F5C"/>
    <w:rsid w:val="0009778C"/>
    <w:rsid w:val="000A19B2"/>
    <w:rsid w:val="000C39F6"/>
    <w:rsid w:val="00111BD0"/>
    <w:rsid w:val="00135CA1"/>
    <w:rsid w:val="001E1256"/>
    <w:rsid w:val="00226206"/>
    <w:rsid w:val="00242E4D"/>
    <w:rsid w:val="002641B7"/>
    <w:rsid w:val="002744A0"/>
    <w:rsid w:val="002825C8"/>
    <w:rsid w:val="00284B1B"/>
    <w:rsid w:val="002A4C56"/>
    <w:rsid w:val="002A63B7"/>
    <w:rsid w:val="002C08C5"/>
    <w:rsid w:val="003160F8"/>
    <w:rsid w:val="00362297"/>
    <w:rsid w:val="00386931"/>
    <w:rsid w:val="0039192C"/>
    <w:rsid w:val="003E51F2"/>
    <w:rsid w:val="00407FDF"/>
    <w:rsid w:val="00410642"/>
    <w:rsid w:val="00411A38"/>
    <w:rsid w:val="00462525"/>
    <w:rsid w:val="00486934"/>
    <w:rsid w:val="004966BA"/>
    <w:rsid w:val="00506E3A"/>
    <w:rsid w:val="005439EC"/>
    <w:rsid w:val="005715B6"/>
    <w:rsid w:val="005B087C"/>
    <w:rsid w:val="005C57A1"/>
    <w:rsid w:val="00602C3F"/>
    <w:rsid w:val="006A2E06"/>
    <w:rsid w:val="006E41A5"/>
    <w:rsid w:val="00721B55"/>
    <w:rsid w:val="00751BA5"/>
    <w:rsid w:val="007C142C"/>
    <w:rsid w:val="007D01E7"/>
    <w:rsid w:val="007F6075"/>
    <w:rsid w:val="00834BAE"/>
    <w:rsid w:val="00893436"/>
    <w:rsid w:val="008D1F66"/>
    <w:rsid w:val="00901C58"/>
    <w:rsid w:val="009117E2"/>
    <w:rsid w:val="009217A3"/>
    <w:rsid w:val="009732A4"/>
    <w:rsid w:val="009F2CA7"/>
    <w:rsid w:val="00A81C93"/>
    <w:rsid w:val="00AC3CC5"/>
    <w:rsid w:val="00B130DE"/>
    <w:rsid w:val="00B33E41"/>
    <w:rsid w:val="00B44BBE"/>
    <w:rsid w:val="00B71DA2"/>
    <w:rsid w:val="00BA7F58"/>
    <w:rsid w:val="00BD0B90"/>
    <w:rsid w:val="00BD7533"/>
    <w:rsid w:val="00BE04C6"/>
    <w:rsid w:val="00BF5698"/>
    <w:rsid w:val="00C020B5"/>
    <w:rsid w:val="00C160EE"/>
    <w:rsid w:val="00C31924"/>
    <w:rsid w:val="00C31B5B"/>
    <w:rsid w:val="00C33DDD"/>
    <w:rsid w:val="00CB3D18"/>
    <w:rsid w:val="00CC001C"/>
    <w:rsid w:val="00D41325"/>
    <w:rsid w:val="00DB7CD4"/>
    <w:rsid w:val="00E16B6D"/>
    <w:rsid w:val="00E24390"/>
    <w:rsid w:val="00E379B4"/>
    <w:rsid w:val="00EA12C9"/>
    <w:rsid w:val="00EF3B5C"/>
    <w:rsid w:val="00F0033B"/>
    <w:rsid w:val="00F42CA6"/>
    <w:rsid w:val="00F45E48"/>
    <w:rsid w:val="00F645EE"/>
    <w:rsid w:val="00F743D9"/>
    <w:rsid w:val="00F815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paragraph" w:customStyle="1" w:styleId="10">
    <w:name w:val="样式1"/>
    <w:basedOn w:val="a"/>
    <w:link w:val="11"/>
    <w:qFormat/>
    <w:rsid w:val="00BD0B90"/>
    <w:pPr>
      <w:widowControl/>
    </w:pPr>
    <w:rPr>
      <w:rFonts w:asciiTheme="minorEastAsia" w:eastAsiaTheme="minorEastAsia" w:hAnsiTheme="minorEastAsia"/>
      <w:b/>
      <w:color w:val="000000"/>
      <w:sz w:val="24"/>
      <w:szCs w:val="24"/>
    </w:rPr>
  </w:style>
  <w:style w:type="character" w:customStyle="1" w:styleId="11">
    <w:name w:val="样式1 字符"/>
    <w:basedOn w:val="a0"/>
    <w:link w:val="10"/>
    <w:rsid w:val="00BD0B90"/>
    <w:rPr>
      <w:rFonts w:asciiTheme="minorEastAsia" w:hAnsiTheme="minorEastAsia" w:cs="Times New Roman"/>
      <w:b/>
      <w:color w:val="000000"/>
      <w:sz w:val="24"/>
      <w:szCs w:val="24"/>
    </w:rPr>
  </w:style>
</w:styles>
</file>

<file path=word/webSettings.xml><?xml version="1.0" encoding="utf-8"?>
<w:webSettings xmlns:r="http://schemas.openxmlformats.org/officeDocument/2006/relationships" xmlns:w="http://schemas.openxmlformats.org/wordprocessingml/2006/main">
  <w:divs>
    <w:div w:id="840899369">
      <w:bodyDiv w:val="1"/>
      <w:marLeft w:val="0"/>
      <w:marRight w:val="0"/>
      <w:marTop w:val="0"/>
      <w:marBottom w:val="0"/>
      <w:divBdr>
        <w:top w:val="none" w:sz="0" w:space="0" w:color="auto"/>
        <w:left w:val="none" w:sz="0" w:space="0" w:color="auto"/>
        <w:bottom w:val="none" w:sz="0" w:space="0" w:color="auto"/>
        <w:right w:val="none" w:sz="0" w:space="0" w:color="auto"/>
      </w:divBdr>
    </w:div>
    <w:div w:id="1126856163">
      <w:bodyDiv w:val="1"/>
      <w:marLeft w:val="0"/>
      <w:marRight w:val="0"/>
      <w:marTop w:val="0"/>
      <w:marBottom w:val="0"/>
      <w:divBdr>
        <w:top w:val="none" w:sz="0" w:space="0" w:color="auto"/>
        <w:left w:val="none" w:sz="0" w:space="0" w:color="auto"/>
        <w:bottom w:val="none" w:sz="0" w:space="0" w:color="auto"/>
        <w:right w:val="none" w:sz="0" w:space="0" w:color="auto"/>
      </w:divBdr>
    </w:div>
    <w:div w:id="18076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4</DocSecurity>
  <Lines>8</Lines>
  <Paragraphs>2</Paragraphs>
  <ScaleCrop>false</ScaleCrop>
  <Company>微软中国</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2026-02-26T16:00:00Z</dcterms:created>
  <dcterms:modified xsi:type="dcterms:W3CDTF">2026-02-26T16:00:00Z</dcterms:modified>
</cp:coreProperties>
</file>