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4E53" w:rsidRPr="00B83181" w:rsidRDefault="009F1A17">
      <w:pPr>
        <w:jc w:val="center"/>
      </w:pPr>
      <w:r w:rsidRPr="00B83181">
        <w:rPr>
          <w:rFonts w:ascii="宋体" w:hAnsi="宋体" w:hint="eastAsia"/>
          <w:b/>
          <w:sz w:val="40"/>
          <w:szCs w:val="48"/>
        </w:rPr>
        <w:t>兴业嘉润</w:t>
      </w:r>
      <w:r w:rsidRPr="00B83181">
        <w:rPr>
          <w:rFonts w:ascii="宋体" w:hAnsi="宋体"/>
          <w:b/>
          <w:sz w:val="40"/>
          <w:szCs w:val="48"/>
        </w:rPr>
        <w:t>3</w:t>
      </w:r>
      <w:r w:rsidRPr="00B83181">
        <w:rPr>
          <w:rFonts w:ascii="宋体" w:hAnsi="宋体" w:hint="eastAsia"/>
          <w:b/>
          <w:sz w:val="40"/>
          <w:szCs w:val="48"/>
        </w:rPr>
        <w:t>个月定期开放债券型发起式证券投资基金开放申购、赎回、转换及定投业务公告</w:t>
      </w:r>
      <w:bookmarkStart w:id="0" w:name="t_2_0_0002_a2_fm1"/>
      <w:bookmarkEnd w:id="0"/>
    </w:p>
    <w:p w:rsidR="000D4E53" w:rsidRDefault="000D4E53">
      <w:pPr>
        <w:rPr>
          <w:rFonts w:asciiTheme="minorEastAsia" w:eastAsiaTheme="minorEastAsia" w:hAnsiTheme="minorEastAsia" w:cstheme="minorEastAsia"/>
          <w:szCs w:val="21"/>
        </w:rPr>
      </w:pPr>
    </w:p>
    <w:p w:rsidR="000D4E53" w:rsidRDefault="009F1A17">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公告送出日期：</w:t>
      </w:r>
      <w:r w:rsidR="001D718E">
        <w:rPr>
          <w:rFonts w:asciiTheme="minorEastAsia" w:eastAsiaTheme="minorEastAsia" w:hAnsiTheme="minorEastAsia" w:cstheme="minorEastAsia"/>
          <w:sz w:val="24"/>
          <w:szCs w:val="21"/>
        </w:rPr>
        <w:t>2026</w:t>
      </w:r>
      <w:r>
        <w:rPr>
          <w:rFonts w:asciiTheme="minorEastAsia" w:eastAsiaTheme="minorEastAsia" w:hAnsiTheme="minorEastAsia" w:cstheme="minorEastAsia" w:hint="eastAsia"/>
          <w:sz w:val="24"/>
          <w:szCs w:val="21"/>
        </w:rPr>
        <w:t>年</w:t>
      </w:r>
      <w:r w:rsidR="001D718E">
        <w:rPr>
          <w:rFonts w:asciiTheme="minorEastAsia" w:eastAsiaTheme="minorEastAsia" w:hAnsiTheme="minorEastAsia" w:cstheme="minorEastAsia"/>
          <w:sz w:val="24"/>
          <w:szCs w:val="21"/>
        </w:rPr>
        <w:t>2</w:t>
      </w:r>
      <w:r>
        <w:rPr>
          <w:rFonts w:asciiTheme="minorEastAsia" w:eastAsiaTheme="minorEastAsia" w:hAnsiTheme="minorEastAsia" w:cstheme="minorEastAsia" w:hint="eastAsia"/>
          <w:sz w:val="24"/>
          <w:szCs w:val="21"/>
        </w:rPr>
        <w:t>月</w:t>
      </w:r>
      <w:r w:rsidR="001D718E">
        <w:rPr>
          <w:rFonts w:asciiTheme="minorEastAsia" w:eastAsiaTheme="minorEastAsia" w:hAnsiTheme="minorEastAsia" w:cstheme="minorEastAsia"/>
          <w:sz w:val="24"/>
          <w:szCs w:val="21"/>
        </w:rPr>
        <w:t>26</w:t>
      </w:r>
      <w:r>
        <w:rPr>
          <w:rFonts w:asciiTheme="minorEastAsia" w:eastAsiaTheme="minorEastAsia" w:hAnsiTheme="minorEastAsia" w:cstheme="minorEastAsia" w:hint="eastAsia"/>
          <w:sz w:val="24"/>
          <w:szCs w:val="21"/>
        </w:rPr>
        <w:t>日</w:t>
      </w:r>
    </w:p>
    <w:p w:rsidR="000D4E53" w:rsidRDefault="009F1A17" w:rsidP="003208E4">
      <w:pPr>
        <w:pStyle w:val="2"/>
        <w:spacing w:beforeLines="50" w:afterLines="50" w:line="240" w:lineRule="auto"/>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bookmarkStart w:id="1" w:name="t_2_1_table"/>
      <w:bookmarkEnd w:id="1"/>
      <w:r>
        <w:rPr>
          <w:rFonts w:asciiTheme="minorEastAsia" w:eastAsiaTheme="minorEastAsia" w:hAnsiTheme="minorEastAsia" w:cstheme="minorEastAsia" w:hint="eastAsia"/>
          <w:bCs/>
          <w:sz w:val="21"/>
          <w:szCs w:val="21"/>
        </w:rPr>
        <w:t>公告基本信息</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2"/>
        <w:gridCol w:w="4888"/>
      </w:tblGrid>
      <w:tr w:rsidR="000D4E53">
        <w:trPr>
          <w:trHeight w:val="326"/>
        </w:trPr>
        <w:tc>
          <w:tcPr>
            <w:tcW w:w="3482"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基金名称</w:t>
            </w:r>
          </w:p>
        </w:tc>
        <w:tc>
          <w:tcPr>
            <w:tcW w:w="4888"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兴业嘉润</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个月定期开放债券型发起式证券投资基金</w:t>
            </w:r>
          </w:p>
        </w:tc>
      </w:tr>
      <w:tr w:rsidR="000D4E53">
        <w:trPr>
          <w:trHeight w:val="326"/>
        </w:trPr>
        <w:tc>
          <w:tcPr>
            <w:tcW w:w="3482"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基金简称</w:t>
            </w:r>
          </w:p>
        </w:tc>
        <w:tc>
          <w:tcPr>
            <w:tcW w:w="4888"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兴业嘉润</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个月定开债券发起式</w:t>
            </w:r>
          </w:p>
        </w:tc>
      </w:tr>
      <w:tr w:rsidR="000D4E53">
        <w:trPr>
          <w:trHeight w:val="338"/>
        </w:trPr>
        <w:tc>
          <w:tcPr>
            <w:tcW w:w="3482"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基金主代码</w:t>
            </w:r>
          </w:p>
        </w:tc>
        <w:tc>
          <w:tcPr>
            <w:tcW w:w="4888"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szCs w:val="21"/>
              </w:rPr>
              <w:t>005710</w:t>
            </w:r>
          </w:p>
        </w:tc>
      </w:tr>
      <w:tr w:rsidR="000D4E53">
        <w:trPr>
          <w:trHeight w:val="652"/>
        </w:trPr>
        <w:tc>
          <w:tcPr>
            <w:tcW w:w="3482"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基金运作方式</w:t>
            </w:r>
          </w:p>
        </w:tc>
        <w:tc>
          <w:tcPr>
            <w:tcW w:w="4888" w:type="dxa"/>
          </w:tcPr>
          <w:p w:rsidR="000D4E53" w:rsidRDefault="009F1A17">
            <w:pPr>
              <w:rPr>
                <w:rFonts w:asciiTheme="minorEastAsia" w:eastAsiaTheme="minorEastAsia" w:hAnsiTheme="minorEastAsia" w:cstheme="minorEastAsia"/>
                <w:szCs w:val="21"/>
              </w:rPr>
            </w:pPr>
            <w:bookmarkStart w:id="2" w:name="t_2_1_0017_a1_fm1"/>
            <w:bookmarkEnd w:id="2"/>
            <w:r>
              <w:rPr>
                <w:rFonts w:asciiTheme="minorEastAsia" w:eastAsiaTheme="minorEastAsia" w:hAnsiTheme="minorEastAsia" w:cstheme="minorEastAsia" w:hint="eastAsia"/>
                <w:szCs w:val="21"/>
              </w:rPr>
              <w:t>契约型开放式；本基金以定期开放方式运作，即以封闭期和开放期相结合的方式运作</w:t>
            </w:r>
          </w:p>
        </w:tc>
      </w:tr>
      <w:tr w:rsidR="000D4E53">
        <w:trPr>
          <w:trHeight w:val="326"/>
        </w:trPr>
        <w:tc>
          <w:tcPr>
            <w:tcW w:w="3482"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基金合同生效日</w:t>
            </w:r>
          </w:p>
        </w:tc>
        <w:tc>
          <w:tcPr>
            <w:tcW w:w="4888"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2018年3月8日</w:t>
            </w:r>
          </w:p>
        </w:tc>
      </w:tr>
      <w:tr w:rsidR="000D4E53">
        <w:trPr>
          <w:trHeight w:val="326"/>
        </w:trPr>
        <w:tc>
          <w:tcPr>
            <w:tcW w:w="3482"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基金管理人名称</w:t>
            </w:r>
          </w:p>
        </w:tc>
        <w:tc>
          <w:tcPr>
            <w:tcW w:w="4888" w:type="dxa"/>
          </w:tcPr>
          <w:p w:rsidR="000D4E53" w:rsidRDefault="009F1A17">
            <w:pPr>
              <w:rPr>
                <w:rFonts w:asciiTheme="minorEastAsia" w:eastAsiaTheme="minorEastAsia" w:hAnsiTheme="minorEastAsia" w:cstheme="minorEastAsia"/>
                <w:szCs w:val="21"/>
              </w:rPr>
            </w:pPr>
            <w:bookmarkStart w:id="3" w:name="t_2_1_0186_a1_fm1"/>
            <w:bookmarkEnd w:id="3"/>
            <w:r>
              <w:rPr>
                <w:rFonts w:asciiTheme="minorEastAsia" w:eastAsiaTheme="minorEastAsia" w:hAnsiTheme="minorEastAsia" w:cstheme="minorEastAsia" w:hint="eastAsia"/>
                <w:szCs w:val="21"/>
              </w:rPr>
              <w:t>兴业基金管理有限公司</w:t>
            </w:r>
          </w:p>
        </w:tc>
      </w:tr>
      <w:tr w:rsidR="000D4E53">
        <w:trPr>
          <w:trHeight w:val="326"/>
        </w:trPr>
        <w:tc>
          <w:tcPr>
            <w:tcW w:w="3482"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基金托管人名称</w:t>
            </w:r>
          </w:p>
        </w:tc>
        <w:tc>
          <w:tcPr>
            <w:tcW w:w="4888"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浙商银行股份有限公司</w:t>
            </w:r>
          </w:p>
        </w:tc>
      </w:tr>
      <w:tr w:rsidR="000D4E53">
        <w:trPr>
          <w:trHeight w:val="326"/>
        </w:trPr>
        <w:tc>
          <w:tcPr>
            <w:tcW w:w="3482"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基金注册登记机构名称</w:t>
            </w:r>
          </w:p>
        </w:tc>
        <w:tc>
          <w:tcPr>
            <w:tcW w:w="4888" w:type="dxa"/>
          </w:tcPr>
          <w:p w:rsidR="000D4E53" w:rsidRDefault="009F1A17">
            <w:pPr>
              <w:rPr>
                <w:rFonts w:asciiTheme="minorEastAsia" w:eastAsiaTheme="minorEastAsia" w:hAnsiTheme="minorEastAsia" w:cstheme="minorEastAsia"/>
                <w:szCs w:val="21"/>
              </w:rPr>
            </w:pPr>
            <w:bookmarkStart w:id="4" w:name="t_2_1_0310_a1_fm1"/>
            <w:bookmarkEnd w:id="4"/>
            <w:r>
              <w:rPr>
                <w:rFonts w:asciiTheme="minorEastAsia" w:eastAsiaTheme="minorEastAsia" w:hAnsiTheme="minorEastAsia" w:cstheme="minorEastAsia" w:hint="eastAsia"/>
                <w:szCs w:val="21"/>
              </w:rPr>
              <w:t>兴业基金管理有限公司</w:t>
            </w:r>
          </w:p>
        </w:tc>
      </w:tr>
      <w:tr w:rsidR="000D4E53">
        <w:trPr>
          <w:trHeight w:val="1645"/>
        </w:trPr>
        <w:tc>
          <w:tcPr>
            <w:tcW w:w="3482"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公告依据</w:t>
            </w:r>
          </w:p>
        </w:tc>
        <w:tc>
          <w:tcPr>
            <w:tcW w:w="4888"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华人民共和国证券投资基金法》、《公开募集证券投资基金运作管理办法》以及《兴业嘉润3个月定期开放债券型发起式证券投资基金基金合同》、《兴业嘉润3个月定期开放债券型发起式证券投资基金招募说明书》</w:t>
            </w:r>
          </w:p>
        </w:tc>
      </w:tr>
      <w:tr w:rsidR="000D4E53">
        <w:trPr>
          <w:trHeight w:val="326"/>
        </w:trPr>
        <w:tc>
          <w:tcPr>
            <w:tcW w:w="3482" w:type="dxa"/>
          </w:tcPr>
          <w:p w:rsidR="000D4E53" w:rsidRDefault="009F1A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申购起始日</w:t>
            </w:r>
          </w:p>
        </w:tc>
        <w:tc>
          <w:tcPr>
            <w:tcW w:w="4888" w:type="dxa"/>
          </w:tcPr>
          <w:p w:rsidR="000D4E53" w:rsidRDefault="001D718E" w:rsidP="001D718E">
            <w:bookmarkStart w:id="5" w:name="t_2_1_2660_a1_fm1"/>
            <w:bookmarkEnd w:id="5"/>
            <w:r>
              <w:rPr>
                <w:rFonts w:asciiTheme="minorEastAsia" w:eastAsiaTheme="minorEastAsia" w:hAnsiTheme="minorEastAsia" w:cstheme="minorEastAsia"/>
                <w:szCs w:val="21"/>
              </w:rPr>
              <w:t>2026</w:t>
            </w:r>
            <w:r w:rsidR="009F1A17">
              <w:rPr>
                <w:rFonts w:asciiTheme="minorEastAsia" w:eastAsiaTheme="minorEastAsia" w:hAnsiTheme="minorEastAsia" w:cstheme="minorEastAsia" w:hint="eastAsia"/>
                <w:szCs w:val="21"/>
              </w:rPr>
              <w:t>年</w:t>
            </w:r>
            <w:r>
              <w:rPr>
                <w:rFonts w:asciiTheme="minorEastAsia" w:eastAsiaTheme="minorEastAsia" w:hAnsiTheme="minorEastAsia" w:cstheme="minorEastAsia"/>
                <w:szCs w:val="21"/>
              </w:rPr>
              <w:t>3</w:t>
            </w:r>
            <w:r w:rsidR="009F1A17">
              <w:rPr>
                <w:rFonts w:asciiTheme="minorEastAsia" w:eastAsiaTheme="minorEastAsia" w:hAnsiTheme="minorEastAsia" w:cstheme="minorEastAsia" w:hint="eastAsia"/>
                <w:szCs w:val="21"/>
              </w:rPr>
              <w:t>月</w:t>
            </w:r>
            <w:r>
              <w:rPr>
                <w:rFonts w:asciiTheme="minorEastAsia" w:eastAsiaTheme="minorEastAsia" w:hAnsiTheme="minorEastAsia" w:cstheme="minorEastAsia"/>
                <w:szCs w:val="21"/>
              </w:rPr>
              <w:t>2</w:t>
            </w:r>
            <w:r w:rsidR="009F1A17">
              <w:rPr>
                <w:rFonts w:asciiTheme="minorEastAsia" w:eastAsiaTheme="minorEastAsia" w:hAnsiTheme="minorEastAsia" w:cstheme="minorEastAsia" w:hint="eastAsia"/>
                <w:szCs w:val="21"/>
              </w:rPr>
              <w:t>日</w:t>
            </w:r>
          </w:p>
        </w:tc>
      </w:tr>
      <w:tr w:rsidR="001D718E">
        <w:trPr>
          <w:trHeight w:val="326"/>
        </w:trPr>
        <w:tc>
          <w:tcPr>
            <w:tcW w:w="3482" w:type="dxa"/>
          </w:tcPr>
          <w:p w:rsidR="001D718E" w:rsidRDefault="001D718E" w:rsidP="001D718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赎回起始日</w:t>
            </w:r>
          </w:p>
        </w:tc>
        <w:tc>
          <w:tcPr>
            <w:tcW w:w="4888" w:type="dxa"/>
          </w:tcPr>
          <w:p w:rsidR="001D718E" w:rsidRDefault="001D718E" w:rsidP="001D718E">
            <w:bookmarkStart w:id="6" w:name="t_2_1_2661_a1_fm1"/>
            <w:bookmarkEnd w:id="6"/>
            <w:r>
              <w:rPr>
                <w:rFonts w:asciiTheme="minorEastAsia" w:eastAsiaTheme="minorEastAsia" w:hAnsiTheme="minorEastAsia" w:cstheme="minorEastAsia"/>
                <w:szCs w:val="21"/>
              </w:rPr>
              <w:t>2026</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日</w:t>
            </w:r>
          </w:p>
        </w:tc>
      </w:tr>
      <w:tr w:rsidR="001D718E">
        <w:trPr>
          <w:trHeight w:val="326"/>
        </w:trPr>
        <w:tc>
          <w:tcPr>
            <w:tcW w:w="3482" w:type="dxa"/>
          </w:tcPr>
          <w:p w:rsidR="001D718E" w:rsidRDefault="001D718E" w:rsidP="001D718E">
            <w:pPr>
              <w:rPr>
                <w:rFonts w:ascii="宋体" w:hAnsi="宋体" w:cs="宋体"/>
                <w:szCs w:val="21"/>
              </w:rPr>
            </w:pPr>
            <w:r>
              <w:rPr>
                <w:rFonts w:ascii="宋体" w:hAnsi="宋体" w:cs="宋体" w:hint="eastAsia"/>
                <w:szCs w:val="21"/>
              </w:rPr>
              <w:t>转换转入起始日</w:t>
            </w:r>
          </w:p>
        </w:tc>
        <w:tc>
          <w:tcPr>
            <w:tcW w:w="4888" w:type="dxa"/>
          </w:tcPr>
          <w:p w:rsidR="001D718E" w:rsidRDefault="001D718E" w:rsidP="001D718E">
            <w:r>
              <w:rPr>
                <w:rFonts w:asciiTheme="minorEastAsia" w:eastAsiaTheme="minorEastAsia" w:hAnsiTheme="minorEastAsia" w:cstheme="minorEastAsia"/>
                <w:szCs w:val="21"/>
              </w:rPr>
              <w:t>2026</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日</w:t>
            </w:r>
          </w:p>
        </w:tc>
      </w:tr>
      <w:tr w:rsidR="001D718E">
        <w:trPr>
          <w:trHeight w:val="326"/>
        </w:trPr>
        <w:tc>
          <w:tcPr>
            <w:tcW w:w="3482" w:type="dxa"/>
          </w:tcPr>
          <w:p w:rsidR="001D718E" w:rsidRDefault="001D718E" w:rsidP="001D718E">
            <w:pPr>
              <w:rPr>
                <w:rFonts w:ascii="宋体" w:hAnsi="宋体" w:cs="宋体"/>
                <w:szCs w:val="21"/>
              </w:rPr>
            </w:pPr>
            <w:r>
              <w:rPr>
                <w:rFonts w:ascii="宋体" w:hAnsi="宋体" w:cs="宋体" w:hint="eastAsia"/>
                <w:szCs w:val="21"/>
              </w:rPr>
              <w:t>转换转出起始日</w:t>
            </w:r>
          </w:p>
        </w:tc>
        <w:tc>
          <w:tcPr>
            <w:tcW w:w="4888" w:type="dxa"/>
          </w:tcPr>
          <w:p w:rsidR="001D718E" w:rsidRDefault="001D718E" w:rsidP="001D718E">
            <w:r>
              <w:rPr>
                <w:rFonts w:asciiTheme="minorEastAsia" w:eastAsiaTheme="minorEastAsia" w:hAnsiTheme="minorEastAsia" w:cstheme="minorEastAsia"/>
                <w:szCs w:val="21"/>
              </w:rPr>
              <w:t>2026</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日</w:t>
            </w:r>
          </w:p>
        </w:tc>
      </w:tr>
      <w:tr w:rsidR="001D718E">
        <w:trPr>
          <w:trHeight w:val="338"/>
        </w:trPr>
        <w:tc>
          <w:tcPr>
            <w:tcW w:w="3482" w:type="dxa"/>
          </w:tcPr>
          <w:p w:rsidR="001D718E" w:rsidRDefault="001D718E" w:rsidP="001D718E">
            <w:pPr>
              <w:rPr>
                <w:rFonts w:ascii="宋体" w:hAnsi="宋体" w:cs="宋体"/>
                <w:szCs w:val="21"/>
              </w:rPr>
            </w:pPr>
            <w:r>
              <w:rPr>
                <w:rFonts w:ascii="宋体" w:hAnsi="宋体" w:cs="宋体" w:hint="eastAsia"/>
                <w:szCs w:val="21"/>
              </w:rPr>
              <w:t>定期定额投资起始日</w:t>
            </w:r>
          </w:p>
        </w:tc>
        <w:tc>
          <w:tcPr>
            <w:tcW w:w="4888" w:type="dxa"/>
          </w:tcPr>
          <w:p w:rsidR="001D718E" w:rsidRDefault="001D718E" w:rsidP="001D718E">
            <w:r>
              <w:rPr>
                <w:rFonts w:asciiTheme="minorEastAsia" w:eastAsiaTheme="minorEastAsia" w:hAnsiTheme="minorEastAsia" w:cstheme="minorEastAsia"/>
                <w:szCs w:val="21"/>
              </w:rPr>
              <w:t>2026</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日</w:t>
            </w:r>
          </w:p>
        </w:tc>
      </w:tr>
    </w:tbl>
    <w:p w:rsidR="000D4E53" w:rsidRDefault="009F1A17">
      <w:pPr>
        <w:ind w:left="360"/>
        <w:rPr>
          <w:rFonts w:asciiTheme="minorEastAsia" w:eastAsiaTheme="minorEastAsia" w:hAnsiTheme="minorEastAsia" w:cstheme="minorEastAsia"/>
          <w:kern w:val="0"/>
          <w:szCs w:val="21"/>
          <w:shd w:val="clear" w:color="auto" w:fill="FFFFFF"/>
        </w:rPr>
      </w:pPr>
      <w:r>
        <w:rPr>
          <w:rFonts w:asciiTheme="minorEastAsia" w:eastAsiaTheme="minorEastAsia" w:hAnsiTheme="minorEastAsia" w:cstheme="minorEastAsia" w:hint="eastAsia"/>
          <w:kern w:val="0"/>
          <w:szCs w:val="21"/>
          <w:shd w:val="clear" w:color="auto" w:fill="FFFFFF"/>
        </w:rPr>
        <w:t>注： 本基金为定期开放基金，本次开放期为</w:t>
      </w:r>
      <w:r w:rsidR="001D718E">
        <w:rPr>
          <w:rFonts w:asciiTheme="minorEastAsia" w:eastAsiaTheme="minorEastAsia" w:hAnsiTheme="minorEastAsia" w:cstheme="minorEastAsia"/>
          <w:szCs w:val="21"/>
        </w:rPr>
        <w:t>2026</w:t>
      </w:r>
      <w:r w:rsidR="001D718E">
        <w:rPr>
          <w:rFonts w:asciiTheme="minorEastAsia" w:eastAsiaTheme="minorEastAsia" w:hAnsiTheme="minorEastAsia" w:cstheme="minorEastAsia" w:hint="eastAsia"/>
          <w:szCs w:val="21"/>
        </w:rPr>
        <w:t>年</w:t>
      </w:r>
      <w:r w:rsidR="001D718E">
        <w:rPr>
          <w:rFonts w:asciiTheme="minorEastAsia" w:eastAsiaTheme="minorEastAsia" w:hAnsiTheme="minorEastAsia" w:cstheme="minorEastAsia"/>
          <w:szCs w:val="21"/>
        </w:rPr>
        <w:t>3</w:t>
      </w:r>
      <w:r w:rsidR="001D718E">
        <w:rPr>
          <w:rFonts w:asciiTheme="minorEastAsia" w:eastAsiaTheme="minorEastAsia" w:hAnsiTheme="minorEastAsia" w:cstheme="minorEastAsia" w:hint="eastAsia"/>
          <w:szCs w:val="21"/>
        </w:rPr>
        <w:t>月</w:t>
      </w:r>
      <w:r w:rsidR="001D718E">
        <w:rPr>
          <w:rFonts w:asciiTheme="minorEastAsia" w:eastAsiaTheme="minorEastAsia" w:hAnsiTheme="minorEastAsia" w:cstheme="minorEastAsia"/>
          <w:szCs w:val="21"/>
        </w:rPr>
        <w:t>2</w:t>
      </w:r>
      <w:r w:rsidR="001D718E">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kern w:val="0"/>
          <w:szCs w:val="21"/>
          <w:shd w:val="clear" w:color="auto" w:fill="FFFFFF"/>
        </w:rPr>
        <w:t>—</w:t>
      </w:r>
      <w:r w:rsidR="001D718E">
        <w:rPr>
          <w:rFonts w:asciiTheme="minorEastAsia" w:eastAsiaTheme="minorEastAsia" w:hAnsiTheme="minorEastAsia" w:cstheme="minorEastAsia"/>
          <w:szCs w:val="21"/>
        </w:rPr>
        <w:t>2026</w:t>
      </w:r>
      <w:r w:rsidR="001D718E">
        <w:rPr>
          <w:rFonts w:asciiTheme="minorEastAsia" w:eastAsiaTheme="minorEastAsia" w:hAnsiTheme="minorEastAsia" w:cstheme="minorEastAsia" w:hint="eastAsia"/>
          <w:szCs w:val="21"/>
        </w:rPr>
        <w:t>年</w:t>
      </w:r>
      <w:r w:rsidR="001D718E">
        <w:rPr>
          <w:rFonts w:asciiTheme="minorEastAsia" w:eastAsiaTheme="minorEastAsia" w:hAnsiTheme="minorEastAsia" w:cstheme="minorEastAsia"/>
          <w:szCs w:val="21"/>
        </w:rPr>
        <w:t>3</w:t>
      </w:r>
      <w:r w:rsidR="001D718E">
        <w:rPr>
          <w:rFonts w:asciiTheme="minorEastAsia" w:eastAsiaTheme="minorEastAsia" w:hAnsiTheme="minorEastAsia" w:cstheme="minorEastAsia" w:hint="eastAsia"/>
          <w:szCs w:val="21"/>
        </w:rPr>
        <w:t>月</w:t>
      </w:r>
      <w:r w:rsidR="001D718E">
        <w:rPr>
          <w:rFonts w:asciiTheme="minorEastAsia" w:eastAsiaTheme="minorEastAsia" w:hAnsiTheme="minorEastAsia" w:cstheme="minorEastAsia"/>
          <w:szCs w:val="21"/>
        </w:rPr>
        <w:t>13</w:t>
      </w:r>
      <w:r w:rsidR="001D718E">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kern w:val="0"/>
          <w:szCs w:val="21"/>
          <w:shd w:val="clear" w:color="auto" w:fill="FFFFFF"/>
        </w:rPr>
        <w:t>。</w:t>
      </w:r>
    </w:p>
    <w:p w:rsidR="000D4E53" w:rsidRDefault="009F1A17" w:rsidP="003208E4">
      <w:pPr>
        <w:pStyle w:val="2"/>
        <w:spacing w:beforeLines="50" w:afterLines="50" w:line="240" w:lineRule="auto"/>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 xml:space="preserve">2 </w:t>
      </w:r>
      <w:bookmarkStart w:id="7" w:name="t_2_2_table"/>
      <w:bookmarkEnd w:id="7"/>
      <w:r>
        <w:rPr>
          <w:rFonts w:asciiTheme="minorEastAsia" w:eastAsiaTheme="minorEastAsia" w:hAnsiTheme="minorEastAsia" w:cstheme="minorEastAsia" w:hint="eastAsia"/>
          <w:bCs/>
          <w:sz w:val="21"/>
          <w:szCs w:val="21"/>
        </w:rPr>
        <w:t>日常申购、赎回业务的办理时间</w:t>
      </w:r>
    </w:p>
    <w:p w:rsidR="000D4E53" w:rsidRDefault="009F1A17">
      <w:pPr>
        <w:spacing w:line="360" w:lineRule="auto"/>
        <w:jc w:val="left"/>
        <w:rPr>
          <w:rFonts w:asciiTheme="minorEastAsia" w:eastAsiaTheme="minorEastAsia" w:hAnsiTheme="minorEastAsia" w:cstheme="minorEastAsia"/>
          <w:b/>
          <w:bCs/>
          <w:szCs w:val="21"/>
        </w:rPr>
      </w:pPr>
      <w:bookmarkStart w:id="8" w:name="t_2_2_2819_a1_fm1"/>
      <w:bookmarkEnd w:id="8"/>
      <w:r>
        <w:rPr>
          <w:rFonts w:asciiTheme="minorEastAsia" w:eastAsiaTheme="minorEastAsia" w:hAnsiTheme="minorEastAsia" w:cstheme="minorEastAsia" w:hint="eastAsia"/>
          <w:b/>
          <w:bCs/>
          <w:szCs w:val="21"/>
        </w:rPr>
        <w:t>2.1 开放日及开放时间</w:t>
      </w:r>
    </w:p>
    <w:p w:rsidR="000D4E53" w:rsidRDefault="009F1A17">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基金开放期内，投资人在开放日办理基金份额的申购和赎回，具体办理时间为上海证券交易所、深圳证券交易所的正常交易日的交易时间，但基金管理人根据法律法规、中国证监会的要求或本基金合同的规定公告暂停申购、赎回时除外。封闭期内，本基金不办理申购与赎回业务，也不上市交易。</w:t>
      </w:r>
    </w:p>
    <w:p w:rsidR="000D4E53" w:rsidRDefault="009F1A17">
      <w:pPr>
        <w:spacing w:line="360" w:lineRule="auto"/>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2.2 申购、赎回的开始日及业务办理时间</w:t>
      </w:r>
    </w:p>
    <w:p w:rsidR="000D4E53" w:rsidRDefault="009F1A17">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根据《兴业嘉润</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个月定期开放债券型发起式证券投资基金基金合同》、《兴业嘉润</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个月定期开放债券型发起式证券投资基金招募说明书》与《兴业嘉润</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个月定期开放债券型发起式证</w:t>
      </w:r>
      <w:r>
        <w:rPr>
          <w:rFonts w:asciiTheme="minorEastAsia" w:eastAsiaTheme="minorEastAsia" w:hAnsiTheme="minorEastAsia" w:cstheme="minorEastAsia" w:hint="eastAsia"/>
          <w:szCs w:val="21"/>
        </w:rPr>
        <w:lastRenderedPageBreak/>
        <w:t>券投资基金产品资料</w:t>
      </w:r>
      <w:r>
        <w:rPr>
          <w:rFonts w:asciiTheme="minorEastAsia" w:eastAsiaTheme="minorEastAsia" w:hAnsiTheme="minorEastAsia" w:cstheme="minorEastAsia"/>
          <w:szCs w:val="21"/>
        </w:rPr>
        <w:t>概要</w:t>
      </w:r>
      <w:r>
        <w:rPr>
          <w:rFonts w:asciiTheme="minorEastAsia" w:eastAsiaTheme="minorEastAsia" w:hAnsiTheme="minorEastAsia" w:cstheme="minorEastAsia" w:hint="eastAsia"/>
          <w:szCs w:val="21"/>
        </w:rPr>
        <w:t>》，本基金自封闭期结束之日的下一个工作日起进入开放期，期间可以办理申购与赎回业务。</w:t>
      </w:r>
      <w:r>
        <w:t>本基金每个开放期最长不超过</w:t>
      </w:r>
      <w:r>
        <w:t>20</w:t>
      </w:r>
      <w:r>
        <w:t>个工作日，开放期的具体时间以基金管理人届时公告为准。</w:t>
      </w:r>
    </w:p>
    <w:p w:rsidR="000D4E53" w:rsidRDefault="009F1A17">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该开放期内下一开放日基金份额申购、赎回的价格；在开放期最后一个开放日，投资人在基金合同约定之外的时间提出申购、赎回或转换申请的，视为无效申请。</w:t>
      </w:r>
    </w:p>
    <w:p w:rsidR="000D4E53" w:rsidRDefault="009F1A17" w:rsidP="003208E4">
      <w:pPr>
        <w:pStyle w:val="2"/>
        <w:spacing w:beforeLines="50" w:afterLines="50" w:line="240" w:lineRule="auto"/>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 日常申购业务</w:t>
      </w:r>
    </w:p>
    <w:p w:rsidR="000D4E53" w:rsidRDefault="009F1A17" w:rsidP="003208E4">
      <w:pPr>
        <w:spacing w:beforeLines="50" w:afterLines="5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3.1 </w:t>
      </w:r>
      <w:bookmarkStart w:id="9" w:name="t_2_3_1_table"/>
      <w:bookmarkEnd w:id="9"/>
      <w:r>
        <w:rPr>
          <w:rFonts w:asciiTheme="minorEastAsia" w:eastAsiaTheme="minorEastAsia" w:hAnsiTheme="minorEastAsia" w:cstheme="minorEastAsia" w:hint="eastAsia"/>
          <w:b/>
          <w:szCs w:val="21"/>
        </w:rPr>
        <w:t>申购金额限制</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资者通过基金管理人直销机构以外的销售机构首次申购本基金的，每个基金账户单笔最低申购金额为1元（含申购费）；通过基金管理人的直销机构首次申购本基金的，每个基金账户单笔最低申购金额为1元（含申购费）。投资者追加申购的单笔最低金额为1元（含申购费）。</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投资者将当期分配的基金收益转购基金份额时，不受最低申购金额的限制。</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投资者可多次申购，对单个投资者累计持有份额不设上限。法律法规、中国证监会另有规定的除外。</w:t>
      </w:r>
    </w:p>
    <w:p w:rsidR="000D4E53" w:rsidRDefault="009F1A17" w:rsidP="003208E4">
      <w:pPr>
        <w:spacing w:beforeLines="50" w:afterLines="5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3.2 </w:t>
      </w:r>
      <w:bookmarkStart w:id="10" w:name="t_2_3_2_table"/>
      <w:bookmarkEnd w:id="10"/>
      <w:r>
        <w:rPr>
          <w:rFonts w:asciiTheme="minorEastAsia" w:eastAsiaTheme="minorEastAsia" w:hAnsiTheme="minorEastAsia" w:cstheme="minorEastAsia" w:hint="eastAsia"/>
          <w:b/>
          <w:szCs w:val="21"/>
        </w:rPr>
        <w:t>申购费率</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本基金的申购费用由投资人承担，不列入基金财产，主要用于本基金的市场推广、销售、登记等各项费用。</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投资人在一天之内如果有多笔申购，适用费率按单笔分别计算。具体费率如下：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4"/>
        <w:gridCol w:w="4546"/>
      </w:tblGrid>
      <w:tr w:rsidR="000D4E53">
        <w:trPr>
          <w:trHeight w:val="211"/>
          <w:jc w:val="center"/>
        </w:trPr>
        <w:tc>
          <w:tcPr>
            <w:tcW w:w="2491" w:type="pct"/>
          </w:tcPr>
          <w:p w:rsidR="000D4E53" w:rsidRDefault="009F1A17">
            <w:pPr>
              <w:pStyle w:val="Default"/>
              <w:jc w:val="center"/>
              <w:rPr>
                <w:sz w:val="21"/>
                <w:szCs w:val="21"/>
              </w:rPr>
            </w:pPr>
            <w:bookmarkStart w:id="11" w:name="t_2_3_2_q_01_2682_a1_fm2210"/>
            <w:bookmarkStart w:id="12" w:name="t_2_3_2_q_2685_a1_fm1"/>
            <w:bookmarkEnd w:id="11"/>
            <w:r>
              <w:rPr>
                <w:rFonts w:hint="eastAsia"/>
                <w:sz w:val="21"/>
                <w:szCs w:val="21"/>
              </w:rPr>
              <w:t>申购金额（</w:t>
            </w:r>
            <w:r>
              <w:rPr>
                <w:sz w:val="21"/>
                <w:szCs w:val="21"/>
              </w:rPr>
              <w:t>M,</w:t>
            </w:r>
            <w:r>
              <w:rPr>
                <w:rFonts w:hint="eastAsia"/>
                <w:sz w:val="21"/>
                <w:szCs w:val="21"/>
              </w:rPr>
              <w:t>含申购费）</w:t>
            </w:r>
          </w:p>
        </w:tc>
        <w:tc>
          <w:tcPr>
            <w:tcW w:w="2509" w:type="pct"/>
          </w:tcPr>
          <w:p w:rsidR="000D4E53" w:rsidRDefault="009F1A17">
            <w:pPr>
              <w:pStyle w:val="Default"/>
              <w:jc w:val="center"/>
              <w:rPr>
                <w:sz w:val="21"/>
                <w:szCs w:val="21"/>
              </w:rPr>
            </w:pPr>
            <w:r>
              <w:rPr>
                <w:rFonts w:hint="eastAsia"/>
                <w:sz w:val="21"/>
                <w:szCs w:val="21"/>
              </w:rPr>
              <w:t>申购费率</w:t>
            </w:r>
          </w:p>
        </w:tc>
      </w:tr>
      <w:tr w:rsidR="000D4E53">
        <w:trPr>
          <w:trHeight w:val="211"/>
          <w:jc w:val="center"/>
        </w:trPr>
        <w:tc>
          <w:tcPr>
            <w:tcW w:w="2491" w:type="pct"/>
          </w:tcPr>
          <w:p w:rsidR="000D4E53" w:rsidRDefault="009F1A17">
            <w:pPr>
              <w:pStyle w:val="Default"/>
              <w:jc w:val="center"/>
              <w:rPr>
                <w:sz w:val="21"/>
                <w:szCs w:val="21"/>
              </w:rPr>
            </w:pPr>
            <w:r>
              <w:rPr>
                <w:sz w:val="21"/>
                <w:szCs w:val="21"/>
              </w:rPr>
              <w:t>M</w:t>
            </w:r>
            <w:r>
              <w:rPr>
                <w:rFonts w:hint="eastAsia"/>
                <w:sz w:val="21"/>
                <w:szCs w:val="21"/>
              </w:rPr>
              <w:t>＜</w:t>
            </w:r>
            <w:r>
              <w:rPr>
                <w:sz w:val="21"/>
                <w:szCs w:val="21"/>
              </w:rPr>
              <w:t>100</w:t>
            </w:r>
            <w:r>
              <w:rPr>
                <w:rFonts w:hint="eastAsia"/>
                <w:sz w:val="21"/>
                <w:szCs w:val="21"/>
              </w:rPr>
              <w:t>万元</w:t>
            </w:r>
          </w:p>
        </w:tc>
        <w:tc>
          <w:tcPr>
            <w:tcW w:w="2509" w:type="pct"/>
          </w:tcPr>
          <w:p w:rsidR="000D4E53" w:rsidRDefault="009F1A17">
            <w:pPr>
              <w:pStyle w:val="Default"/>
              <w:jc w:val="center"/>
              <w:rPr>
                <w:sz w:val="21"/>
                <w:szCs w:val="21"/>
              </w:rPr>
            </w:pPr>
            <w:r>
              <w:rPr>
                <w:sz w:val="21"/>
                <w:szCs w:val="21"/>
              </w:rPr>
              <w:t>0.6%</w:t>
            </w:r>
          </w:p>
        </w:tc>
      </w:tr>
      <w:tr w:rsidR="000D4E53">
        <w:trPr>
          <w:trHeight w:val="211"/>
          <w:jc w:val="center"/>
        </w:trPr>
        <w:tc>
          <w:tcPr>
            <w:tcW w:w="2491" w:type="pct"/>
          </w:tcPr>
          <w:p w:rsidR="000D4E53" w:rsidRDefault="009F1A17">
            <w:pPr>
              <w:pStyle w:val="Default"/>
              <w:jc w:val="center"/>
              <w:rPr>
                <w:sz w:val="21"/>
                <w:szCs w:val="21"/>
              </w:rPr>
            </w:pPr>
            <w:r>
              <w:rPr>
                <w:sz w:val="21"/>
                <w:szCs w:val="21"/>
              </w:rPr>
              <w:t>100</w:t>
            </w:r>
            <w:r>
              <w:rPr>
                <w:rFonts w:hint="eastAsia"/>
                <w:sz w:val="21"/>
                <w:szCs w:val="21"/>
              </w:rPr>
              <w:t>万元≤</w:t>
            </w:r>
            <w:r>
              <w:rPr>
                <w:sz w:val="21"/>
                <w:szCs w:val="21"/>
              </w:rPr>
              <w:t>M</w:t>
            </w:r>
            <w:r>
              <w:rPr>
                <w:rFonts w:hint="eastAsia"/>
                <w:sz w:val="21"/>
                <w:szCs w:val="21"/>
              </w:rPr>
              <w:t>＜</w:t>
            </w:r>
            <w:r>
              <w:rPr>
                <w:sz w:val="21"/>
                <w:szCs w:val="21"/>
              </w:rPr>
              <w:t>300</w:t>
            </w:r>
            <w:r>
              <w:rPr>
                <w:rFonts w:hint="eastAsia"/>
                <w:sz w:val="21"/>
                <w:szCs w:val="21"/>
              </w:rPr>
              <w:t>万元</w:t>
            </w:r>
          </w:p>
        </w:tc>
        <w:tc>
          <w:tcPr>
            <w:tcW w:w="2509" w:type="pct"/>
          </w:tcPr>
          <w:p w:rsidR="000D4E53" w:rsidRDefault="009F1A17">
            <w:pPr>
              <w:pStyle w:val="Default"/>
              <w:jc w:val="center"/>
              <w:rPr>
                <w:sz w:val="21"/>
                <w:szCs w:val="21"/>
              </w:rPr>
            </w:pPr>
            <w:r>
              <w:rPr>
                <w:sz w:val="21"/>
                <w:szCs w:val="21"/>
              </w:rPr>
              <w:t>0.4%</w:t>
            </w:r>
          </w:p>
        </w:tc>
      </w:tr>
      <w:tr w:rsidR="000D4E53">
        <w:trPr>
          <w:trHeight w:val="211"/>
          <w:jc w:val="center"/>
        </w:trPr>
        <w:tc>
          <w:tcPr>
            <w:tcW w:w="2491" w:type="pct"/>
          </w:tcPr>
          <w:p w:rsidR="000D4E53" w:rsidRDefault="009F1A17">
            <w:pPr>
              <w:pStyle w:val="Default"/>
              <w:jc w:val="center"/>
              <w:rPr>
                <w:sz w:val="21"/>
                <w:szCs w:val="21"/>
              </w:rPr>
            </w:pPr>
            <w:r>
              <w:rPr>
                <w:sz w:val="21"/>
                <w:szCs w:val="21"/>
              </w:rPr>
              <w:t>300</w:t>
            </w:r>
            <w:r>
              <w:rPr>
                <w:rFonts w:hint="eastAsia"/>
                <w:sz w:val="21"/>
                <w:szCs w:val="21"/>
              </w:rPr>
              <w:t>万元≤</w:t>
            </w:r>
            <w:r>
              <w:rPr>
                <w:sz w:val="21"/>
                <w:szCs w:val="21"/>
              </w:rPr>
              <w:t>M</w:t>
            </w:r>
            <w:r>
              <w:rPr>
                <w:rFonts w:hint="eastAsia"/>
                <w:sz w:val="21"/>
                <w:szCs w:val="21"/>
              </w:rPr>
              <w:t>＜</w:t>
            </w:r>
            <w:r>
              <w:rPr>
                <w:sz w:val="21"/>
                <w:szCs w:val="21"/>
              </w:rPr>
              <w:t>500</w:t>
            </w:r>
            <w:r>
              <w:rPr>
                <w:rFonts w:hint="eastAsia"/>
                <w:sz w:val="21"/>
                <w:szCs w:val="21"/>
              </w:rPr>
              <w:t>万元</w:t>
            </w:r>
          </w:p>
        </w:tc>
        <w:tc>
          <w:tcPr>
            <w:tcW w:w="2509" w:type="pct"/>
          </w:tcPr>
          <w:p w:rsidR="000D4E53" w:rsidRDefault="009F1A17">
            <w:pPr>
              <w:pStyle w:val="Default"/>
              <w:jc w:val="center"/>
              <w:rPr>
                <w:sz w:val="21"/>
                <w:szCs w:val="21"/>
              </w:rPr>
            </w:pPr>
            <w:r>
              <w:rPr>
                <w:sz w:val="21"/>
                <w:szCs w:val="21"/>
              </w:rPr>
              <w:t>0.2%</w:t>
            </w:r>
          </w:p>
        </w:tc>
      </w:tr>
      <w:tr w:rsidR="000D4E53">
        <w:trPr>
          <w:trHeight w:val="211"/>
          <w:jc w:val="center"/>
        </w:trPr>
        <w:tc>
          <w:tcPr>
            <w:tcW w:w="2491" w:type="pct"/>
          </w:tcPr>
          <w:p w:rsidR="000D4E53" w:rsidRDefault="009F1A17">
            <w:pPr>
              <w:spacing w:line="360" w:lineRule="auto"/>
              <w:ind w:firstLineChars="200" w:firstLine="420"/>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M≥500万元</w:t>
            </w:r>
          </w:p>
        </w:tc>
        <w:tc>
          <w:tcPr>
            <w:tcW w:w="2509" w:type="pct"/>
          </w:tcPr>
          <w:p w:rsidR="000D4E53" w:rsidRDefault="009F1A17">
            <w:pPr>
              <w:spacing w:line="36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按笔收取，1000元/笔</w:t>
            </w:r>
          </w:p>
        </w:tc>
      </w:tr>
      <w:bookmarkEnd w:id="12"/>
    </w:tbl>
    <w:p w:rsidR="000D4E53" w:rsidRDefault="000D4E53">
      <w:pPr>
        <w:spacing w:line="360" w:lineRule="auto"/>
        <w:jc w:val="left"/>
        <w:rPr>
          <w:rFonts w:asciiTheme="minorEastAsia" w:eastAsiaTheme="minorEastAsia" w:hAnsiTheme="minorEastAsia" w:cstheme="minorEastAsia"/>
          <w:szCs w:val="21"/>
        </w:rPr>
      </w:pPr>
    </w:p>
    <w:p w:rsidR="000D4E53" w:rsidRDefault="009F1A17" w:rsidP="003208E4">
      <w:pPr>
        <w:pStyle w:val="2"/>
        <w:spacing w:beforeLines="50" w:afterLines="50" w:line="240" w:lineRule="auto"/>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4 日常赎回业务</w:t>
      </w:r>
    </w:p>
    <w:p w:rsidR="000D4E53" w:rsidRDefault="009F1A17" w:rsidP="003208E4">
      <w:pPr>
        <w:spacing w:beforeLines="50" w:afterLines="5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4.1</w:t>
      </w:r>
      <w:bookmarkStart w:id="13" w:name="t_2_4_1_table"/>
      <w:bookmarkEnd w:id="13"/>
      <w:r>
        <w:rPr>
          <w:rFonts w:asciiTheme="minorEastAsia" w:eastAsiaTheme="minorEastAsia" w:hAnsiTheme="minorEastAsia" w:cstheme="minorEastAsia" w:hint="eastAsia"/>
          <w:b/>
          <w:szCs w:val="21"/>
        </w:rPr>
        <w:t xml:space="preserve"> 赎回份额限制</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投资者可将其全部或部分基金份额赎回。本基金对每个投资人每个基金交易账户的最低基金份额余额不设限制。</w:t>
      </w:r>
    </w:p>
    <w:p w:rsidR="000D4E53" w:rsidRDefault="009F1A17" w:rsidP="003208E4">
      <w:pPr>
        <w:spacing w:beforeLines="50" w:afterLines="50"/>
        <w:rPr>
          <w:rFonts w:asciiTheme="minorEastAsia" w:eastAsiaTheme="minorEastAsia" w:hAnsiTheme="minorEastAsia" w:cstheme="minorEastAsia"/>
          <w:b/>
          <w:szCs w:val="21"/>
          <w:lang w:val="nl-NL"/>
        </w:rPr>
      </w:pPr>
      <w:r>
        <w:rPr>
          <w:rFonts w:asciiTheme="minorEastAsia" w:eastAsiaTheme="minorEastAsia" w:hAnsiTheme="minorEastAsia" w:cstheme="minorEastAsia" w:hint="eastAsia"/>
          <w:b/>
          <w:szCs w:val="21"/>
        </w:rPr>
        <w:t xml:space="preserve">4.2 </w:t>
      </w:r>
      <w:bookmarkStart w:id="14" w:name="t_2_4_2_table"/>
      <w:bookmarkEnd w:id="14"/>
      <w:r>
        <w:rPr>
          <w:rFonts w:asciiTheme="minorEastAsia" w:eastAsiaTheme="minorEastAsia" w:hAnsiTheme="minorEastAsia" w:cstheme="minorEastAsia" w:hint="eastAsia"/>
          <w:b/>
          <w:szCs w:val="21"/>
        </w:rPr>
        <w:t>赎回费率</w:t>
      </w:r>
      <w:bookmarkStart w:id="15" w:name="t_2_4_2_2843_a1_fm1"/>
      <w:bookmarkEnd w:id="15"/>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对持续持有期少于</w:t>
      </w:r>
      <w:r>
        <w:rPr>
          <w:rFonts w:asciiTheme="minorEastAsia" w:eastAsiaTheme="minorEastAsia" w:hAnsiTheme="minorEastAsia" w:cstheme="minorEastAsia"/>
          <w:szCs w:val="21"/>
        </w:rPr>
        <w:t>7</w:t>
      </w:r>
      <w:r>
        <w:rPr>
          <w:rFonts w:asciiTheme="minorEastAsia" w:eastAsiaTheme="minorEastAsia" w:hAnsiTheme="minorEastAsia" w:cstheme="minorEastAsia" w:hint="eastAsia"/>
          <w:szCs w:val="21"/>
        </w:rPr>
        <w:t>日的赎回申请，赎回费率为</w:t>
      </w:r>
      <w:r>
        <w:rPr>
          <w:rFonts w:asciiTheme="minorEastAsia" w:eastAsiaTheme="minorEastAsia" w:hAnsiTheme="minorEastAsia" w:cstheme="minorEastAsia"/>
          <w:szCs w:val="21"/>
        </w:rPr>
        <w:t>1.5</w:t>
      </w:r>
      <w:r>
        <w:rPr>
          <w:rFonts w:asciiTheme="minorEastAsia" w:eastAsiaTheme="minorEastAsia" w:hAnsiTheme="minorEastAsia" w:cstheme="minorEastAsia" w:hint="eastAsia"/>
          <w:szCs w:val="21"/>
        </w:rPr>
        <w:t>%；</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持有期限长于</w:t>
      </w:r>
      <w:r>
        <w:rPr>
          <w:rFonts w:asciiTheme="minorEastAsia" w:eastAsiaTheme="minorEastAsia" w:hAnsiTheme="minorEastAsia" w:cstheme="minorEastAsia"/>
          <w:szCs w:val="21"/>
        </w:rPr>
        <w:t>7</w:t>
      </w:r>
      <w:r>
        <w:rPr>
          <w:rFonts w:asciiTheme="minorEastAsia" w:eastAsiaTheme="minorEastAsia" w:hAnsiTheme="minorEastAsia" w:cstheme="minorEastAsia" w:hint="eastAsia"/>
          <w:szCs w:val="21"/>
        </w:rPr>
        <w:t>日（含）且在同一个开放期内申购后又赎回的，赎回费率为</w:t>
      </w:r>
      <w:r>
        <w:rPr>
          <w:rFonts w:asciiTheme="minorEastAsia" w:eastAsiaTheme="minorEastAsia" w:hAnsiTheme="minorEastAsia" w:cstheme="minorEastAsia"/>
          <w:szCs w:val="21"/>
        </w:rPr>
        <w:t>0.01</w:t>
      </w:r>
      <w:r>
        <w:rPr>
          <w:rFonts w:asciiTheme="minorEastAsia" w:eastAsiaTheme="minorEastAsia" w:hAnsiTheme="minorEastAsia" w:cstheme="minorEastAsia" w:hint="eastAsia"/>
          <w:szCs w:val="21"/>
        </w:rPr>
        <w:t>%；</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（3）其他情况的赎回费率为</w:t>
      </w:r>
      <w:r>
        <w:rPr>
          <w:rFonts w:asciiTheme="minorEastAsia" w:eastAsiaTheme="minorEastAsia" w:hAnsiTheme="minorEastAsia" w:cstheme="minorEastAsia"/>
          <w:szCs w:val="21"/>
        </w:rPr>
        <w:t>0</w:t>
      </w:r>
      <w:r>
        <w:rPr>
          <w:rFonts w:asciiTheme="minorEastAsia" w:eastAsiaTheme="minorEastAsia" w:hAnsiTheme="minorEastAsia" w:cstheme="minorEastAsia" w:hint="eastAsia"/>
          <w:szCs w:val="21"/>
        </w:rPr>
        <w:t>%。</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赎回费用由赎回基金份额的基金份额持有人承担，在基金份额持有人赎回基金份额时收取，并全额归入基金财产。</w:t>
      </w:r>
    </w:p>
    <w:p w:rsidR="000D4E53" w:rsidRDefault="009F1A17" w:rsidP="003208E4">
      <w:pPr>
        <w:spacing w:beforeLines="50" w:afterLines="5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4.3 </w:t>
      </w:r>
      <w:bookmarkStart w:id="16" w:name="t_2_4_3_table"/>
      <w:bookmarkEnd w:id="16"/>
      <w:r>
        <w:rPr>
          <w:rFonts w:asciiTheme="minorEastAsia" w:eastAsiaTheme="minorEastAsia" w:hAnsiTheme="minorEastAsia" w:cstheme="minorEastAsia" w:hint="eastAsia"/>
          <w:b/>
          <w:szCs w:val="21"/>
        </w:rPr>
        <w:t>其他与赎回相关的事项</w:t>
      </w:r>
    </w:p>
    <w:p w:rsidR="000D4E53" w:rsidRDefault="009F1A17" w:rsidP="003208E4">
      <w:pPr>
        <w:spacing w:beforeLines="50" w:afterLines="50"/>
        <w:ind w:firstLineChars="100" w:firstLine="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w:t>
      </w:r>
    </w:p>
    <w:p w:rsidR="000D4E53" w:rsidRDefault="009F1A17" w:rsidP="003208E4">
      <w:pPr>
        <w:pStyle w:val="2"/>
        <w:spacing w:beforeLines="50" w:afterLines="50" w:line="240" w:lineRule="auto"/>
        <w:jc w:val="left"/>
        <w:rPr>
          <w:rFonts w:ascii="宋体" w:eastAsia="宋体" w:hAnsi="宋体" w:cs="宋体"/>
          <w:bCs/>
          <w:sz w:val="21"/>
          <w:szCs w:val="21"/>
        </w:rPr>
      </w:pPr>
      <w:bookmarkStart w:id="17" w:name="t_2_4_3_2823_a1_fm1"/>
      <w:bookmarkEnd w:id="17"/>
      <w:r>
        <w:rPr>
          <w:rFonts w:ascii="宋体" w:eastAsia="宋体" w:hAnsi="宋体" w:cs="宋体" w:hint="eastAsia"/>
          <w:bCs/>
          <w:sz w:val="21"/>
          <w:szCs w:val="21"/>
        </w:rPr>
        <w:t>5 基金转换业务</w:t>
      </w:r>
    </w:p>
    <w:p w:rsidR="000D4E53" w:rsidRDefault="009F1A17">
      <w:pPr>
        <w:spacing w:before="156" w:after="156"/>
        <w:rPr>
          <w:b/>
        </w:rPr>
      </w:pPr>
      <w:r>
        <w:rPr>
          <w:b/>
        </w:rPr>
        <w:t xml:space="preserve">5.1 </w:t>
      </w:r>
      <w:r>
        <w:rPr>
          <w:rFonts w:hint="eastAsia"/>
          <w:b/>
        </w:rPr>
        <w:t>转换费率</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基金转换费用由转出基金的赎回费和基金转换的申购补差费两部分构成，具体收取情况视每次转换时不同基金的申购费率和赎回费率的差异情况而定。基金转换费用由基金持有人承担。</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转出基金赎回费用按转出基金的赎回费率收取，并按照《公开募集证券投资基金销售机构监督管理办法》的规定将部分赎回费计入转出基金的基金财产。转出基金的赎回金额、赎回费的处理按照相关基金招募说明书及本公司《开放式基金业务规则》中有关赎回业务相关规则执行。</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申购补差费率指转入基金与转出基金的申购费率之差。当转入基金的申购费率高于转出基金的申购费率时，应缴纳转入基金和转出基金的申购费差额，反之则不收取申购补差费；各基金的申购费率以基金的招募说明书等法律文件为准，如转入基金或转出基金适用固定费用的，则申购补差费中的申购费按固定费用进行计算。</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转入份额按照四舍五入的方法保留小数点后两位，由此产生的误差归入基金财产。</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转出基金赎回费用、转出转入基金申购补差费用保留小数点后两位，两位以后的部分四舍五入，由此产生的误差计入基金财产。</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 xml:space="preserve">基金转换计算公式如下：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 xml:space="preserve">转出基金赎回费＝转出份额×转出净值×转出基金赎回费率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 xml:space="preserve">转出金额=转出份额×转出基金当日基金份额净值－转出基金赎回费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 xml:space="preserve">申购补差费（外扣法）＝Max[转出金额×转入基金的申购费率/（1＋转入基金申购费率）－转出金额×转出基金申购费率/（1＋转出基金申购费率）,0]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 xml:space="preserve">转换费用＝转出基金赎回费＋申购补差费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 xml:space="preserve">转入份额＝（转出金额－申购补差费）/转入基金当日基金份额净值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 xml:space="preserve">注：申购补差费中的转入基金申购费率按基金合同和招募说明书中的费率标准执行，不适用申购费率优惠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例如：某基金份额持有人持有10,000 份兴业N基金份额1年后（未满2 年）决定转换为M基金份额。</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假设N基金申购金额小于100万元，申购费率为0.8%，持有期限满1年未满2年，赎回费为0.05％。</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M基金申购金额小于100万元，申购费率为0.8%，持有期限满1年未满2年，赎回费为0.05％。</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假设转换当日转出基金份额净值是1.050元，转入基金的基金份额净值是1.195元，对应赎回费率为0.05%，申购补差费率为0，则可得到的转换份额为：</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转出基金赎回费＝10,000×1.050×0.05％＝5.25元</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 xml:space="preserve">转出金额=10,000×1.050－5.25＝10,494.75元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申购补差费（外扣法）＝Max[10,494.75×0.8%/（1＋0.8%）－10,494.75×0.8%/（1＋0.8%）,0] =0元</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转换费用＝5.25＋0=5.25元</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转入份额＝（10,494.75－0）/1.195= 8782.22份</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即：某基金份额持有人持有10,000 份N基金份额1年后（未满2 年）决定转换为M基金份额，假设转换当日转出基金份额净值是1.050元，转入基金的基金份额净值是1.195元，则可得到的转换份额为8782.22份。</w:t>
      </w:r>
    </w:p>
    <w:p w:rsidR="000D4E53" w:rsidRDefault="009F1A17">
      <w:pPr>
        <w:spacing w:before="156" w:after="156"/>
        <w:rPr>
          <w:b/>
        </w:rPr>
      </w:pPr>
      <w:r>
        <w:rPr>
          <w:b/>
        </w:rPr>
        <w:t xml:space="preserve">5.2 </w:t>
      </w:r>
      <w:r>
        <w:rPr>
          <w:rFonts w:hint="eastAsia"/>
          <w:b/>
        </w:rPr>
        <w:t>其他与转换相关的事项</w:t>
      </w:r>
    </w:p>
    <w:p w:rsidR="000D4E53" w:rsidRDefault="009F1A17" w:rsidP="003208E4">
      <w:pPr>
        <w:pStyle w:val="2"/>
        <w:spacing w:beforeLines="50" w:afterLines="50" w:line="240" w:lineRule="auto"/>
        <w:ind w:firstLineChars="200" w:firstLine="422"/>
        <w:jc w:val="left"/>
        <w:rPr>
          <w:rFonts w:ascii="宋体" w:eastAsia="宋体" w:hAnsi="宋体" w:cs="宋体"/>
          <w:bCs/>
          <w:szCs w:val="21"/>
        </w:rPr>
      </w:pPr>
      <w:r>
        <w:rPr>
          <w:rFonts w:ascii="宋体" w:eastAsia="宋体" w:hAnsi="宋体" w:cs="宋体" w:hint="eastAsia"/>
          <w:bCs/>
          <w:sz w:val="21"/>
          <w:szCs w:val="21"/>
        </w:rPr>
        <w:t>（1）转换业务规则</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转换的两只基金必须都是由同一销售机构销售、同一基金管理人管理、并在同一注册登记机构处注册登记的基金。投资者办理基金转换业务时，转出方的基金必须处于可赎回状态，转入方的基金必须处于可申购状态。除兴业稳天盈货币市场基金外，同一基金不同类别基金份额间不开放相互转换业务。</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投资者可在基金开放日申请办理基金转换业务，具体办理时间与基金申购、赎回业务办理时间相同。本公司公告暂停申购、赎回或转换时除外。</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交易限额参见相关基金招募说明书和相关公告中对申购和赎回限额的规定。</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投资者提出的基金转换申请，在当日交易时间结束前可以撤销，交易时间结束后不得撤销。</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基金转换采取未知价法，即基金的转换价格以申请受理当日各转出、转入基金的基金份额净值为基础进行计算。</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基金转换以份额为单位进行申请，遵循“先进先出”的原则，即份额注册日期在前的先转换出，份额注册日期在后的后转换出。基金转换申请转出的基金份额必须是可用份额。</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注册登记机构以收到有效转换申请的当天作为转换申请日（T日）。正常情况下，转换基金成功的，注册登记机构将在T＋1日对投资者T日的基金转换业务申请进行有效性确认，办理转出基金的权益扣除以及转入基金的权益登记，投资者可自T+2日起向销售机构查询基金转换的成交情况，并有权转换或赎回转入部分的基金份额。</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申请基金转换须满足各基金的基金合同及招募说明书关于基金最低持有份额的规定，如果某笔转换申请导致投资者在单个交易账户的基金份额余额少于转出基金最低保留余额限制，基金管理人有权将投资者在该个交易账户的该基金剩余份额一次性全部赎回。</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基金份额持有人可将其全部或部分基金份额转换成其他基金，单笔转换申请必须满足各基金的招募说明书等法律文件中关于基金最低交易份额的规定。</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如单个开放日发生巨额赎回时，基金转出与基金赎回具有相同的优先级，基金管理人可根据基金资产组合情况，决定全额转出或部分转出，并且对于基金转出和基金赎回，将采取相同的比例确认（另行公告除外）。巨额赎回定义以各基金的基金合同等法律文件中相关规定为准。</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基金转换后，转入基金份额的持有时间将重新计算，即转入的基金份额的持有期将自转入的基金份额被确认日起重新开始计算。</w:t>
      </w:r>
    </w:p>
    <w:p w:rsidR="000D4E53" w:rsidRDefault="009F1A17">
      <w:pPr>
        <w:spacing w:line="360" w:lineRule="auto"/>
        <w:ind w:firstLineChars="200" w:firstLine="420"/>
        <w:rPr>
          <w:rFonts w:ascii="宋体" w:hAnsi="宋体" w:cs="宋体"/>
          <w:szCs w:val="21"/>
        </w:rPr>
      </w:pPr>
      <w:r>
        <w:rPr>
          <w:rFonts w:hint="eastAsia"/>
          <w:szCs w:val="21"/>
        </w:rPr>
        <w:t>基金管理人可以根据市场情况在不违反有关法律法规和基金合同的规定之前提下调整上述转换的业务规则及有关限制。</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（2）可转换基金</w:t>
      </w:r>
    </w:p>
    <w:p w:rsidR="000D4E53" w:rsidRDefault="009F1A17">
      <w:pPr>
        <w:spacing w:line="360" w:lineRule="auto"/>
        <w:ind w:firstLineChars="200" w:firstLine="420"/>
        <w:rPr>
          <w:rFonts w:ascii="宋体" w:hAnsi="宋体" w:cs="宋体"/>
          <w:szCs w:val="21"/>
        </w:rPr>
      </w:pPr>
      <w:r>
        <w:rPr>
          <w:rFonts w:hint="eastAsia"/>
          <w:szCs w:val="21"/>
        </w:rPr>
        <w:t>本基金开通与截至本公告披露时本公司旗下除</w:t>
      </w:r>
      <w:r>
        <w:rPr>
          <w:rFonts w:hint="eastAsia"/>
          <w:szCs w:val="21"/>
        </w:rPr>
        <w:t>FOF</w:t>
      </w:r>
      <w:r>
        <w:rPr>
          <w:rFonts w:hint="eastAsia"/>
          <w:szCs w:val="21"/>
        </w:rPr>
        <w:t>型基金外的其他开放式基金（由同一注册登记机构办理注册登记的、且已公告开通基金转换业务）之间的转换业务，各基金转换业务的开放状态及交易限制详见相关公告。</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（3）业务办理机构</w:t>
      </w:r>
    </w:p>
    <w:p w:rsidR="000D4E53" w:rsidRDefault="009F1A17">
      <w:pPr>
        <w:spacing w:line="360" w:lineRule="auto"/>
        <w:ind w:firstLine="420"/>
        <w:rPr>
          <w:rFonts w:ascii="宋体" w:hAnsi="宋体" w:cs="宋体"/>
          <w:szCs w:val="21"/>
        </w:rPr>
      </w:pPr>
      <w:r>
        <w:rPr>
          <w:rFonts w:ascii="宋体" w:hAnsi="宋体" w:cs="宋体" w:hint="eastAsia"/>
          <w:szCs w:val="21"/>
        </w:rPr>
        <w:t>本公司开通本基金转换业务。本基金销售机构是否支持办理本基金的转换业务及具体转换办法以各销售机构规定为准。</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投资者须到同时销售拟转出和转入基金的同一销售机构办理基金的转换业务。</w:t>
      </w:r>
    </w:p>
    <w:p w:rsidR="000D4E53" w:rsidRDefault="009F1A17" w:rsidP="003208E4">
      <w:pPr>
        <w:pStyle w:val="2"/>
        <w:spacing w:beforeLines="50" w:afterLines="50" w:line="240" w:lineRule="auto"/>
        <w:jc w:val="left"/>
        <w:rPr>
          <w:rFonts w:ascii="宋体" w:eastAsia="宋体" w:hAnsi="宋体" w:cs="宋体"/>
          <w:bCs/>
          <w:sz w:val="21"/>
          <w:szCs w:val="21"/>
        </w:rPr>
      </w:pPr>
      <w:r>
        <w:rPr>
          <w:rFonts w:ascii="宋体" w:eastAsia="宋体" w:hAnsi="宋体" w:cs="宋体"/>
          <w:bCs/>
          <w:sz w:val="21"/>
          <w:szCs w:val="21"/>
        </w:rPr>
        <w:t>6.</w:t>
      </w:r>
      <w:r>
        <w:rPr>
          <w:rFonts w:ascii="宋体" w:eastAsia="宋体" w:hAnsi="宋体" w:cs="宋体" w:hint="eastAsia"/>
          <w:bCs/>
          <w:sz w:val="21"/>
          <w:szCs w:val="21"/>
        </w:rPr>
        <w:t>定期定额投资业务</w:t>
      </w:r>
    </w:p>
    <w:p w:rsidR="000D4E53" w:rsidRDefault="009F1A17" w:rsidP="003208E4">
      <w:pPr>
        <w:pStyle w:val="2"/>
        <w:spacing w:beforeLines="50" w:afterLines="50" w:line="240" w:lineRule="auto"/>
        <w:jc w:val="left"/>
        <w:rPr>
          <w:rFonts w:ascii="宋体" w:eastAsia="宋体" w:hAnsi="宋体" w:cs="宋体"/>
          <w:bCs/>
          <w:szCs w:val="21"/>
        </w:rPr>
      </w:pPr>
      <w:r>
        <w:rPr>
          <w:rFonts w:ascii="宋体" w:eastAsia="宋体" w:hAnsi="宋体" w:cs="宋体"/>
          <w:bCs/>
          <w:sz w:val="21"/>
          <w:szCs w:val="21"/>
        </w:rPr>
        <w:t xml:space="preserve">6.1 </w:t>
      </w:r>
      <w:r>
        <w:rPr>
          <w:rFonts w:ascii="宋体" w:eastAsia="宋体" w:hAnsi="宋体" w:cs="宋体" w:hint="eastAsia"/>
          <w:bCs/>
          <w:sz w:val="21"/>
          <w:szCs w:val="21"/>
        </w:rPr>
        <w:t>定投业务办理方式</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投资者开立基金账户后即可到开通定投业务的销售机构办理本基金的基金定投业务，具体安排请遵循各销售机构的相关规定。</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 xml:space="preserve">（1）投资者应和销售机构约定扣款日期；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 xml:space="preserve">（2）销售机构将按照投资者申请时约定的每期扣款日、申购金额扣款，如遇非基金开放日则以销售机构的相关规定为准，并将投资者申购的实际扣款日期视为基金申购申请日（T 日）；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 xml:space="preserve">（3）投资者需指定销售机构认可的资金账户作为每期固定扣款账户；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（4）投资者办理上述基金的定投业务，每期最低定投金额与产品申购起点保持一致。在不低于产品申购起点的情形下，如销售机构对最低定投金额有其他规定，则以销售机构的业务规定为准。</w:t>
      </w:r>
    </w:p>
    <w:p w:rsidR="000D4E53" w:rsidRDefault="009F1A17" w:rsidP="003208E4">
      <w:pPr>
        <w:pStyle w:val="2"/>
        <w:spacing w:beforeLines="50" w:afterLines="50" w:line="240" w:lineRule="auto"/>
        <w:jc w:val="left"/>
        <w:rPr>
          <w:rFonts w:ascii="宋体" w:eastAsia="宋体" w:hAnsi="宋体" w:cs="宋体"/>
          <w:bCs/>
          <w:szCs w:val="21"/>
        </w:rPr>
      </w:pPr>
      <w:r>
        <w:rPr>
          <w:rFonts w:ascii="宋体" w:eastAsia="宋体" w:hAnsi="宋体" w:cs="宋体"/>
          <w:bCs/>
          <w:sz w:val="21"/>
          <w:szCs w:val="21"/>
        </w:rPr>
        <w:t>6</w:t>
      </w:r>
      <w:r>
        <w:rPr>
          <w:rFonts w:ascii="宋体" w:eastAsia="宋体" w:hAnsi="宋体" w:cs="宋体" w:hint="eastAsia"/>
          <w:bCs/>
          <w:sz w:val="21"/>
          <w:szCs w:val="21"/>
        </w:rPr>
        <w:t xml:space="preserve">.2扣款与交易确认 </w:t>
      </w:r>
    </w:p>
    <w:p w:rsidR="000D4E53" w:rsidRDefault="009F1A17">
      <w:pPr>
        <w:spacing w:line="360" w:lineRule="auto"/>
        <w:ind w:firstLineChars="200" w:firstLine="420"/>
        <w:rPr>
          <w:rFonts w:ascii="宋体" w:hAnsi="宋体" w:cs="宋体"/>
          <w:szCs w:val="21"/>
        </w:rPr>
      </w:pPr>
      <w:r>
        <w:rPr>
          <w:rFonts w:ascii="宋体" w:hAnsi="宋体" w:cs="宋体" w:hint="eastAsia"/>
          <w:szCs w:val="21"/>
        </w:rPr>
        <w:t>本基金的基金注册登记机构按照基金申购日（T</w:t>
      </w:r>
      <w:r>
        <w:rPr>
          <w:rFonts w:ascii="宋体" w:hAnsi="宋体" w:cs="宋体"/>
          <w:szCs w:val="21"/>
        </w:rPr>
        <w:t xml:space="preserve"> </w:t>
      </w:r>
      <w:r>
        <w:rPr>
          <w:rFonts w:ascii="宋体" w:hAnsi="宋体" w:cs="宋体" w:hint="eastAsia"/>
          <w:szCs w:val="21"/>
        </w:rPr>
        <w:t>日）的基金份额净值为基准计算申购份额，在正常情况下，申购份额将在</w:t>
      </w:r>
      <w:r>
        <w:rPr>
          <w:rFonts w:ascii="宋体" w:hAnsi="宋体" w:cs="宋体"/>
          <w:szCs w:val="21"/>
        </w:rPr>
        <w:t xml:space="preserve"> T+1 </w:t>
      </w:r>
      <w:r>
        <w:rPr>
          <w:rFonts w:ascii="宋体" w:hAnsi="宋体" w:cs="宋体" w:hint="eastAsia"/>
          <w:szCs w:val="21"/>
        </w:rPr>
        <w:t>日确认，投资者可自</w:t>
      </w:r>
      <w:r>
        <w:rPr>
          <w:rFonts w:ascii="宋体" w:hAnsi="宋体" w:cs="宋体"/>
          <w:szCs w:val="21"/>
        </w:rPr>
        <w:t xml:space="preserve"> T+2 </w:t>
      </w:r>
      <w:r>
        <w:rPr>
          <w:rFonts w:ascii="宋体" w:hAnsi="宋体" w:cs="宋体" w:hint="eastAsia"/>
          <w:szCs w:val="21"/>
        </w:rPr>
        <w:t>日起查询申购成交情况。</w:t>
      </w:r>
    </w:p>
    <w:p w:rsidR="000D4E53" w:rsidRDefault="009F1A17" w:rsidP="003208E4">
      <w:pPr>
        <w:pStyle w:val="2"/>
        <w:spacing w:beforeLines="50" w:afterLines="50" w:line="240" w:lineRule="auto"/>
        <w:jc w:val="left"/>
        <w:rPr>
          <w:rFonts w:ascii="宋体" w:eastAsia="宋体" w:hAnsi="宋体" w:cs="宋体"/>
          <w:bCs/>
          <w:szCs w:val="21"/>
        </w:rPr>
      </w:pPr>
      <w:r>
        <w:rPr>
          <w:rFonts w:ascii="宋体" w:eastAsia="宋体" w:hAnsi="宋体" w:cs="宋体"/>
          <w:bCs/>
          <w:sz w:val="21"/>
          <w:szCs w:val="21"/>
        </w:rPr>
        <w:t>6</w:t>
      </w:r>
      <w:r>
        <w:rPr>
          <w:rFonts w:ascii="宋体" w:eastAsia="宋体" w:hAnsi="宋体" w:cs="宋体" w:hint="eastAsia"/>
          <w:bCs/>
          <w:sz w:val="21"/>
          <w:szCs w:val="21"/>
        </w:rPr>
        <w:t xml:space="preserve">.3变更与解约 </w:t>
      </w:r>
    </w:p>
    <w:p w:rsidR="000D4E53" w:rsidRDefault="009F1A17">
      <w:pPr>
        <w:spacing w:before="156" w:after="156" w:line="360" w:lineRule="auto"/>
        <w:ind w:firstLineChars="200" w:firstLine="420"/>
        <w:rPr>
          <w:rFonts w:ascii="宋体" w:hAnsi="宋体" w:cs="宋体"/>
          <w:szCs w:val="21"/>
        </w:rPr>
      </w:pPr>
      <w:r>
        <w:rPr>
          <w:rFonts w:ascii="宋体" w:hAnsi="宋体" w:cs="宋体" w:hint="eastAsia"/>
          <w:szCs w:val="21"/>
        </w:rPr>
        <w:t>投资者欲变更每期申购金额、扣款日期、扣款方式或终止定投业务，请遵循销售机构的相关规定。</w:t>
      </w:r>
    </w:p>
    <w:p w:rsidR="000D4E53" w:rsidRDefault="009F1A17" w:rsidP="003208E4">
      <w:pPr>
        <w:pStyle w:val="2"/>
        <w:spacing w:beforeLines="50" w:afterLines="50" w:line="240" w:lineRule="auto"/>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bCs/>
          <w:sz w:val="21"/>
          <w:szCs w:val="21"/>
        </w:rPr>
        <w:t>7</w:t>
      </w:r>
      <w:r>
        <w:rPr>
          <w:rFonts w:asciiTheme="minorEastAsia" w:eastAsiaTheme="minorEastAsia" w:hAnsiTheme="minorEastAsia" w:cstheme="minorEastAsia" w:hint="eastAsia"/>
          <w:bCs/>
          <w:sz w:val="21"/>
          <w:szCs w:val="21"/>
        </w:rPr>
        <w:t xml:space="preserve"> 基金销售机构</w:t>
      </w:r>
    </w:p>
    <w:p w:rsidR="000D4E53" w:rsidRDefault="009F1A17" w:rsidP="003208E4">
      <w:pPr>
        <w:spacing w:beforeLines="50" w:afterLines="50"/>
        <w:jc w:val="left"/>
        <w:rPr>
          <w:rFonts w:asciiTheme="minorEastAsia" w:eastAsiaTheme="minorEastAsia" w:hAnsiTheme="minorEastAsia" w:cstheme="minorEastAsia"/>
          <w:b/>
          <w:szCs w:val="21"/>
        </w:rPr>
      </w:pPr>
      <w:r>
        <w:rPr>
          <w:rFonts w:asciiTheme="minorEastAsia" w:eastAsiaTheme="minorEastAsia" w:hAnsiTheme="minorEastAsia" w:cstheme="minorEastAsia"/>
          <w:b/>
          <w:szCs w:val="21"/>
        </w:rPr>
        <w:t>7</w:t>
      </w:r>
      <w:r>
        <w:rPr>
          <w:rFonts w:asciiTheme="minorEastAsia" w:eastAsiaTheme="minorEastAsia" w:hAnsiTheme="minorEastAsia" w:cstheme="minorEastAsia" w:hint="eastAsia"/>
          <w:b/>
          <w:szCs w:val="21"/>
        </w:rPr>
        <w:t>.1</w:t>
      </w:r>
      <w:bookmarkStart w:id="18" w:name="t_2_7_table"/>
      <w:bookmarkEnd w:id="18"/>
      <w:r>
        <w:rPr>
          <w:rFonts w:asciiTheme="minorEastAsia" w:eastAsiaTheme="minorEastAsia" w:hAnsiTheme="minorEastAsia" w:cstheme="minorEastAsia" w:hint="eastAsia"/>
          <w:b/>
          <w:szCs w:val="21"/>
        </w:rPr>
        <w:t xml:space="preserve"> 场外销售机构</w:t>
      </w:r>
    </w:p>
    <w:p w:rsidR="000D4E53" w:rsidRDefault="009F1A17" w:rsidP="003208E4">
      <w:pPr>
        <w:spacing w:beforeLines="50" w:afterLines="50"/>
        <w:rPr>
          <w:rFonts w:asciiTheme="minorEastAsia" w:eastAsiaTheme="minorEastAsia" w:hAnsiTheme="minorEastAsia" w:cstheme="minorEastAsia"/>
          <w:b/>
          <w:szCs w:val="21"/>
        </w:rPr>
      </w:pPr>
      <w:r>
        <w:rPr>
          <w:rFonts w:asciiTheme="minorEastAsia" w:eastAsiaTheme="minorEastAsia" w:hAnsiTheme="minorEastAsia" w:cstheme="minorEastAsia"/>
          <w:b/>
          <w:szCs w:val="21"/>
        </w:rPr>
        <w:t>7</w:t>
      </w:r>
      <w:r>
        <w:rPr>
          <w:rFonts w:asciiTheme="minorEastAsia" w:eastAsiaTheme="minorEastAsia" w:hAnsiTheme="minorEastAsia" w:cstheme="minorEastAsia" w:hint="eastAsia"/>
          <w:b/>
          <w:szCs w:val="21"/>
        </w:rPr>
        <w:t>.1.1 直销机构</w:t>
      </w:r>
    </w:p>
    <w:p w:rsidR="000D4E53" w:rsidRDefault="009F1A17">
      <w:pPr>
        <w:spacing w:line="360" w:lineRule="auto"/>
        <w:ind w:firstLineChars="200" w:firstLine="420"/>
        <w:rPr>
          <w:rFonts w:asciiTheme="minorEastAsia" w:eastAsiaTheme="minorEastAsia" w:hAnsiTheme="minorEastAsia" w:cstheme="minorEastAsia"/>
          <w:szCs w:val="21"/>
        </w:rPr>
      </w:pPr>
      <w:bookmarkStart w:id="19" w:name="t_2_7_2833_a1_fm1"/>
      <w:bookmarkEnd w:id="19"/>
      <w:r>
        <w:rPr>
          <w:rFonts w:asciiTheme="minorEastAsia" w:eastAsiaTheme="minorEastAsia" w:hAnsiTheme="minorEastAsia" w:cstheme="minorEastAsia"/>
          <w:szCs w:val="21"/>
        </w:rPr>
        <w:t>名称：</w:t>
      </w:r>
      <w:r>
        <w:rPr>
          <w:rFonts w:asciiTheme="minorEastAsia" w:eastAsiaTheme="minorEastAsia" w:hAnsiTheme="minorEastAsia" w:cstheme="minorEastAsia" w:hint="eastAsia"/>
          <w:szCs w:val="21"/>
        </w:rPr>
        <w:t>兴业</w:t>
      </w:r>
      <w:r>
        <w:rPr>
          <w:rFonts w:asciiTheme="minorEastAsia" w:eastAsiaTheme="minorEastAsia" w:hAnsiTheme="minorEastAsia" w:cstheme="minorEastAsia"/>
          <w:szCs w:val="21"/>
        </w:rPr>
        <w:t>基金管理有限公司直销中心</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住所</w:t>
      </w:r>
      <w:r>
        <w:rPr>
          <w:rFonts w:asciiTheme="minorEastAsia" w:eastAsiaTheme="minorEastAsia" w:hAnsiTheme="minorEastAsia" w:cstheme="minorEastAsia"/>
          <w:szCs w:val="21"/>
        </w:rPr>
        <w:t xml:space="preserve">: </w:t>
      </w:r>
      <w:r>
        <w:rPr>
          <w:rFonts w:asciiTheme="minorEastAsia" w:eastAsiaTheme="minorEastAsia" w:hAnsiTheme="minorEastAsia" w:cstheme="minorEastAsia" w:hint="eastAsia"/>
          <w:szCs w:val="21"/>
        </w:rPr>
        <w:t>福建省福州市鼓楼区五四路</w:t>
      </w:r>
      <w:r>
        <w:rPr>
          <w:rFonts w:asciiTheme="minorEastAsia" w:eastAsiaTheme="minorEastAsia" w:hAnsiTheme="minorEastAsia" w:cstheme="minorEastAsia"/>
          <w:szCs w:val="21"/>
        </w:rPr>
        <w:t>137号信和广场25楼</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r w:rsidR="00B83181">
        <w:rPr>
          <w:rFonts w:asciiTheme="minorEastAsia" w:eastAsiaTheme="minorEastAsia" w:hAnsiTheme="minorEastAsia" w:cstheme="minorEastAsia" w:hint="eastAsia"/>
          <w:szCs w:val="21"/>
        </w:rPr>
        <w:t>刘宗治</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地址：</w:t>
      </w:r>
      <w:r>
        <w:rPr>
          <w:rFonts w:asciiTheme="minorEastAsia" w:eastAsiaTheme="minorEastAsia" w:hAnsiTheme="minorEastAsia" w:cstheme="minorEastAsia" w:hint="eastAsia"/>
          <w:szCs w:val="21"/>
        </w:rPr>
        <w:t>上海市浦东新区银城路167号13、14层</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联系人：</w:t>
      </w:r>
      <w:r>
        <w:rPr>
          <w:rFonts w:asciiTheme="minorEastAsia" w:eastAsiaTheme="minorEastAsia" w:hAnsiTheme="minorEastAsia" w:cstheme="minorEastAsia" w:hint="eastAsia"/>
          <w:szCs w:val="21"/>
        </w:rPr>
        <w:t>王珏</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咨询电话：021-22211</w:t>
      </w:r>
      <w:r>
        <w:rPr>
          <w:rFonts w:asciiTheme="minorEastAsia" w:eastAsiaTheme="minorEastAsia" w:hAnsiTheme="minorEastAsia" w:cstheme="minorEastAsia" w:hint="eastAsia"/>
          <w:szCs w:val="21"/>
        </w:rPr>
        <w:t>885</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传真：021-222119</w:t>
      </w:r>
      <w:r>
        <w:rPr>
          <w:rFonts w:asciiTheme="minorEastAsia" w:eastAsiaTheme="minorEastAsia" w:hAnsiTheme="minorEastAsia" w:cstheme="minorEastAsia" w:hint="eastAsia"/>
          <w:szCs w:val="21"/>
        </w:rPr>
        <w:t>97</w:t>
      </w:r>
    </w:p>
    <w:p w:rsidR="000D4E53" w:rsidRDefault="009F1A1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网址：</w:t>
      </w:r>
      <w:hyperlink r:id="rId7" w:history="1">
        <w:r>
          <w:rPr>
            <w:rStyle w:val="ab"/>
            <w:rFonts w:asciiTheme="minorEastAsia" w:eastAsiaTheme="minorEastAsia" w:hAnsiTheme="minorEastAsia" w:cstheme="minorEastAsia" w:hint="eastAsia"/>
            <w:szCs w:val="21"/>
          </w:rPr>
          <w:t>http://www.</w:t>
        </w:r>
        <w:r>
          <w:rPr>
            <w:rStyle w:val="ab"/>
            <w:rFonts w:asciiTheme="minorEastAsia" w:eastAsiaTheme="minorEastAsia" w:hAnsiTheme="minorEastAsia" w:cstheme="minorEastAsia"/>
            <w:szCs w:val="21"/>
          </w:rPr>
          <w:t>cib-fund.com.cn/</w:t>
        </w:r>
      </w:hyperlink>
    </w:p>
    <w:p w:rsidR="000D4E53" w:rsidRDefault="009F1A17" w:rsidP="003208E4">
      <w:pPr>
        <w:spacing w:beforeLines="50" w:afterLines="50"/>
        <w:jc w:val="left"/>
        <w:rPr>
          <w:rFonts w:asciiTheme="minorEastAsia" w:eastAsiaTheme="minorEastAsia" w:hAnsiTheme="minorEastAsia" w:cstheme="minorEastAsia"/>
          <w:b/>
          <w:szCs w:val="21"/>
        </w:rPr>
      </w:pPr>
      <w:r>
        <w:rPr>
          <w:rFonts w:asciiTheme="minorEastAsia" w:eastAsiaTheme="minorEastAsia" w:hAnsiTheme="minorEastAsia" w:cstheme="minorEastAsia"/>
          <w:b/>
          <w:szCs w:val="21"/>
        </w:rPr>
        <w:t>7</w:t>
      </w:r>
      <w:r>
        <w:rPr>
          <w:rFonts w:asciiTheme="minorEastAsia" w:eastAsiaTheme="minorEastAsia" w:hAnsiTheme="minorEastAsia" w:cstheme="minorEastAsia" w:hint="eastAsia"/>
          <w:b/>
          <w:szCs w:val="21"/>
        </w:rPr>
        <w:t>.1.2 场外非直销机构</w:t>
      </w:r>
    </w:p>
    <w:p w:rsidR="000D4E53" w:rsidRDefault="009F1A17" w:rsidP="003208E4">
      <w:pPr>
        <w:spacing w:beforeLines="50" w:afterLines="50" w:line="360" w:lineRule="auto"/>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本基金非直销销售机构信息详见基金管理人网站公示，敬请投资者留意。</w:t>
      </w:r>
    </w:p>
    <w:p w:rsidR="000D4E53" w:rsidRDefault="009F1A17" w:rsidP="003208E4">
      <w:pPr>
        <w:spacing w:beforeLines="50" w:afterLines="50" w:line="360" w:lineRule="auto"/>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0D4E53" w:rsidRDefault="009F1A17" w:rsidP="003208E4">
      <w:pPr>
        <w:spacing w:beforeLines="50" w:afterLines="50"/>
        <w:jc w:val="left"/>
        <w:rPr>
          <w:rFonts w:asciiTheme="minorEastAsia" w:eastAsiaTheme="minorEastAsia" w:hAnsiTheme="minorEastAsia" w:cstheme="minorEastAsia"/>
          <w:b/>
          <w:szCs w:val="21"/>
        </w:rPr>
      </w:pPr>
      <w:r>
        <w:rPr>
          <w:rFonts w:asciiTheme="minorEastAsia" w:eastAsiaTheme="minorEastAsia" w:hAnsiTheme="minorEastAsia" w:cstheme="minorEastAsia"/>
          <w:b/>
          <w:szCs w:val="21"/>
        </w:rPr>
        <w:t>7</w:t>
      </w:r>
      <w:r>
        <w:rPr>
          <w:rFonts w:asciiTheme="minorEastAsia" w:eastAsiaTheme="minorEastAsia" w:hAnsiTheme="minorEastAsia" w:cstheme="minorEastAsia" w:hint="eastAsia"/>
          <w:b/>
          <w:szCs w:val="21"/>
        </w:rPr>
        <w:t>.2 场内销售机构</w:t>
      </w:r>
    </w:p>
    <w:p w:rsidR="000D4E53" w:rsidRDefault="009F1A17">
      <w:pPr>
        <w:spacing w:line="360" w:lineRule="auto"/>
        <w:ind w:firstLineChars="200" w:firstLine="420"/>
        <w:jc w:val="left"/>
        <w:rPr>
          <w:rFonts w:asciiTheme="minorEastAsia" w:eastAsiaTheme="minorEastAsia" w:hAnsiTheme="minorEastAsia" w:cstheme="minorEastAsia"/>
          <w:szCs w:val="21"/>
        </w:rPr>
      </w:pPr>
      <w:bookmarkStart w:id="20" w:name="t_2_7_2835_a1_fm1"/>
      <w:bookmarkEnd w:id="20"/>
      <w:r>
        <w:rPr>
          <w:rFonts w:asciiTheme="minorEastAsia" w:eastAsiaTheme="minorEastAsia" w:hAnsiTheme="minorEastAsia" w:cstheme="minorEastAsia" w:hint="eastAsia"/>
          <w:szCs w:val="21"/>
        </w:rPr>
        <w:t>无</w:t>
      </w:r>
    </w:p>
    <w:p w:rsidR="000D4E53" w:rsidRDefault="009F1A17" w:rsidP="003208E4">
      <w:pPr>
        <w:pStyle w:val="2"/>
        <w:spacing w:beforeLines="50" w:afterLines="50" w:line="240" w:lineRule="auto"/>
        <w:jc w:val="left"/>
        <w:rPr>
          <w:rFonts w:asciiTheme="minorEastAsia" w:eastAsiaTheme="minorEastAsia" w:hAnsiTheme="minorEastAsia" w:cstheme="minorEastAsia"/>
          <w:bCs/>
          <w:sz w:val="21"/>
          <w:szCs w:val="21"/>
        </w:rPr>
      </w:pPr>
      <w:bookmarkStart w:id="21" w:name="t_2_8_table"/>
      <w:bookmarkEnd w:id="21"/>
      <w:r>
        <w:rPr>
          <w:rFonts w:asciiTheme="minorEastAsia" w:eastAsiaTheme="minorEastAsia" w:hAnsiTheme="minorEastAsia" w:cstheme="minorEastAsia"/>
          <w:bCs/>
          <w:sz w:val="21"/>
          <w:szCs w:val="21"/>
        </w:rPr>
        <w:t xml:space="preserve">8 </w:t>
      </w:r>
      <w:r>
        <w:rPr>
          <w:rFonts w:asciiTheme="minorEastAsia" w:eastAsiaTheme="minorEastAsia" w:hAnsiTheme="minorEastAsia" w:cstheme="minorEastAsia" w:hint="eastAsia"/>
          <w:bCs/>
          <w:sz w:val="21"/>
          <w:szCs w:val="21"/>
        </w:rPr>
        <w:t>基金份额净值公告/基金收益公告的披露安排</w:t>
      </w:r>
    </w:p>
    <w:p w:rsidR="000D4E53" w:rsidRDefault="009F1A17">
      <w:pPr>
        <w:pStyle w:val="Default"/>
        <w:spacing w:line="360" w:lineRule="auto"/>
        <w:ind w:firstLineChars="200" w:firstLine="420"/>
        <w:rPr>
          <w:rFonts w:asciiTheme="minorEastAsia" w:eastAsiaTheme="minorEastAsia" w:hAnsiTheme="minorEastAsia" w:cstheme="minorEastAsia"/>
          <w:kern w:val="2"/>
          <w:sz w:val="21"/>
          <w:szCs w:val="21"/>
        </w:rPr>
      </w:pPr>
      <w:bookmarkStart w:id="22" w:name="t_2_8_2756_a1_fm1"/>
      <w:bookmarkEnd w:id="22"/>
      <w:r>
        <w:rPr>
          <w:rFonts w:asciiTheme="minorEastAsia" w:eastAsiaTheme="minorEastAsia" w:hAnsiTheme="minorEastAsia" w:cstheme="minorEastAsia" w:hint="eastAsia"/>
          <w:kern w:val="2"/>
          <w:sz w:val="21"/>
          <w:szCs w:val="21"/>
        </w:rPr>
        <w:t>《基金合同》生效后，在封闭期内，基金管理人应当至少每周在指定网站披露一次基金份额净值和基金份额累计净值。在开放期内，基金管理人应当在不晚于每个开放日的次日，通过指定网站、基金销售机构网站或者营业网点，披露开放日的基金份额净值和基金份额累计净值。基金管理人应当在不晚于半年度和年度最后一日的次日，在指定网站披露半年度和年度最后一日的基金份额净值和基金份额累计净值。</w:t>
      </w:r>
    </w:p>
    <w:p w:rsidR="000D4E53" w:rsidRDefault="009F1A17">
      <w:pPr>
        <w:pStyle w:val="Default"/>
        <w:spacing w:line="360" w:lineRule="auto"/>
        <w:rPr>
          <w:rFonts w:asciiTheme="minorEastAsia" w:eastAsiaTheme="minorEastAsia" w:hAnsiTheme="minorEastAsia" w:cstheme="minorEastAsia"/>
          <w:b/>
          <w:bCs/>
          <w:color w:val="auto"/>
          <w:kern w:val="2"/>
          <w:sz w:val="21"/>
          <w:szCs w:val="21"/>
        </w:rPr>
      </w:pPr>
      <w:r>
        <w:rPr>
          <w:rFonts w:asciiTheme="minorEastAsia" w:eastAsiaTheme="minorEastAsia" w:hAnsiTheme="minorEastAsia" w:cstheme="minorEastAsia"/>
          <w:b/>
          <w:bCs/>
          <w:color w:val="auto"/>
          <w:kern w:val="2"/>
          <w:sz w:val="21"/>
          <w:szCs w:val="21"/>
        </w:rPr>
        <w:t xml:space="preserve">9 </w:t>
      </w:r>
      <w:r>
        <w:rPr>
          <w:rFonts w:asciiTheme="minorEastAsia" w:eastAsiaTheme="minorEastAsia" w:hAnsiTheme="minorEastAsia" w:cstheme="minorEastAsia" w:hint="eastAsia"/>
          <w:b/>
          <w:bCs/>
          <w:color w:val="auto"/>
          <w:kern w:val="2"/>
          <w:sz w:val="21"/>
          <w:szCs w:val="21"/>
        </w:rPr>
        <w:t>其他需要提示的事项</w:t>
      </w:r>
    </w:p>
    <w:p w:rsidR="000D4E53" w:rsidRDefault="009F1A17">
      <w:pPr>
        <w:spacing w:line="360" w:lineRule="auto"/>
        <w:ind w:firstLineChars="200" w:firstLine="420"/>
        <w:jc w:val="left"/>
        <w:rPr>
          <w:rFonts w:asciiTheme="minorEastAsia" w:eastAsiaTheme="minorEastAsia" w:hAnsiTheme="minorEastAsia" w:cstheme="minorEastAsia"/>
          <w:szCs w:val="21"/>
        </w:rPr>
      </w:pPr>
      <w:bookmarkStart w:id="23" w:name="t_2_9_2646_a1_fm1"/>
      <w:bookmarkEnd w:id="23"/>
      <w:r>
        <w:rPr>
          <w:rFonts w:asciiTheme="minorEastAsia" w:eastAsiaTheme="minorEastAsia" w:hAnsiTheme="minorEastAsia" w:cstheme="minorEastAsia" w:hint="eastAsia"/>
          <w:szCs w:val="21"/>
        </w:rPr>
        <w:t>本基金不向个人投资者销售。</w:t>
      </w:r>
    </w:p>
    <w:p w:rsidR="000D4E53" w:rsidRDefault="009F1A17">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如有任何疑问，请与本基金直销机构或本公司联系。</w:t>
      </w:r>
    </w:p>
    <w:p w:rsidR="000D4E53" w:rsidRDefault="009F1A17">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本公司客户服务中心电话：</w:t>
      </w:r>
    </w:p>
    <w:p w:rsidR="000D4E53" w:rsidRDefault="0037537B">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40000</w:t>
      </w:r>
      <w:r w:rsidR="009B3B46">
        <w:rPr>
          <w:rFonts w:asciiTheme="minorEastAsia" w:eastAsiaTheme="minorEastAsia" w:hAnsiTheme="minorEastAsia" w:cstheme="minorEastAsia"/>
          <w:szCs w:val="21"/>
        </w:rPr>
        <w:t>-</w:t>
      </w:r>
      <w:bookmarkStart w:id="24" w:name="_GoBack"/>
      <w:bookmarkEnd w:id="24"/>
      <w:r>
        <w:rPr>
          <w:rFonts w:asciiTheme="minorEastAsia" w:eastAsiaTheme="minorEastAsia" w:hAnsiTheme="minorEastAsia" w:cstheme="minorEastAsia" w:hint="eastAsia"/>
          <w:szCs w:val="21"/>
        </w:rPr>
        <w:t>9</w:t>
      </w:r>
      <w:r w:rsidR="009F1A17">
        <w:rPr>
          <w:rFonts w:asciiTheme="minorEastAsia" w:eastAsiaTheme="minorEastAsia" w:hAnsiTheme="minorEastAsia" w:cstheme="minorEastAsia" w:hint="eastAsia"/>
          <w:szCs w:val="21"/>
        </w:rPr>
        <w:t>5561、021-22211885</w:t>
      </w:r>
    </w:p>
    <w:p w:rsidR="000D4E53" w:rsidRDefault="009F1A17">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网址：</w:t>
      </w:r>
      <w:hyperlink r:id="rId8" w:history="1">
        <w:r>
          <w:rPr>
            <w:rStyle w:val="ab"/>
            <w:rFonts w:asciiTheme="minorEastAsia" w:eastAsiaTheme="minorEastAsia" w:hAnsiTheme="minorEastAsia" w:cstheme="minorEastAsia"/>
            <w:szCs w:val="21"/>
          </w:rPr>
          <w:t>http://www.cib-fund.com.cn/</w:t>
        </w:r>
      </w:hyperlink>
      <w:r>
        <w:rPr>
          <w:rFonts w:asciiTheme="minorEastAsia" w:eastAsiaTheme="minorEastAsia" w:hAnsiTheme="minorEastAsia" w:cstheme="minorEastAsia"/>
          <w:szCs w:val="21"/>
        </w:rPr>
        <w:t xml:space="preserve"> </w:t>
      </w:r>
    </w:p>
    <w:p w:rsidR="000D4E53" w:rsidRDefault="009F1A17">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本公告仅对本基金开放日常申购、赎回</w:t>
      </w:r>
      <w:r>
        <w:rPr>
          <w:rFonts w:asciiTheme="majorEastAsia" w:eastAsiaTheme="majorEastAsia" w:hAnsiTheme="majorEastAsia" w:cstheme="minorEastAsia" w:hint="eastAsia"/>
          <w:szCs w:val="21"/>
        </w:rPr>
        <w:t>等业务</w:t>
      </w:r>
      <w:r>
        <w:rPr>
          <w:rFonts w:asciiTheme="minorEastAsia" w:eastAsiaTheme="minorEastAsia" w:hAnsiTheme="minorEastAsia" w:cstheme="minorEastAsia" w:hint="eastAsia"/>
          <w:szCs w:val="21"/>
        </w:rPr>
        <w:t>的有关事项予以说明。投资者欲了解本基金的详细情况，请详细阅读刊登在指定媒介上的《兴业嘉润</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个月定期开放债券型发起式证券投资基金基金合同》、《兴业嘉润</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个月定期开放债券型发起式证券投资基金招募说明书》、《兴业嘉润</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个月定期开放债券型发起式证券投资基金产品资料</w:t>
      </w:r>
      <w:r>
        <w:rPr>
          <w:rFonts w:asciiTheme="minorEastAsia" w:eastAsiaTheme="minorEastAsia" w:hAnsiTheme="minorEastAsia" w:cstheme="minorEastAsia"/>
          <w:szCs w:val="21"/>
        </w:rPr>
        <w:t>概要</w:t>
      </w:r>
      <w:r>
        <w:rPr>
          <w:rFonts w:asciiTheme="minorEastAsia" w:eastAsiaTheme="minorEastAsia" w:hAnsiTheme="minorEastAsia" w:cstheme="minorEastAsia" w:hint="eastAsia"/>
          <w:szCs w:val="21"/>
        </w:rPr>
        <w:t>》及其更新。若有代销机构实行费率优惠活动的，请以各代销机构最新公告或规定为准。</w:t>
      </w:r>
    </w:p>
    <w:p w:rsidR="000D4E53" w:rsidRDefault="009F1A17">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本基金管理人承诺以诚实信用、勤勉尽责的原则管理和运用基金资产，但不保证基金一定盈利，也不保证最低收益。敬请投资者于投资前认真阅读本基金《基金合同》、《招募说明书》和</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产品资料</w:t>
      </w:r>
      <w:r>
        <w:rPr>
          <w:rFonts w:asciiTheme="minorEastAsia" w:eastAsiaTheme="minorEastAsia" w:hAnsiTheme="minorEastAsia" w:cstheme="minorEastAsia"/>
          <w:szCs w:val="21"/>
        </w:rPr>
        <w:t>概要</w:t>
      </w:r>
      <w:r>
        <w:rPr>
          <w:rFonts w:asciiTheme="minorEastAsia" w:eastAsiaTheme="minorEastAsia" w:hAnsiTheme="minorEastAsia" w:cstheme="minorEastAsia" w:hint="eastAsia"/>
          <w:szCs w:val="21"/>
        </w:rPr>
        <w:t>》。</w:t>
      </w:r>
    </w:p>
    <w:p w:rsidR="000D4E53" w:rsidRDefault="000D4E53">
      <w:pPr>
        <w:spacing w:line="360" w:lineRule="auto"/>
        <w:ind w:firstLineChars="200" w:firstLine="420"/>
        <w:jc w:val="left"/>
        <w:rPr>
          <w:rFonts w:asciiTheme="minorEastAsia" w:eastAsiaTheme="minorEastAsia" w:hAnsiTheme="minorEastAsia" w:cstheme="minorEastAsia"/>
          <w:szCs w:val="21"/>
        </w:rPr>
      </w:pPr>
    </w:p>
    <w:p w:rsidR="000D4E53" w:rsidRDefault="009F1A17">
      <w:pPr>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特此公告。 </w:t>
      </w:r>
    </w:p>
    <w:p w:rsidR="000D4E53" w:rsidRDefault="000D4E53">
      <w:pPr>
        <w:adjustRightInd w:val="0"/>
        <w:spacing w:line="360" w:lineRule="auto"/>
        <w:jc w:val="left"/>
        <w:rPr>
          <w:rFonts w:asciiTheme="minorEastAsia" w:eastAsiaTheme="minorEastAsia" w:hAnsiTheme="minorEastAsia" w:cstheme="minorEastAsia"/>
          <w:szCs w:val="21"/>
        </w:rPr>
      </w:pPr>
    </w:p>
    <w:p w:rsidR="000D4E53" w:rsidRDefault="009F1A17">
      <w:pPr>
        <w:spacing w:line="360" w:lineRule="auto"/>
        <w:jc w:val="righ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兴业基金管理有限公司</w:t>
      </w:r>
    </w:p>
    <w:p w:rsidR="000D4E53" w:rsidRDefault="001D718E">
      <w:pPr>
        <w:wordWrap w:val="0"/>
        <w:spacing w:line="360" w:lineRule="auto"/>
        <w:jc w:val="right"/>
        <w:rPr>
          <w:rFonts w:asciiTheme="minorEastAsia" w:eastAsiaTheme="minorEastAsia" w:hAnsiTheme="minorEastAsia" w:cstheme="minorEastAsia"/>
          <w:sz w:val="22"/>
        </w:rPr>
      </w:pPr>
      <w:r w:rsidRPr="001D718E">
        <w:rPr>
          <w:rFonts w:asciiTheme="minorEastAsia" w:eastAsiaTheme="minorEastAsia" w:hAnsiTheme="minorEastAsia" w:cstheme="minorEastAsia" w:hint="eastAsia"/>
          <w:sz w:val="22"/>
        </w:rPr>
        <w:t>2026年2月26日</w:t>
      </w:r>
    </w:p>
    <w:sectPr w:rsidR="000D4E53" w:rsidSect="00D70186">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8A8" w:rsidRDefault="00D578A8">
      <w:r>
        <w:separator/>
      </w:r>
    </w:p>
  </w:endnote>
  <w:endnote w:type="continuationSeparator" w:id="0">
    <w:p w:rsidR="00D578A8" w:rsidRDefault="00D57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53" w:rsidRDefault="009F1A17">
    <w:pPr>
      <w:pStyle w:val="a6"/>
      <w:jc w:val="center"/>
    </w:pPr>
    <w:r>
      <w:rPr>
        <w:rFonts w:hint="eastAsia"/>
      </w:rPr>
      <w:t>第</w:t>
    </w:r>
    <w:r>
      <w:rPr>
        <w:rFonts w:hint="eastAsia"/>
      </w:rPr>
      <w:t xml:space="preserve"> </w:t>
    </w:r>
    <w:r w:rsidR="00D70186">
      <w:fldChar w:fldCharType="begin"/>
    </w:r>
    <w:r>
      <w:instrText xml:space="preserve"> PAGE   \* MERGEFORMAT </w:instrText>
    </w:r>
    <w:r w:rsidR="00D70186">
      <w:fldChar w:fldCharType="separate"/>
    </w:r>
    <w:r w:rsidR="003208E4">
      <w:rPr>
        <w:noProof/>
      </w:rPr>
      <w:t>1</w:t>
    </w:r>
    <w:r w:rsidR="00D70186">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3208E4">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8A8" w:rsidRDefault="00D578A8">
      <w:r>
        <w:separator/>
      </w:r>
    </w:p>
  </w:footnote>
  <w:footnote w:type="continuationSeparator" w:id="0">
    <w:p w:rsidR="00D578A8" w:rsidRDefault="00D57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JjZTdiYWQyMzc2ODhkODMzMTRiN2VlNTNiMmE3NjMifQ=="/>
  </w:docVars>
  <w:rsids>
    <w:rsidRoot w:val="00172A27"/>
    <w:rsid w:val="00000ACA"/>
    <w:rsid w:val="00013B39"/>
    <w:rsid w:val="00016B83"/>
    <w:rsid w:val="000228B6"/>
    <w:rsid w:val="00031721"/>
    <w:rsid w:val="00031806"/>
    <w:rsid w:val="00036419"/>
    <w:rsid w:val="00040D19"/>
    <w:rsid w:val="000558F0"/>
    <w:rsid w:val="0006607B"/>
    <w:rsid w:val="00066477"/>
    <w:rsid w:val="0007549D"/>
    <w:rsid w:val="000859FE"/>
    <w:rsid w:val="00085D48"/>
    <w:rsid w:val="000901D9"/>
    <w:rsid w:val="00093323"/>
    <w:rsid w:val="0009347C"/>
    <w:rsid w:val="00097793"/>
    <w:rsid w:val="000A2BE1"/>
    <w:rsid w:val="000A33F3"/>
    <w:rsid w:val="000A4B5A"/>
    <w:rsid w:val="000B034C"/>
    <w:rsid w:val="000B359D"/>
    <w:rsid w:val="000B58A4"/>
    <w:rsid w:val="000B6CA6"/>
    <w:rsid w:val="000C3AF9"/>
    <w:rsid w:val="000C4844"/>
    <w:rsid w:val="000C5849"/>
    <w:rsid w:val="000D0DCD"/>
    <w:rsid w:val="000D2DF8"/>
    <w:rsid w:val="000D4E53"/>
    <w:rsid w:val="000D506F"/>
    <w:rsid w:val="000E0C06"/>
    <w:rsid w:val="000E0C46"/>
    <w:rsid w:val="000E2C0F"/>
    <w:rsid w:val="000E2E0F"/>
    <w:rsid w:val="000F0C80"/>
    <w:rsid w:val="00103E5B"/>
    <w:rsid w:val="00105F75"/>
    <w:rsid w:val="001129AE"/>
    <w:rsid w:val="001163F5"/>
    <w:rsid w:val="00127D2F"/>
    <w:rsid w:val="0013046C"/>
    <w:rsid w:val="00130C77"/>
    <w:rsid w:val="001332F9"/>
    <w:rsid w:val="00133389"/>
    <w:rsid w:val="00140817"/>
    <w:rsid w:val="001451AB"/>
    <w:rsid w:val="0014687D"/>
    <w:rsid w:val="00151304"/>
    <w:rsid w:val="0015445F"/>
    <w:rsid w:val="0015596B"/>
    <w:rsid w:val="00157602"/>
    <w:rsid w:val="00172A27"/>
    <w:rsid w:val="00180DD9"/>
    <w:rsid w:val="00182A72"/>
    <w:rsid w:val="001869DF"/>
    <w:rsid w:val="0019015C"/>
    <w:rsid w:val="00192762"/>
    <w:rsid w:val="00193E45"/>
    <w:rsid w:val="001B1305"/>
    <w:rsid w:val="001B2DFB"/>
    <w:rsid w:val="001B4550"/>
    <w:rsid w:val="001B6D51"/>
    <w:rsid w:val="001C63BE"/>
    <w:rsid w:val="001D177C"/>
    <w:rsid w:val="001D46AC"/>
    <w:rsid w:val="001D4CF0"/>
    <w:rsid w:val="001D718E"/>
    <w:rsid w:val="001E4851"/>
    <w:rsid w:val="001E4F18"/>
    <w:rsid w:val="001F5C28"/>
    <w:rsid w:val="001F5E97"/>
    <w:rsid w:val="001F7DB9"/>
    <w:rsid w:val="0020407B"/>
    <w:rsid w:val="0021386A"/>
    <w:rsid w:val="002160D8"/>
    <w:rsid w:val="00236E7F"/>
    <w:rsid w:val="00241875"/>
    <w:rsid w:val="00243E81"/>
    <w:rsid w:val="00251ABD"/>
    <w:rsid w:val="00254026"/>
    <w:rsid w:val="002542E3"/>
    <w:rsid w:val="002576C7"/>
    <w:rsid w:val="0026278F"/>
    <w:rsid w:val="0026310D"/>
    <w:rsid w:val="00264C27"/>
    <w:rsid w:val="002743C3"/>
    <w:rsid w:val="0027539B"/>
    <w:rsid w:val="002778C3"/>
    <w:rsid w:val="00292082"/>
    <w:rsid w:val="00295EAD"/>
    <w:rsid w:val="00296172"/>
    <w:rsid w:val="002A16C8"/>
    <w:rsid w:val="002A24FB"/>
    <w:rsid w:val="002A7161"/>
    <w:rsid w:val="002C5B67"/>
    <w:rsid w:val="002C5FB5"/>
    <w:rsid w:val="002D7027"/>
    <w:rsid w:val="002D7449"/>
    <w:rsid w:val="002D7DD2"/>
    <w:rsid w:val="002E1724"/>
    <w:rsid w:val="002E3D08"/>
    <w:rsid w:val="002F405D"/>
    <w:rsid w:val="002F7023"/>
    <w:rsid w:val="002F7CAA"/>
    <w:rsid w:val="00300FBC"/>
    <w:rsid w:val="00307666"/>
    <w:rsid w:val="00307BE6"/>
    <w:rsid w:val="0031188E"/>
    <w:rsid w:val="003122E4"/>
    <w:rsid w:val="00312B09"/>
    <w:rsid w:val="003154B8"/>
    <w:rsid w:val="003154FE"/>
    <w:rsid w:val="003208E4"/>
    <w:rsid w:val="003215B4"/>
    <w:rsid w:val="00347C2A"/>
    <w:rsid w:val="00366EDA"/>
    <w:rsid w:val="00370D32"/>
    <w:rsid w:val="0037537B"/>
    <w:rsid w:val="00375F15"/>
    <w:rsid w:val="00377530"/>
    <w:rsid w:val="00381A98"/>
    <w:rsid w:val="0038507F"/>
    <w:rsid w:val="00385E2A"/>
    <w:rsid w:val="00387125"/>
    <w:rsid w:val="003902DC"/>
    <w:rsid w:val="003976E8"/>
    <w:rsid w:val="003A1E62"/>
    <w:rsid w:val="003A6787"/>
    <w:rsid w:val="003A6EB2"/>
    <w:rsid w:val="003B04C6"/>
    <w:rsid w:val="003B1B0A"/>
    <w:rsid w:val="003C1118"/>
    <w:rsid w:val="003D11FA"/>
    <w:rsid w:val="003D2BFC"/>
    <w:rsid w:val="003D2EFB"/>
    <w:rsid w:val="003D5F35"/>
    <w:rsid w:val="003E2B80"/>
    <w:rsid w:val="003E5F83"/>
    <w:rsid w:val="00400C20"/>
    <w:rsid w:val="00400F37"/>
    <w:rsid w:val="00407520"/>
    <w:rsid w:val="00415C4F"/>
    <w:rsid w:val="00426B13"/>
    <w:rsid w:val="00432A7B"/>
    <w:rsid w:val="00442D76"/>
    <w:rsid w:val="0045126A"/>
    <w:rsid w:val="00452627"/>
    <w:rsid w:val="00456CF2"/>
    <w:rsid w:val="00460521"/>
    <w:rsid w:val="00475B8E"/>
    <w:rsid w:val="004777FC"/>
    <w:rsid w:val="00477CEB"/>
    <w:rsid w:val="004827D8"/>
    <w:rsid w:val="004860A5"/>
    <w:rsid w:val="00486F52"/>
    <w:rsid w:val="0049552E"/>
    <w:rsid w:val="00497263"/>
    <w:rsid w:val="004A36A8"/>
    <w:rsid w:val="004B00F5"/>
    <w:rsid w:val="004B3258"/>
    <w:rsid w:val="004B3BFC"/>
    <w:rsid w:val="004C0584"/>
    <w:rsid w:val="004C1CD1"/>
    <w:rsid w:val="004C3956"/>
    <w:rsid w:val="004D1C06"/>
    <w:rsid w:val="004D24E2"/>
    <w:rsid w:val="004D64D8"/>
    <w:rsid w:val="004E3364"/>
    <w:rsid w:val="004E4BDA"/>
    <w:rsid w:val="004F6D81"/>
    <w:rsid w:val="004F71EE"/>
    <w:rsid w:val="005056D4"/>
    <w:rsid w:val="0050687D"/>
    <w:rsid w:val="00510B4D"/>
    <w:rsid w:val="00516130"/>
    <w:rsid w:val="00535A33"/>
    <w:rsid w:val="00535ABB"/>
    <w:rsid w:val="00543FBE"/>
    <w:rsid w:val="00545A77"/>
    <w:rsid w:val="00552024"/>
    <w:rsid w:val="005549FC"/>
    <w:rsid w:val="00555B15"/>
    <w:rsid w:val="00561066"/>
    <w:rsid w:val="00576F9D"/>
    <w:rsid w:val="005827A4"/>
    <w:rsid w:val="00584BBB"/>
    <w:rsid w:val="00586A96"/>
    <w:rsid w:val="005946C5"/>
    <w:rsid w:val="005978A4"/>
    <w:rsid w:val="005A346D"/>
    <w:rsid w:val="005B527F"/>
    <w:rsid w:val="005C558B"/>
    <w:rsid w:val="005C616A"/>
    <w:rsid w:val="005D09F5"/>
    <w:rsid w:val="005D5E80"/>
    <w:rsid w:val="005F0CCB"/>
    <w:rsid w:val="005F278E"/>
    <w:rsid w:val="005F5A26"/>
    <w:rsid w:val="005F6673"/>
    <w:rsid w:val="00601F47"/>
    <w:rsid w:val="006050FD"/>
    <w:rsid w:val="00606564"/>
    <w:rsid w:val="006105A1"/>
    <w:rsid w:val="0061312D"/>
    <w:rsid w:val="00614151"/>
    <w:rsid w:val="00622555"/>
    <w:rsid w:val="00633295"/>
    <w:rsid w:val="00633562"/>
    <w:rsid w:val="006357EE"/>
    <w:rsid w:val="00636F72"/>
    <w:rsid w:val="00637BC5"/>
    <w:rsid w:val="00645DF6"/>
    <w:rsid w:val="006460F4"/>
    <w:rsid w:val="00647C66"/>
    <w:rsid w:val="0065008C"/>
    <w:rsid w:val="006560DF"/>
    <w:rsid w:val="00667941"/>
    <w:rsid w:val="00670B34"/>
    <w:rsid w:val="0067349F"/>
    <w:rsid w:val="00673B30"/>
    <w:rsid w:val="00677CE8"/>
    <w:rsid w:val="00686787"/>
    <w:rsid w:val="00690767"/>
    <w:rsid w:val="0069126B"/>
    <w:rsid w:val="006A698C"/>
    <w:rsid w:val="006B079D"/>
    <w:rsid w:val="006B2712"/>
    <w:rsid w:val="006B2BC3"/>
    <w:rsid w:val="006B2D57"/>
    <w:rsid w:val="006B2D81"/>
    <w:rsid w:val="006B529B"/>
    <w:rsid w:val="006B55CD"/>
    <w:rsid w:val="006C159F"/>
    <w:rsid w:val="006C1CBA"/>
    <w:rsid w:val="006C2CE7"/>
    <w:rsid w:val="006C314F"/>
    <w:rsid w:val="006C7633"/>
    <w:rsid w:val="006D1D47"/>
    <w:rsid w:val="006D34B2"/>
    <w:rsid w:val="006E1D5B"/>
    <w:rsid w:val="006E6A67"/>
    <w:rsid w:val="006E7207"/>
    <w:rsid w:val="006F110D"/>
    <w:rsid w:val="006F55E1"/>
    <w:rsid w:val="007019AB"/>
    <w:rsid w:val="00705ADC"/>
    <w:rsid w:val="00706209"/>
    <w:rsid w:val="00717685"/>
    <w:rsid w:val="00720190"/>
    <w:rsid w:val="00723909"/>
    <w:rsid w:val="00730E63"/>
    <w:rsid w:val="00733281"/>
    <w:rsid w:val="00736BA7"/>
    <w:rsid w:val="00737D82"/>
    <w:rsid w:val="00740FF6"/>
    <w:rsid w:val="007434A4"/>
    <w:rsid w:val="0074640A"/>
    <w:rsid w:val="00756A79"/>
    <w:rsid w:val="007642AA"/>
    <w:rsid w:val="0076621C"/>
    <w:rsid w:val="00770735"/>
    <w:rsid w:val="00782915"/>
    <w:rsid w:val="00787EE3"/>
    <w:rsid w:val="0079432D"/>
    <w:rsid w:val="00797B24"/>
    <w:rsid w:val="007A395A"/>
    <w:rsid w:val="007B05F1"/>
    <w:rsid w:val="007D208C"/>
    <w:rsid w:val="007D4658"/>
    <w:rsid w:val="007E0144"/>
    <w:rsid w:val="007E0BC9"/>
    <w:rsid w:val="007E3796"/>
    <w:rsid w:val="007E74F7"/>
    <w:rsid w:val="007F6003"/>
    <w:rsid w:val="007F75E0"/>
    <w:rsid w:val="00800993"/>
    <w:rsid w:val="00806E7C"/>
    <w:rsid w:val="0081062B"/>
    <w:rsid w:val="00813D5E"/>
    <w:rsid w:val="00823230"/>
    <w:rsid w:val="0082493B"/>
    <w:rsid w:val="008255CD"/>
    <w:rsid w:val="0082588D"/>
    <w:rsid w:val="0082665C"/>
    <w:rsid w:val="008350C7"/>
    <w:rsid w:val="0083686F"/>
    <w:rsid w:val="00840F4B"/>
    <w:rsid w:val="00850F49"/>
    <w:rsid w:val="00852C3A"/>
    <w:rsid w:val="00855F27"/>
    <w:rsid w:val="00857D2B"/>
    <w:rsid w:val="00870DCD"/>
    <w:rsid w:val="008757DB"/>
    <w:rsid w:val="00877274"/>
    <w:rsid w:val="008818B2"/>
    <w:rsid w:val="00883209"/>
    <w:rsid w:val="00884189"/>
    <w:rsid w:val="00893FEA"/>
    <w:rsid w:val="00895B7D"/>
    <w:rsid w:val="008A1215"/>
    <w:rsid w:val="008A2E9E"/>
    <w:rsid w:val="008B09B7"/>
    <w:rsid w:val="008C5EB8"/>
    <w:rsid w:val="008C687C"/>
    <w:rsid w:val="008E0F62"/>
    <w:rsid w:val="008E1301"/>
    <w:rsid w:val="008E225E"/>
    <w:rsid w:val="008E2D7C"/>
    <w:rsid w:val="008E3F26"/>
    <w:rsid w:val="008E4173"/>
    <w:rsid w:val="008F419D"/>
    <w:rsid w:val="008F50E6"/>
    <w:rsid w:val="008F54F0"/>
    <w:rsid w:val="008F7934"/>
    <w:rsid w:val="0090083C"/>
    <w:rsid w:val="00904827"/>
    <w:rsid w:val="00906E7C"/>
    <w:rsid w:val="00907883"/>
    <w:rsid w:val="009107AE"/>
    <w:rsid w:val="00912F52"/>
    <w:rsid w:val="009136D9"/>
    <w:rsid w:val="009148B0"/>
    <w:rsid w:val="00922B3D"/>
    <w:rsid w:val="0096137E"/>
    <w:rsid w:val="00965C0D"/>
    <w:rsid w:val="00967E39"/>
    <w:rsid w:val="009701B2"/>
    <w:rsid w:val="00975950"/>
    <w:rsid w:val="00976202"/>
    <w:rsid w:val="00980012"/>
    <w:rsid w:val="00981433"/>
    <w:rsid w:val="00983DF5"/>
    <w:rsid w:val="009911C4"/>
    <w:rsid w:val="0099680C"/>
    <w:rsid w:val="009A10F9"/>
    <w:rsid w:val="009A2EE0"/>
    <w:rsid w:val="009B160E"/>
    <w:rsid w:val="009B3630"/>
    <w:rsid w:val="009B3B46"/>
    <w:rsid w:val="009B6AEE"/>
    <w:rsid w:val="009C024E"/>
    <w:rsid w:val="009C2C10"/>
    <w:rsid w:val="009D2F81"/>
    <w:rsid w:val="009E1B1D"/>
    <w:rsid w:val="009E5139"/>
    <w:rsid w:val="009F0654"/>
    <w:rsid w:val="009F1A17"/>
    <w:rsid w:val="009F345E"/>
    <w:rsid w:val="00A02142"/>
    <w:rsid w:val="00A132DF"/>
    <w:rsid w:val="00A21546"/>
    <w:rsid w:val="00A24471"/>
    <w:rsid w:val="00A24738"/>
    <w:rsid w:val="00A348D4"/>
    <w:rsid w:val="00A40FA6"/>
    <w:rsid w:val="00A45E7E"/>
    <w:rsid w:val="00A5032D"/>
    <w:rsid w:val="00A565EC"/>
    <w:rsid w:val="00A577FA"/>
    <w:rsid w:val="00A653CB"/>
    <w:rsid w:val="00A730BD"/>
    <w:rsid w:val="00A737B0"/>
    <w:rsid w:val="00A83932"/>
    <w:rsid w:val="00A8569F"/>
    <w:rsid w:val="00A86FC8"/>
    <w:rsid w:val="00A915FA"/>
    <w:rsid w:val="00A966A9"/>
    <w:rsid w:val="00AA0D52"/>
    <w:rsid w:val="00AA55E1"/>
    <w:rsid w:val="00AB1437"/>
    <w:rsid w:val="00AB1CD1"/>
    <w:rsid w:val="00AC5A0C"/>
    <w:rsid w:val="00AC5A18"/>
    <w:rsid w:val="00AC6E48"/>
    <w:rsid w:val="00AD0982"/>
    <w:rsid w:val="00AD31D4"/>
    <w:rsid w:val="00AD5633"/>
    <w:rsid w:val="00AD7340"/>
    <w:rsid w:val="00AE0AB1"/>
    <w:rsid w:val="00AE0C34"/>
    <w:rsid w:val="00AE2B9C"/>
    <w:rsid w:val="00AE718D"/>
    <w:rsid w:val="00AF761B"/>
    <w:rsid w:val="00B00294"/>
    <w:rsid w:val="00B00A10"/>
    <w:rsid w:val="00B03D69"/>
    <w:rsid w:val="00B05FB3"/>
    <w:rsid w:val="00B06AB0"/>
    <w:rsid w:val="00B120A8"/>
    <w:rsid w:val="00B122FE"/>
    <w:rsid w:val="00B12B52"/>
    <w:rsid w:val="00B12EC1"/>
    <w:rsid w:val="00B20937"/>
    <w:rsid w:val="00B21459"/>
    <w:rsid w:val="00B25A61"/>
    <w:rsid w:val="00B369A7"/>
    <w:rsid w:val="00B42991"/>
    <w:rsid w:val="00B43899"/>
    <w:rsid w:val="00B567C7"/>
    <w:rsid w:val="00B64939"/>
    <w:rsid w:val="00B64D2C"/>
    <w:rsid w:val="00B71AE9"/>
    <w:rsid w:val="00B7313D"/>
    <w:rsid w:val="00B74727"/>
    <w:rsid w:val="00B81A2E"/>
    <w:rsid w:val="00B83181"/>
    <w:rsid w:val="00B86436"/>
    <w:rsid w:val="00B9512C"/>
    <w:rsid w:val="00BA0B88"/>
    <w:rsid w:val="00BB1A0F"/>
    <w:rsid w:val="00BC1625"/>
    <w:rsid w:val="00BC197D"/>
    <w:rsid w:val="00BC2400"/>
    <w:rsid w:val="00BC292F"/>
    <w:rsid w:val="00BC6F59"/>
    <w:rsid w:val="00BD42C4"/>
    <w:rsid w:val="00BD5E06"/>
    <w:rsid w:val="00BF5616"/>
    <w:rsid w:val="00BF6750"/>
    <w:rsid w:val="00BF7A5E"/>
    <w:rsid w:val="00C0252F"/>
    <w:rsid w:val="00C03002"/>
    <w:rsid w:val="00C104D0"/>
    <w:rsid w:val="00C1224C"/>
    <w:rsid w:val="00C27498"/>
    <w:rsid w:val="00C323E3"/>
    <w:rsid w:val="00C32767"/>
    <w:rsid w:val="00C32BA3"/>
    <w:rsid w:val="00C33A9A"/>
    <w:rsid w:val="00C37C75"/>
    <w:rsid w:val="00C403F8"/>
    <w:rsid w:val="00C40A37"/>
    <w:rsid w:val="00C41D34"/>
    <w:rsid w:val="00C41F2E"/>
    <w:rsid w:val="00C440EB"/>
    <w:rsid w:val="00C46B0D"/>
    <w:rsid w:val="00C57844"/>
    <w:rsid w:val="00C579E3"/>
    <w:rsid w:val="00C63430"/>
    <w:rsid w:val="00C63B9E"/>
    <w:rsid w:val="00C63BCA"/>
    <w:rsid w:val="00C66E2B"/>
    <w:rsid w:val="00C7443B"/>
    <w:rsid w:val="00C75ECC"/>
    <w:rsid w:val="00C846DC"/>
    <w:rsid w:val="00C9107B"/>
    <w:rsid w:val="00C94792"/>
    <w:rsid w:val="00C95BA0"/>
    <w:rsid w:val="00C96A2C"/>
    <w:rsid w:val="00C977B2"/>
    <w:rsid w:val="00CA2BEE"/>
    <w:rsid w:val="00CA58B4"/>
    <w:rsid w:val="00CA68FC"/>
    <w:rsid w:val="00CB4C49"/>
    <w:rsid w:val="00CB7817"/>
    <w:rsid w:val="00CB7B7F"/>
    <w:rsid w:val="00CC0DBC"/>
    <w:rsid w:val="00CC44B6"/>
    <w:rsid w:val="00CC4774"/>
    <w:rsid w:val="00CC53F6"/>
    <w:rsid w:val="00CD51E3"/>
    <w:rsid w:val="00CD5FB9"/>
    <w:rsid w:val="00CD5FF8"/>
    <w:rsid w:val="00CD791D"/>
    <w:rsid w:val="00CE571B"/>
    <w:rsid w:val="00CF1FD6"/>
    <w:rsid w:val="00CF45E8"/>
    <w:rsid w:val="00D0162F"/>
    <w:rsid w:val="00D05E25"/>
    <w:rsid w:val="00D21C9A"/>
    <w:rsid w:val="00D233EC"/>
    <w:rsid w:val="00D26162"/>
    <w:rsid w:val="00D2776A"/>
    <w:rsid w:val="00D35CBE"/>
    <w:rsid w:val="00D42635"/>
    <w:rsid w:val="00D438FF"/>
    <w:rsid w:val="00D43DFF"/>
    <w:rsid w:val="00D45999"/>
    <w:rsid w:val="00D46105"/>
    <w:rsid w:val="00D4695D"/>
    <w:rsid w:val="00D47163"/>
    <w:rsid w:val="00D578A8"/>
    <w:rsid w:val="00D67FF4"/>
    <w:rsid w:val="00D70186"/>
    <w:rsid w:val="00D714C7"/>
    <w:rsid w:val="00D837A0"/>
    <w:rsid w:val="00D86D16"/>
    <w:rsid w:val="00D87EC3"/>
    <w:rsid w:val="00D90BE2"/>
    <w:rsid w:val="00D97B92"/>
    <w:rsid w:val="00DA730A"/>
    <w:rsid w:val="00DB0CF3"/>
    <w:rsid w:val="00DB1E02"/>
    <w:rsid w:val="00DB6BEC"/>
    <w:rsid w:val="00DB7AB2"/>
    <w:rsid w:val="00DC473B"/>
    <w:rsid w:val="00DC501A"/>
    <w:rsid w:val="00DC6587"/>
    <w:rsid w:val="00DD0220"/>
    <w:rsid w:val="00DD13DB"/>
    <w:rsid w:val="00DD1A29"/>
    <w:rsid w:val="00DD289C"/>
    <w:rsid w:val="00DD3856"/>
    <w:rsid w:val="00DD7303"/>
    <w:rsid w:val="00DE2ABB"/>
    <w:rsid w:val="00DE5455"/>
    <w:rsid w:val="00DF2A37"/>
    <w:rsid w:val="00E01C4C"/>
    <w:rsid w:val="00E31298"/>
    <w:rsid w:val="00E3393A"/>
    <w:rsid w:val="00E34DC8"/>
    <w:rsid w:val="00E45C2B"/>
    <w:rsid w:val="00E46E4F"/>
    <w:rsid w:val="00E535D1"/>
    <w:rsid w:val="00E55888"/>
    <w:rsid w:val="00E6644D"/>
    <w:rsid w:val="00E71CEF"/>
    <w:rsid w:val="00E74B47"/>
    <w:rsid w:val="00E75C84"/>
    <w:rsid w:val="00E768D1"/>
    <w:rsid w:val="00E76C0D"/>
    <w:rsid w:val="00E76F54"/>
    <w:rsid w:val="00E77E48"/>
    <w:rsid w:val="00E92625"/>
    <w:rsid w:val="00EA2358"/>
    <w:rsid w:val="00EA26D5"/>
    <w:rsid w:val="00EA50E7"/>
    <w:rsid w:val="00EB56D5"/>
    <w:rsid w:val="00EC1B27"/>
    <w:rsid w:val="00EC432A"/>
    <w:rsid w:val="00EE12A1"/>
    <w:rsid w:val="00EE4F27"/>
    <w:rsid w:val="00EE5012"/>
    <w:rsid w:val="00EF157B"/>
    <w:rsid w:val="00EF4309"/>
    <w:rsid w:val="00EF5F05"/>
    <w:rsid w:val="00EF6F1E"/>
    <w:rsid w:val="00F038ED"/>
    <w:rsid w:val="00F07ABD"/>
    <w:rsid w:val="00F175DA"/>
    <w:rsid w:val="00F2328A"/>
    <w:rsid w:val="00F23F76"/>
    <w:rsid w:val="00F24A69"/>
    <w:rsid w:val="00F308AE"/>
    <w:rsid w:val="00F4570B"/>
    <w:rsid w:val="00F5509F"/>
    <w:rsid w:val="00F63EBD"/>
    <w:rsid w:val="00F71381"/>
    <w:rsid w:val="00F7171A"/>
    <w:rsid w:val="00F81A98"/>
    <w:rsid w:val="00F87BEA"/>
    <w:rsid w:val="00F97519"/>
    <w:rsid w:val="00FB1E69"/>
    <w:rsid w:val="00FB465C"/>
    <w:rsid w:val="00FC1275"/>
    <w:rsid w:val="00FC6871"/>
    <w:rsid w:val="00FC7CC9"/>
    <w:rsid w:val="00FD0B48"/>
    <w:rsid w:val="00FD1182"/>
    <w:rsid w:val="00FE07C5"/>
    <w:rsid w:val="00FE2DCE"/>
    <w:rsid w:val="00FE32A4"/>
    <w:rsid w:val="00FF60A3"/>
    <w:rsid w:val="00FF60DE"/>
    <w:rsid w:val="02851251"/>
    <w:rsid w:val="035B6494"/>
    <w:rsid w:val="050375AB"/>
    <w:rsid w:val="07576B4C"/>
    <w:rsid w:val="08635125"/>
    <w:rsid w:val="095468F5"/>
    <w:rsid w:val="0B1B6537"/>
    <w:rsid w:val="0F1B6366"/>
    <w:rsid w:val="10421F10"/>
    <w:rsid w:val="10D9597E"/>
    <w:rsid w:val="17840079"/>
    <w:rsid w:val="18CF456E"/>
    <w:rsid w:val="19D06B27"/>
    <w:rsid w:val="1D566F8F"/>
    <w:rsid w:val="200119B5"/>
    <w:rsid w:val="208D6675"/>
    <w:rsid w:val="360B0472"/>
    <w:rsid w:val="36614B46"/>
    <w:rsid w:val="377D7C40"/>
    <w:rsid w:val="3ED55C36"/>
    <w:rsid w:val="3F7927BD"/>
    <w:rsid w:val="414F2F1A"/>
    <w:rsid w:val="41E95912"/>
    <w:rsid w:val="4288210C"/>
    <w:rsid w:val="43A372AA"/>
    <w:rsid w:val="460E1EF8"/>
    <w:rsid w:val="4AC7114E"/>
    <w:rsid w:val="4BC9390A"/>
    <w:rsid w:val="50417719"/>
    <w:rsid w:val="524C5212"/>
    <w:rsid w:val="52B1325A"/>
    <w:rsid w:val="565731AD"/>
    <w:rsid w:val="57236FAF"/>
    <w:rsid w:val="581F7FF8"/>
    <w:rsid w:val="591738A7"/>
    <w:rsid w:val="627D5271"/>
    <w:rsid w:val="650A131A"/>
    <w:rsid w:val="690420E6"/>
    <w:rsid w:val="6FAD7B59"/>
    <w:rsid w:val="700B4F22"/>
    <w:rsid w:val="75057E42"/>
    <w:rsid w:val="7E0B1F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footnote reference"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186"/>
    <w:pPr>
      <w:widowControl w:val="0"/>
      <w:jc w:val="both"/>
    </w:pPr>
    <w:rPr>
      <w:rFonts w:ascii="Calibri" w:hAnsi="Calibri"/>
      <w:kern w:val="2"/>
      <w:sz w:val="21"/>
      <w:szCs w:val="22"/>
    </w:rPr>
  </w:style>
  <w:style w:type="paragraph" w:styleId="2">
    <w:name w:val="heading 2"/>
    <w:basedOn w:val="a"/>
    <w:next w:val="a"/>
    <w:link w:val="2Char"/>
    <w:qFormat/>
    <w:rsid w:val="00D70186"/>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D70186"/>
    <w:pPr>
      <w:shd w:val="clear" w:color="auto" w:fill="000080"/>
    </w:pPr>
  </w:style>
  <w:style w:type="paragraph" w:styleId="a4">
    <w:name w:val="annotation text"/>
    <w:basedOn w:val="a"/>
    <w:link w:val="Char"/>
    <w:qFormat/>
    <w:rsid w:val="00D70186"/>
    <w:pPr>
      <w:jc w:val="left"/>
    </w:pPr>
  </w:style>
  <w:style w:type="paragraph" w:styleId="a5">
    <w:name w:val="Balloon Text"/>
    <w:basedOn w:val="a"/>
    <w:link w:val="Char0"/>
    <w:qFormat/>
    <w:rsid w:val="00D70186"/>
    <w:rPr>
      <w:sz w:val="18"/>
      <w:szCs w:val="18"/>
    </w:rPr>
  </w:style>
  <w:style w:type="paragraph" w:styleId="a6">
    <w:name w:val="footer"/>
    <w:basedOn w:val="a"/>
    <w:link w:val="Char1"/>
    <w:qFormat/>
    <w:rsid w:val="00D70186"/>
    <w:pPr>
      <w:tabs>
        <w:tab w:val="center" w:pos="4153"/>
        <w:tab w:val="right" w:pos="8306"/>
      </w:tabs>
      <w:snapToGrid w:val="0"/>
      <w:jc w:val="left"/>
    </w:pPr>
    <w:rPr>
      <w:sz w:val="18"/>
      <w:szCs w:val="18"/>
    </w:rPr>
  </w:style>
  <w:style w:type="paragraph" w:styleId="a7">
    <w:name w:val="header"/>
    <w:basedOn w:val="a"/>
    <w:link w:val="Char2"/>
    <w:qFormat/>
    <w:rsid w:val="00D70186"/>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qFormat/>
    <w:rsid w:val="00D70186"/>
    <w:pPr>
      <w:snapToGrid w:val="0"/>
      <w:jc w:val="left"/>
    </w:pPr>
    <w:rPr>
      <w:rFonts w:ascii="Times New Roman" w:hAnsi="Times New Roman"/>
      <w:sz w:val="18"/>
      <w:szCs w:val="20"/>
    </w:rPr>
  </w:style>
  <w:style w:type="paragraph" w:styleId="a9">
    <w:name w:val="Normal (Web)"/>
    <w:basedOn w:val="a"/>
    <w:uiPriority w:val="99"/>
    <w:unhideWhenUsed/>
    <w:qFormat/>
    <w:rsid w:val="00D70186"/>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qFormat/>
    <w:rsid w:val="00D70186"/>
    <w:rPr>
      <w:b/>
      <w:bCs/>
    </w:rPr>
  </w:style>
  <w:style w:type="character" w:styleId="ab">
    <w:name w:val="Hyperlink"/>
    <w:basedOn w:val="a0"/>
    <w:qFormat/>
    <w:rsid w:val="00D70186"/>
    <w:rPr>
      <w:color w:val="0000FF"/>
      <w:u w:val="single"/>
    </w:rPr>
  </w:style>
  <w:style w:type="character" w:styleId="ac">
    <w:name w:val="annotation reference"/>
    <w:basedOn w:val="a0"/>
    <w:qFormat/>
    <w:rsid w:val="00D70186"/>
    <w:rPr>
      <w:sz w:val="21"/>
      <w:szCs w:val="21"/>
    </w:rPr>
  </w:style>
  <w:style w:type="character" w:styleId="ad">
    <w:name w:val="footnote reference"/>
    <w:qFormat/>
    <w:rsid w:val="00D70186"/>
    <w:rPr>
      <w:vertAlign w:val="superscript"/>
    </w:rPr>
  </w:style>
  <w:style w:type="character" w:customStyle="1" w:styleId="Char2">
    <w:name w:val="页眉 Char"/>
    <w:link w:val="a7"/>
    <w:qFormat/>
    <w:rsid w:val="00D70186"/>
    <w:rPr>
      <w:kern w:val="2"/>
      <w:sz w:val="18"/>
      <w:szCs w:val="18"/>
    </w:rPr>
  </w:style>
  <w:style w:type="character" w:customStyle="1" w:styleId="Char3">
    <w:name w:val="脚注文本 Char"/>
    <w:link w:val="a8"/>
    <w:qFormat/>
    <w:rsid w:val="00D70186"/>
    <w:rPr>
      <w:rFonts w:ascii="Times New Roman" w:hAnsi="Times New Roman"/>
      <w:kern w:val="2"/>
      <w:sz w:val="18"/>
    </w:rPr>
  </w:style>
  <w:style w:type="character" w:customStyle="1" w:styleId="Char1">
    <w:name w:val="页脚 Char"/>
    <w:link w:val="a6"/>
    <w:qFormat/>
    <w:rsid w:val="00D70186"/>
    <w:rPr>
      <w:kern w:val="2"/>
      <w:sz w:val="18"/>
      <w:szCs w:val="18"/>
    </w:rPr>
  </w:style>
  <w:style w:type="character" w:customStyle="1" w:styleId="2Char">
    <w:name w:val="标题 2 Char"/>
    <w:link w:val="2"/>
    <w:qFormat/>
    <w:rsid w:val="00D70186"/>
    <w:rPr>
      <w:rFonts w:ascii="Arial" w:eastAsia="黑体" w:hAnsi="Arial"/>
      <w:b/>
      <w:kern w:val="2"/>
      <w:sz w:val="32"/>
    </w:rPr>
  </w:style>
  <w:style w:type="paragraph" w:customStyle="1" w:styleId="Char5">
    <w:name w:val="Char"/>
    <w:basedOn w:val="a"/>
    <w:qFormat/>
    <w:rsid w:val="00D70186"/>
    <w:rPr>
      <w:rFonts w:ascii="Times New Roman" w:hAnsi="Times New Roman"/>
      <w:szCs w:val="24"/>
    </w:rPr>
  </w:style>
  <w:style w:type="character" w:customStyle="1" w:styleId="Char0">
    <w:name w:val="批注框文本 Char"/>
    <w:basedOn w:val="a0"/>
    <w:link w:val="a5"/>
    <w:qFormat/>
    <w:rsid w:val="00D70186"/>
    <w:rPr>
      <w:kern w:val="2"/>
      <w:sz w:val="18"/>
      <w:szCs w:val="18"/>
    </w:rPr>
  </w:style>
  <w:style w:type="character" w:customStyle="1" w:styleId="Char">
    <w:name w:val="批注文字 Char"/>
    <w:basedOn w:val="a0"/>
    <w:link w:val="a4"/>
    <w:qFormat/>
    <w:rsid w:val="00D70186"/>
    <w:rPr>
      <w:kern w:val="2"/>
      <w:sz w:val="21"/>
      <w:szCs w:val="22"/>
    </w:rPr>
  </w:style>
  <w:style w:type="character" w:customStyle="1" w:styleId="Char4">
    <w:name w:val="批注主题 Char"/>
    <w:basedOn w:val="Char"/>
    <w:link w:val="aa"/>
    <w:qFormat/>
    <w:rsid w:val="00D70186"/>
    <w:rPr>
      <w:b/>
      <w:bCs/>
      <w:kern w:val="2"/>
      <w:sz w:val="21"/>
      <w:szCs w:val="22"/>
    </w:rPr>
  </w:style>
  <w:style w:type="paragraph" w:customStyle="1" w:styleId="Default">
    <w:name w:val="Default"/>
    <w:qFormat/>
    <w:rsid w:val="00D70186"/>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b-fund.com.cn/" TargetMode="External"/><Relationship Id="rId3" Type="http://schemas.openxmlformats.org/officeDocument/2006/relationships/settings" Target="settings.xml"/><Relationship Id="rId7" Type="http://schemas.openxmlformats.org/officeDocument/2006/relationships/hyperlink" Target="http://http://www.cib-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99AC-D909-491E-966E-9FACB382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4781</Characters>
  <Application>Microsoft Office Word</Application>
  <DocSecurity>4</DocSecurity>
  <Lines>39</Lines>
  <Paragraphs>11</Paragraphs>
  <ScaleCrop>false</ScaleCrop>
  <Company>Microsoft</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2025-08-28T01:05:00Z</cp:lastPrinted>
  <dcterms:created xsi:type="dcterms:W3CDTF">2026-02-25T16:00:00Z</dcterms:created>
  <dcterms:modified xsi:type="dcterms:W3CDTF">2026-02-25T16:00:00Z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27EBEF9827664A29A62EE808C71B63E2</vt:lpwstr>
  </property>
</Properties>
</file>