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000000" w:rsidRDefault="001C6034">
      <w:pPr>
        <w:pStyle w:val="XBRL2"/>
        <w:spacing w:before="156"/>
        <w:rPr>
          <w:rFonts w:eastAsia="Cambria" w:cs="Cambria"/>
          <w:lang w:val="en-US"/>
        </w:rPr>
      </w:pPr>
      <w:bookmarkStart w:id="0" w:name="_Toc348410291"/>
      <w:bookmarkEnd w:id="0"/>
      <w:r>
        <w:rPr>
          <w:rFonts w:eastAsia="Cambria" w:cs="Cambria"/>
          <w:lang w:val="en-US"/>
        </w:rPr>
        <w:t xml:space="preserve">　</w:t>
      </w:r>
      <w:r>
        <w:rPr>
          <w:rFonts w:eastAsia="Cambria" w:cs="Cambria"/>
          <w:lang w:val="en-US"/>
        </w:rPr>
        <w:t xml:space="preserve"> </w:t>
      </w:r>
    </w:p>
    <w:p w:rsidR="00000000" w:rsidRDefault="001C6034">
      <w:pPr>
        <w:jc w:val="center"/>
      </w:pPr>
      <w:r>
        <w:rPr>
          <w:b/>
          <w:sz w:val="48"/>
          <w:szCs w:val="48"/>
        </w:rPr>
        <w:t>西部利得红利鑫选混合型发起式证券投资基金开放日常申购、赎回、转换、定期定额投资业务的公告</w:t>
      </w:r>
    </w:p>
    <w:p w:rsidR="00000000" w:rsidRDefault="001C6034">
      <w:pPr>
        <w:spacing w:line="360" w:lineRule="auto"/>
        <w:jc w:val="center"/>
        <w:rPr>
          <w:rFonts w:cs="宋体"/>
          <w:sz w:val="24"/>
          <w:szCs w:val="30"/>
        </w:rPr>
      </w:pPr>
      <w:r>
        <w:rPr>
          <w:rFonts w:cs="宋体"/>
          <w:sz w:val="24"/>
          <w:szCs w:val="30"/>
        </w:rPr>
        <w:t xml:space="preserve">　</w:t>
      </w:r>
      <w:r>
        <w:rPr>
          <w:rFonts w:cs="宋体"/>
          <w:sz w:val="24"/>
          <w:szCs w:val="30"/>
        </w:rPr>
        <w:t xml:space="preserve"> </w:t>
      </w:r>
    </w:p>
    <w:p w:rsidR="00000000" w:rsidRDefault="001C6034">
      <w:pPr>
        <w:spacing w:line="360" w:lineRule="auto"/>
        <w:jc w:val="center"/>
        <w:rPr>
          <w:rFonts w:cs="宋体"/>
          <w:sz w:val="24"/>
          <w:szCs w:val="30"/>
        </w:rPr>
      </w:pPr>
      <w:r>
        <w:rPr>
          <w:rFonts w:cs="宋体"/>
          <w:sz w:val="24"/>
          <w:szCs w:val="30"/>
        </w:rPr>
        <w:t xml:space="preserve">　</w:t>
      </w:r>
      <w:r>
        <w:rPr>
          <w:rFonts w:cs="宋体"/>
          <w:sz w:val="24"/>
          <w:szCs w:val="30"/>
        </w:rPr>
        <w:t xml:space="preserve"> </w:t>
      </w:r>
    </w:p>
    <w:p w:rsidR="00000000" w:rsidRDefault="001C6034">
      <w:pPr>
        <w:spacing w:line="360" w:lineRule="auto"/>
        <w:jc w:val="center"/>
        <w:rPr>
          <w:rFonts w:cs="宋体"/>
          <w:sz w:val="24"/>
          <w:szCs w:val="30"/>
        </w:rPr>
      </w:pPr>
      <w:r>
        <w:rPr>
          <w:rFonts w:cs="宋体"/>
          <w:sz w:val="24"/>
          <w:szCs w:val="30"/>
        </w:rPr>
        <w:t xml:space="preserve">　</w:t>
      </w:r>
      <w:r>
        <w:rPr>
          <w:rFonts w:cs="宋体"/>
          <w:sz w:val="24"/>
          <w:szCs w:val="30"/>
        </w:rPr>
        <w:t xml:space="preserve"> </w:t>
      </w:r>
    </w:p>
    <w:p w:rsidR="00000000" w:rsidRDefault="001C6034">
      <w:pPr>
        <w:spacing w:line="360" w:lineRule="auto"/>
        <w:jc w:val="center"/>
        <w:rPr>
          <w:rFonts w:cs="宋体"/>
          <w:sz w:val="24"/>
          <w:szCs w:val="30"/>
        </w:rPr>
      </w:pPr>
      <w:r>
        <w:rPr>
          <w:rFonts w:cs="宋体"/>
          <w:sz w:val="24"/>
          <w:szCs w:val="30"/>
        </w:rPr>
        <w:t xml:space="preserve">　</w:t>
      </w:r>
      <w:r>
        <w:rPr>
          <w:rFonts w:cs="宋体"/>
          <w:sz w:val="24"/>
          <w:szCs w:val="30"/>
        </w:rPr>
        <w:t xml:space="preserve"> </w:t>
      </w:r>
    </w:p>
    <w:p w:rsidR="00000000" w:rsidRDefault="001C6034">
      <w:pPr>
        <w:spacing w:line="360" w:lineRule="auto"/>
        <w:jc w:val="center"/>
        <w:rPr>
          <w:rFonts w:cs="宋体"/>
          <w:sz w:val="24"/>
          <w:szCs w:val="30"/>
        </w:rPr>
      </w:pPr>
      <w:r>
        <w:rPr>
          <w:rFonts w:cs="宋体"/>
          <w:sz w:val="24"/>
          <w:szCs w:val="30"/>
        </w:rPr>
        <w:t xml:space="preserve">　</w:t>
      </w:r>
      <w:r>
        <w:rPr>
          <w:rFonts w:cs="宋体"/>
          <w:sz w:val="24"/>
          <w:szCs w:val="30"/>
        </w:rPr>
        <w:t xml:space="preserve"> </w:t>
      </w:r>
    </w:p>
    <w:p w:rsidR="00000000" w:rsidRDefault="001C6034">
      <w:pPr>
        <w:spacing w:line="360" w:lineRule="auto"/>
        <w:jc w:val="center"/>
        <w:rPr>
          <w:rFonts w:cs="宋体"/>
          <w:sz w:val="24"/>
          <w:szCs w:val="30"/>
        </w:rPr>
      </w:pPr>
      <w:r>
        <w:rPr>
          <w:rFonts w:cs="宋体"/>
          <w:sz w:val="24"/>
          <w:szCs w:val="30"/>
        </w:rPr>
        <w:t xml:space="preserve">　</w:t>
      </w:r>
      <w:r>
        <w:rPr>
          <w:rFonts w:cs="宋体"/>
          <w:sz w:val="24"/>
          <w:szCs w:val="30"/>
        </w:rPr>
        <w:t xml:space="preserve"> </w:t>
      </w:r>
    </w:p>
    <w:p w:rsidR="00000000" w:rsidRDefault="001C6034">
      <w:pPr>
        <w:spacing w:line="360" w:lineRule="auto"/>
        <w:jc w:val="center"/>
        <w:rPr>
          <w:rFonts w:cs="宋体"/>
          <w:sz w:val="24"/>
          <w:szCs w:val="30"/>
        </w:rPr>
      </w:pPr>
      <w:r>
        <w:rPr>
          <w:rFonts w:cs="宋体"/>
          <w:sz w:val="24"/>
          <w:szCs w:val="30"/>
        </w:rPr>
        <w:t xml:space="preserve">　</w:t>
      </w:r>
      <w:r>
        <w:rPr>
          <w:rFonts w:cs="宋体"/>
          <w:sz w:val="24"/>
          <w:szCs w:val="30"/>
        </w:rPr>
        <w:t xml:space="preserve"> </w:t>
      </w:r>
    </w:p>
    <w:p w:rsidR="00000000" w:rsidRDefault="001C6034">
      <w:pPr>
        <w:spacing w:line="360" w:lineRule="auto"/>
        <w:jc w:val="center"/>
        <w:rPr>
          <w:rFonts w:cs="宋体"/>
          <w:sz w:val="24"/>
          <w:szCs w:val="30"/>
        </w:rPr>
      </w:pPr>
      <w:r>
        <w:rPr>
          <w:rFonts w:cs="宋体"/>
          <w:sz w:val="24"/>
          <w:szCs w:val="30"/>
        </w:rPr>
        <w:t xml:space="preserve">　</w:t>
      </w:r>
      <w:r>
        <w:rPr>
          <w:rFonts w:cs="宋体"/>
          <w:sz w:val="24"/>
          <w:szCs w:val="30"/>
        </w:rPr>
        <w:t xml:space="preserve"> </w:t>
      </w:r>
    </w:p>
    <w:p w:rsidR="00000000" w:rsidRDefault="001C6034">
      <w:pPr>
        <w:spacing w:line="360" w:lineRule="auto"/>
        <w:jc w:val="center"/>
        <w:rPr>
          <w:rFonts w:cs="宋体"/>
          <w:sz w:val="24"/>
          <w:szCs w:val="30"/>
        </w:rPr>
      </w:pPr>
      <w:r>
        <w:rPr>
          <w:rFonts w:cs="宋体"/>
          <w:sz w:val="24"/>
          <w:szCs w:val="30"/>
        </w:rPr>
        <w:t xml:space="preserve">　</w:t>
      </w:r>
      <w:r>
        <w:rPr>
          <w:rFonts w:cs="宋体"/>
          <w:sz w:val="24"/>
          <w:szCs w:val="30"/>
        </w:rPr>
        <w:t xml:space="preserve"> </w:t>
      </w:r>
    </w:p>
    <w:p w:rsidR="00000000" w:rsidRDefault="001C6034">
      <w:pPr>
        <w:spacing w:line="360" w:lineRule="auto"/>
        <w:jc w:val="center"/>
        <w:rPr>
          <w:rFonts w:cs="宋体"/>
          <w:sz w:val="24"/>
          <w:szCs w:val="30"/>
        </w:rPr>
      </w:pPr>
      <w:r>
        <w:rPr>
          <w:rFonts w:cs="宋体"/>
          <w:sz w:val="24"/>
          <w:szCs w:val="30"/>
        </w:rPr>
        <w:t xml:space="preserve">　</w:t>
      </w:r>
      <w:r>
        <w:rPr>
          <w:rFonts w:cs="宋体"/>
          <w:sz w:val="24"/>
          <w:szCs w:val="30"/>
        </w:rPr>
        <w:t xml:space="preserve"> </w:t>
      </w:r>
    </w:p>
    <w:p w:rsidR="00000000" w:rsidRDefault="001C6034">
      <w:pPr>
        <w:spacing w:line="360" w:lineRule="auto"/>
        <w:jc w:val="center"/>
      </w:pPr>
      <w:r>
        <w:rPr>
          <w:rFonts w:cs="宋体"/>
          <w:b/>
          <w:bCs/>
          <w:sz w:val="24"/>
          <w:szCs w:val="30"/>
        </w:rPr>
        <w:t>公告送出日期：</w:t>
      </w:r>
      <w:r>
        <w:rPr>
          <w:rFonts w:cs="宋体"/>
          <w:b/>
          <w:bCs/>
          <w:sz w:val="24"/>
          <w:szCs w:val="30"/>
        </w:rPr>
        <w:t>2026</w:t>
      </w:r>
      <w:r>
        <w:rPr>
          <w:rFonts w:cs="宋体"/>
          <w:b/>
          <w:bCs/>
          <w:sz w:val="24"/>
          <w:szCs w:val="30"/>
        </w:rPr>
        <w:t>年</w:t>
      </w:r>
      <w:r>
        <w:rPr>
          <w:rFonts w:cs="宋体"/>
          <w:b/>
          <w:bCs/>
          <w:sz w:val="24"/>
          <w:szCs w:val="30"/>
        </w:rPr>
        <w:t>2</w:t>
      </w:r>
      <w:r>
        <w:rPr>
          <w:rFonts w:cs="宋体"/>
          <w:b/>
          <w:bCs/>
          <w:sz w:val="24"/>
          <w:szCs w:val="30"/>
        </w:rPr>
        <w:t>月</w:t>
      </w:r>
      <w:r>
        <w:rPr>
          <w:rFonts w:cs="宋体"/>
          <w:b/>
          <w:bCs/>
          <w:sz w:val="24"/>
          <w:szCs w:val="30"/>
        </w:rPr>
        <w:t>24</w:t>
      </w:r>
      <w:r>
        <w:rPr>
          <w:rFonts w:cs="宋体"/>
          <w:b/>
          <w:bCs/>
          <w:sz w:val="24"/>
          <w:szCs w:val="30"/>
        </w:rPr>
        <w:t>日</w:t>
      </w:r>
    </w:p>
    <w:p w:rsidR="00000000" w:rsidRDefault="001C6034">
      <w:pPr>
        <w:pStyle w:val="XBRLTitle1"/>
        <w:spacing w:before="156" w:line="360" w:lineRule="auto"/>
      </w:pPr>
      <w:r>
        <w:rPr>
          <w:rFonts w:hAnsi="宋体" w:cs="宋体"/>
          <w:color w:val="404040"/>
          <w:sz w:val="21"/>
          <w:szCs w:val="20"/>
          <w:lang/>
        </w:rPr>
        <w:br w:type="page"/>
      </w:r>
      <w:bookmarkStart w:id="1" w:name="_Toc34841028"/>
      <w:bookmarkStart w:id="2" w:name="_Toc17898178"/>
      <w:bookmarkStart w:id="3" w:name="_Toc17897936"/>
      <w:bookmarkStart w:id="4" w:name="_Toc512519480"/>
      <w:bookmarkStart w:id="5" w:name="_Toc481075046"/>
      <w:bookmarkStart w:id="6" w:name="_Toc438646451"/>
      <w:bookmarkStart w:id="7" w:name="_Toc490050000"/>
      <w:bookmarkStart w:id="8" w:name="_Toc513295846"/>
      <w:bookmarkStart w:id="9" w:name="_Toc513295892"/>
      <w:bookmarkStart w:id="10" w:name="_Toc34758519"/>
      <w:bookmarkStart w:id="11" w:name="m101"/>
      <w:bookmarkStart w:id="12" w:name="_Toc194311890"/>
      <w:bookmarkStart w:id="13" w:name="m01_01"/>
      <w:r>
        <w:rPr>
          <w:rFonts w:hAnsi="宋体"/>
          <w:lang w:val="en-US"/>
        </w:rPr>
        <w:lastRenderedPageBreak/>
        <w:t>公告基本信息</w:t>
      </w:r>
      <w:bookmarkEnd w:id="1"/>
      <w:bookmarkEnd w:id="2"/>
      <w:bookmarkEnd w:id="3"/>
      <w:bookmarkEnd w:id="4"/>
      <w:bookmarkEnd w:id="5"/>
      <w:bookmarkEnd w:id="6"/>
      <w:bookmarkEnd w:id="7"/>
      <w:bookmarkEnd w:id="8"/>
      <w:bookmarkEnd w:id="9"/>
      <w:bookmarkEnd w:id="10"/>
      <w:r>
        <w:rPr>
          <w:rFonts w:hAnsi="宋体"/>
          <w:szCs w:val="44"/>
          <w:lang w:val="en-US"/>
        </w:rPr>
        <w:t xml:space="preserve"> </w:t>
      </w:r>
    </w:p>
    <w:tbl>
      <w:tblPr>
        <w:tblStyle w:val="ac"/>
        <w:tblW w:w="8520" w:type="dxa"/>
        <w:tblInd w:w="0" w:type="dxa"/>
        <w:tblLayout w:type="fixed"/>
        <w:tblLook w:val="0000"/>
      </w:tblPr>
      <w:tblGrid>
        <w:gridCol w:w="2840"/>
        <w:gridCol w:w="2840"/>
        <w:gridCol w:w="2840"/>
      </w:tblGrid>
      <w:tr w:rsidR="00000000">
        <w:tc>
          <w:tcPr>
            <w:tcW w:w="3085" w:type="dxa"/>
            <w:tcBorders>
              <w:top w:val="single" w:sz="4" w:space="0" w:color="000000"/>
              <w:left w:val="single" w:sz="4" w:space="0" w:color="000000"/>
              <w:bottom w:val="single" w:sz="4" w:space="0" w:color="000000"/>
              <w:right w:val="single" w:sz="4" w:space="0" w:color="000000"/>
            </w:tcBorders>
            <w:vAlign w:val="center"/>
          </w:tcPr>
          <w:p w:rsidR="00000000" w:rsidRDefault="001C6034">
            <w:r>
              <w:t>基金名称</w:t>
            </w:r>
            <w:r>
              <w:t xml:space="preserve"> </w:t>
            </w:r>
          </w:p>
        </w:tc>
        <w:tc>
          <w:tcPr>
            <w:tcW w:w="5437" w:type="dxa"/>
            <w:gridSpan w:val="2"/>
            <w:tcBorders>
              <w:top w:val="single" w:sz="4" w:space="0" w:color="000000"/>
              <w:left w:val="single" w:sz="4" w:space="0" w:color="000000"/>
              <w:bottom w:val="single" w:sz="4" w:space="0" w:color="000000"/>
              <w:right w:val="single" w:sz="4" w:space="0" w:color="000000"/>
            </w:tcBorders>
            <w:vAlign w:val="center"/>
          </w:tcPr>
          <w:p w:rsidR="00000000" w:rsidRDefault="001C6034">
            <w:r>
              <w:t>西部利得红利鑫选混合型发起式证券投资基金</w:t>
            </w:r>
          </w:p>
        </w:tc>
      </w:tr>
      <w:tr w:rsidR="00000000">
        <w:tc>
          <w:tcPr>
            <w:tcW w:w="3085" w:type="dxa"/>
            <w:tcBorders>
              <w:top w:val="single" w:sz="4" w:space="0" w:color="000000"/>
              <w:left w:val="single" w:sz="4" w:space="0" w:color="000000"/>
              <w:bottom w:val="single" w:sz="4" w:space="0" w:color="000000"/>
              <w:right w:val="single" w:sz="4" w:space="0" w:color="000000"/>
            </w:tcBorders>
            <w:vAlign w:val="center"/>
          </w:tcPr>
          <w:p w:rsidR="00000000" w:rsidRDefault="001C6034">
            <w:r>
              <w:t>基金简称</w:t>
            </w:r>
            <w:r>
              <w:t xml:space="preserve"> </w:t>
            </w:r>
          </w:p>
        </w:tc>
        <w:tc>
          <w:tcPr>
            <w:tcW w:w="5437" w:type="dxa"/>
            <w:gridSpan w:val="2"/>
            <w:tcBorders>
              <w:top w:val="single" w:sz="4" w:space="0" w:color="000000"/>
              <w:left w:val="single" w:sz="4" w:space="0" w:color="000000"/>
              <w:bottom w:val="single" w:sz="4" w:space="0" w:color="000000"/>
              <w:right w:val="single" w:sz="4" w:space="0" w:color="000000"/>
            </w:tcBorders>
            <w:vAlign w:val="center"/>
          </w:tcPr>
          <w:p w:rsidR="00000000" w:rsidRDefault="001C6034">
            <w:r>
              <w:t>西部利得红利鑫选混合发起</w:t>
            </w:r>
          </w:p>
        </w:tc>
      </w:tr>
      <w:tr w:rsidR="00000000">
        <w:tc>
          <w:tcPr>
            <w:tcW w:w="3085" w:type="dxa"/>
            <w:tcBorders>
              <w:top w:val="single" w:sz="4" w:space="0" w:color="000000"/>
              <w:left w:val="single" w:sz="4" w:space="0" w:color="000000"/>
              <w:bottom w:val="single" w:sz="4" w:space="0" w:color="000000"/>
              <w:right w:val="single" w:sz="4" w:space="0" w:color="000000"/>
            </w:tcBorders>
            <w:vAlign w:val="center"/>
          </w:tcPr>
          <w:p w:rsidR="00000000" w:rsidRDefault="001C6034">
            <w:r>
              <w:t>基金主代码</w:t>
            </w:r>
            <w:r>
              <w:t xml:space="preserve"> </w:t>
            </w:r>
          </w:p>
        </w:tc>
        <w:tc>
          <w:tcPr>
            <w:tcW w:w="5437" w:type="dxa"/>
            <w:gridSpan w:val="2"/>
            <w:tcBorders>
              <w:top w:val="single" w:sz="4" w:space="0" w:color="000000"/>
              <w:left w:val="single" w:sz="4" w:space="0" w:color="000000"/>
              <w:bottom w:val="single" w:sz="4" w:space="0" w:color="000000"/>
              <w:right w:val="single" w:sz="4" w:space="0" w:color="000000"/>
            </w:tcBorders>
            <w:vAlign w:val="center"/>
          </w:tcPr>
          <w:p w:rsidR="00000000" w:rsidRDefault="001C6034">
            <w:r>
              <w:t>025848</w:t>
            </w:r>
          </w:p>
        </w:tc>
      </w:tr>
      <w:tr w:rsidR="00000000">
        <w:tc>
          <w:tcPr>
            <w:tcW w:w="3085" w:type="dxa"/>
            <w:tcBorders>
              <w:top w:val="single" w:sz="4" w:space="0" w:color="000000"/>
              <w:left w:val="single" w:sz="4" w:space="0" w:color="000000"/>
              <w:bottom w:val="single" w:sz="4" w:space="0" w:color="000000"/>
              <w:right w:val="single" w:sz="4" w:space="0" w:color="000000"/>
            </w:tcBorders>
            <w:vAlign w:val="center"/>
          </w:tcPr>
          <w:p w:rsidR="00000000" w:rsidRDefault="001C6034">
            <w:r>
              <w:t>基金运作方式</w:t>
            </w:r>
            <w:r>
              <w:t xml:space="preserve"> </w:t>
            </w:r>
          </w:p>
        </w:tc>
        <w:tc>
          <w:tcPr>
            <w:tcW w:w="5437" w:type="dxa"/>
            <w:gridSpan w:val="2"/>
            <w:tcBorders>
              <w:top w:val="single" w:sz="4" w:space="0" w:color="000000"/>
              <w:left w:val="single" w:sz="4" w:space="0" w:color="000000"/>
              <w:bottom w:val="single" w:sz="4" w:space="0" w:color="000000"/>
              <w:right w:val="single" w:sz="4" w:space="0" w:color="000000"/>
            </w:tcBorders>
            <w:vAlign w:val="center"/>
          </w:tcPr>
          <w:p w:rsidR="00000000" w:rsidRDefault="001C6034">
            <w:r>
              <w:t>契约型开放式</w:t>
            </w:r>
          </w:p>
        </w:tc>
      </w:tr>
      <w:tr w:rsidR="00000000">
        <w:tc>
          <w:tcPr>
            <w:tcW w:w="3085" w:type="dxa"/>
            <w:tcBorders>
              <w:top w:val="single" w:sz="4" w:space="0" w:color="000000"/>
              <w:left w:val="single" w:sz="4" w:space="0" w:color="000000"/>
              <w:bottom w:val="single" w:sz="4" w:space="0" w:color="000000"/>
              <w:right w:val="single" w:sz="4" w:space="0" w:color="000000"/>
            </w:tcBorders>
            <w:vAlign w:val="center"/>
          </w:tcPr>
          <w:p w:rsidR="00000000" w:rsidRDefault="001C6034">
            <w:r>
              <w:t>基金合同生效日</w:t>
            </w:r>
            <w:r>
              <w:t xml:space="preserve"> </w:t>
            </w:r>
          </w:p>
        </w:tc>
        <w:tc>
          <w:tcPr>
            <w:tcW w:w="5437" w:type="dxa"/>
            <w:gridSpan w:val="2"/>
            <w:tcBorders>
              <w:top w:val="single" w:sz="4" w:space="0" w:color="000000"/>
              <w:left w:val="single" w:sz="4" w:space="0" w:color="000000"/>
              <w:bottom w:val="single" w:sz="4" w:space="0" w:color="000000"/>
              <w:right w:val="single" w:sz="4" w:space="0" w:color="000000"/>
            </w:tcBorders>
            <w:vAlign w:val="center"/>
          </w:tcPr>
          <w:p w:rsidR="00000000" w:rsidRDefault="001C6034">
            <w:r>
              <w:t>2026</w:t>
            </w:r>
            <w:r>
              <w:t>年</w:t>
            </w:r>
            <w:r>
              <w:t>1</w:t>
            </w:r>
            <w:r>
              <w:t>月</w:t>
            </w:r>
            <w:r>
              <w:t>27</w:t>
            </w:r>
            <w:r>
              <w:t>日</w:t>
            </w:r>
          </w:p>
        </w:tc>
      </w:tr>
      <w:tr w:rsidR="00000000">
        <w:tc>
          <w:tcPr>
            <w:tcW w:w="3085" w:type="dxa"/>
            <w:tcBorders>
              <w:top w:val="single" w:sz="4" w:space="0" w:color="000000"/>
              <w:left w:val="single" w:sz="4" w:space="0" w:color="000000"/>
              <w:bottom w:val="single" w:sz="4" w:space="0" w:color="000000"/>
              <w:right w:val="single" w:sz="4" w:space="0" w:color="000000"/>
            </w:tcBorders>
            <w:vAlign w:val="center"/>
          </w:tcPr>
          <w:p w:rsidR="00000000" w:rsidRDefault="001C6034">
            <w:r>
              <w:t>基金管理人名称</w:t>
            </w:r>
            <w:r>
              <w:t xml:space="preserve"> </w:t>
            </w:r>
          </w:p>
        </w:tc>
        <w:tc>
          <w:tcPr>
            <w:tcW w:w="5437" w:type="dxa"/>
            <w:gridSpan w:val="2"/>
            <w:tcBorders>
              <w:top w:val="single" w:sz="4" w:space="0" w:color="000000"/>
              <w:left w:val="single" w:sz="4" w:space="0" w:color="000000"/>
              <w:bottom w:val="single" w:sz="4" w:space="0" w:color="000000"/>
              <w:right w:val="single" w:sz="4" w:space="0" w:color="000000"/>
            </w:tcBorders>
            <w:vAlign w:val="center"/>
          </w:tcPr>
          <w:p w:rsidR="00000000" w:rsidRDefault="001C6034">
            <w:r>
              <w:t>西部利得基金管理有限公司</w:t>
            </w:r>
          </w:p>
        </w:tc>
      </w:tr>
      <w:tr w:rsidR="00000000">
        <w:tc>
          <w:tcPr>
            <w:tcW w:w="3085" w:type="dxa"/>
            <w:tcBorders>
              <w:top w:val="single" w:sz="4" w:space="0" w:color="000000"/>
              <w:left w:val="single" w:sz="4" w:space="0" w:color="000000"/>
              <w:bottom w:val="single" w:sz="4" w:space="0" w:color="000000"/>
              <w:right w:val="single" w:sz="4" w:space="0" w:color="000000"/>
            </w:tcBorders>
            <w:vAlign w:val="center"/>
          </w:tcPr>
          <w:p w:rsidR="00000000" w:rsidRDefault="001C6034">
            <w:r>
              <w:t>基金托管人名称</w:t>
            </w:r>
            <w:r>
              <w:t xml:space="preserve"> </w:t>
            </w:r>
          </w:p>
        </w:tc>
        <w:tc>
          <w:tcPr>
            <w:tcW w:w="5437" w:type="dxa"/>
            <w:gridSpan w:val="2"/>
            <w:tcBorders>
              <w:top w:val="single" w:sz="4" w:space="0" w:color="000000"/>
              <w:left w:val="single" w:sz="4" w:space="0" w:color="000000"/>
              <w:bottom w:val="single" w:sz="4" w:space="0" w:color="000000"/>
              <w:right w:val="single" w:sz="4" w:space="0" w:color="000000"/>
            </w:tcBorders>
            <w:vAlign w:val="center"/>
          </w:tcPr>
          <w:p w:rsidR="00000000" w:rsidRDefault="001C6034">
            <w:r>
              <w:t>招商银行股份有限公司</w:t>
            </w:r>
          </w:p>
        </w:tc>
      </w:tr>
      <w:tr w:rsidR="00000000">
        <w:tc>
          <w:tcPr>
            <w:tcW w:w="3085" w:type="dxa"/>
            <w:tcBorders>
              <w:top w:val="single" w:sz="4" w:space="0" w:color="000000"/>
              <w:left w:val="single" w:sz="4" w:space="0" w:color="000000"/>
              <w:bottom w:val="single" w:sz="4" w:space="0" w:color="000000"/>
              <w:right w:val="single" w:sz="4" w:space="0" w:color="000000"/>
            </w:tcBorders>
            <w:vAlign w:val="center"/>
          </w:tcPr>
          <w:p w:rsidR="00000000" w:rsidRDefault="001C6034">
            <w:r>
              <w:t>基金注册登记机</w:t>
            </w:r>
            <w:r>
              <w:t>构名称</w:t>
            </w:r>
            <w:r>
              <w:t xml:space="preserve"> </w:t>
            </w:r>
          </w:p>
        </w:tc>
        <w:tc>
          <w:tcPr>
            <w:tcW w:w="5437" w:type="dxa"/>
            <w:gridSpan w:val="2"/>
            <w:tcBorders>
              <w:top w:val="single" w:sz="4" w:space="0" w:color="000000"/>
              <w:left w:val="single" w:sz="4" w:space="0" w:color="000000"/>
              <w:bottom w:val="single" w:sz="4" w:space="0" w:color="000000"/>
              <w:right w:val="single" w:sz="4" w:space="0" w:color="000000"/>
            </w:tcBorders>
            <w:vAlign w:val="center"/>
          </w:tcPr>
          <w:p w:rsidR="00000000" w:rsidRDefault="001C6034">
            <w:r>
              <w:t>西部利得基金管理有限公司</w:t>
            </w:r>
          </w:p>
        </w:tc>
      </w:tr>
      <w:tr w:rsidR="00000000">
        <w:tc>
          <w:tcPr>
            <w:tcW w:w="3085" w:type="dxa"/>
            <w:tcBorders>
              <w:top w:val="single" w:sz="4" w:space="0" w:color="000000"/>
              <w:left w:val="single" w:sz="4" w:space="0" w:color="000000"/>
              <w:bottom w:val="single" w:sz="4" w:space="0" w:color="000000"/>
              <w:right w:val="single" w:sz="4" w:space="0" w:color="000000"/>
            </w:tcBorders>
            <w:vAlign w:val="center"/>
          </w:tcPr>
          <w:p w:rsidR="00000000" w:rsidRDefault="001C6034">
            <w:r>
              <w:t>公告依据</w:t>
            </w:r>
            <w:r>
              <w:t xml:space="preserve"> </w:t>
            </w:r>
          </w:p>
        </w:tc>
        <w:tc>
          <w:tcPr>
            <w:tcW w:w="5437" w:type="dxa"/>
            <w:gridSpan w:val="2"/>
            <w:tcBorders>
              <w:top w:val="single" w:sz="4" w:space="0" w:color="000000"/>
              <w:left w:val="single" w:sz="4" w:space="0" w:color="000000"/>
              <w:bottom w:val="single" w:sz="4" w:space="0" w:color="000000"/>
              <w:right w:val="single" w:sz="4" w:space="0" w:color="000000"/>
            </w:tcBorders>
            <w:vAlign w:val="center"/>
          </w:tcPr>
          <w:p w:rsidR="00000000" w:rsidRDefault="001C6034">
            <w:r>
              <w:t>《中华人民共和国证券投资基金法》、《公开募集证券投资基金运作管理办法》等法律法规及相关规定以及《西部利得红利鑫选混合型发起式证券投资基金基金合同》、《西部利得红利鑫选混合型发起式证券投资基金招募说明书》等</w:t>
            </w:r>
          </w:p>
        </w:tc>
      </w:tr>
      <w:tr w:rsidR="00000000">
        <w:tc>
          <w:tcPr>
            <w:tcW w:w="3085" w:type="dxa"/>
            <w:tcBorders>
              <w:top w:val="single" w:sz="4" w:space="0" w:color="000000"/>
              <w:left w:val="single" w:sz="4" w:space="0" w:color="000000"/>
              <w:bottom w:val="single" w:sz="4" w:space="0" w:color="000000"/>
              <w:right w:val="single" w:sz="4" w:space="0" w:color="000000"/>
            </w:tcBorders>
            <w:vAlign w:val="center"/>
          </w:tcPr>
          <w:p w:rsidR="00000000" w:rsidRDefault="001C6034">
            <w:r>
              <w:t>申购起始日</w:t>
            </w:r>
            <w:r>
              <w:t xml:space="preserve"> </w:t>
            </w:r>
          </w:p>
        </w:tc>
        <w:tc>
          <w:tcPr>
            <w:tcW w:w="5437" w:type="dxa"/>
            <w:gridSpan w:val="2"/>
            <w:tcBorders>
              <w:top w:val="single" w:sz="4" w:space="0" w:color="000000"/>
              <w:left w:val="single" w:sz="4" w:space="0" w:color="000000"/>
              <w:bottom w:val="single" w:sz="4" w:space="0" w:color="000000"/>
              <w:right w:val="single" w:sz="4" w:space="0" w:color="000000"/>
            </w:tcBorders>
            <w:vAlign w:val="center"/>
          </w:tcPr>
          <w:p w:rsidR="00000000" w:rsidRDefault="001C6034">
            <w:r>
              <w:t>2026</w:t>
            </w:r>
            <w:r>
              <w:t>年</w:t>
            </w:r>
            <w:r>
              <w:t>2</w:t>
            </w:r>
            <w:r>
              <w:t>月</w:t>
            </w:r>
            <w:r>
              <w:t>26</w:t>
            </w:r>
            <w:r>
              <w:t>日</w:t>
            </w:r>
          </w:p>
        </w:tc>
      </w:tr>
      <w:tr w:rsidR="00000000">
        <w:tc>
          <w:tcPr>
            <w:tcW w:w="3085" w:type="dxa"/>
            <w:tcBorders>
              <w:top w:val="single" w:sz="4" w:space="0" w:color="000000"/>
              <w:left w:val="single" w:sz="4" w:space="0" w:color="000000"/>
              <w:bottom w:val="single" w:sz="4" w:space="0" w:color="000000"/>
              <w:right w:val="single" w:sz="4" w:space="0" w:color="000000"/>
            </w:tcBorders>
            <w:vAlign w:val="center"/>
          </w:tcPr>
          <w:p w:rsidR="00000000" w:rsidRDefault="001C6034">
            <w:r>
              <w:t>赎回起始日</w:t>
            </w:r>
            <w:r>
              <w:t xml:space="preserve"> </w:t>
            </w:r>
          </w:p>
        </w:tc>
        <w:tc>
          <w:tcPr>
            <w:tcW w:w="5437" w:type="dxa"/>
            <w:gridSpan w:val="2"/>
            <w:tcBorders>
              <w:top w:val="single" w:sz="4" w:space="0" w:color="000000"/>
              <w:left w:val="single" w:sz="4" w:space="0" w:color="000000"/>
              <w:bottom w:val="single" w:sz="4" w:space="0" w:color="000000"/>
              <w:right w:val="single" w:sz="4" w:space="0" w:color="000000"/>
            </w:tcBorders>
            <w:vAlign w:val="center"/>
          </w:tcPr>
          <w:p w:rsidR="00000000" w:rsidRDefault="001C6034">
            <w:r>
              <w:t>2026</w:t>
            </w:r>
            <w:r>
              <w:t>年</w:t>
            </w:r>
            <w:r>
              <w:t>2</w:t>
            </w:r>
            <w:r>
              <w:t>月</w:t>
            </w:r>
            <w:r>
              <w:t>26</w:t>
            </w:r>
            <w:r>
              <w:t>日</w:t>
            </w:r>
          </w:p>
        </w:tc>
      </w:tr>
      <w:tr w:rsidR="00000000">
        <w:tc>
          <w:tcPr>
            <w:tcW w:w="3085" w:type="dxa"/>
            <w:tcBorders>
              <w:top w:val="single" w:sz="4" w:space="0" w:color="000000"/>
              <w:left w:val="single" w:sz="4" w:space="0" w:color="000000"/>
              <w:bottom w:val="single" w:sz="4" w:space="0" w:color="000000"/>
              <w:right w:val="single" w:sz="4" w:space="0" w:color="000000"/>
            </w:tcBorders>
            <w:vAlign w:val="center"/>
          </w:tcPr>
          <w:p w:rsidR="00000000" w:rsidRDefault="001C6034">
            <w:r>
              <w:t>转换转入起始日</w:t>
            </w:r>
            <w:r>
              <w:t xml:space="preserve"> </w:t>
            </w:r>
          </w:p>
        </w:tc>
        <w:tc>
          <w:tcPr>
            <w:tcW w:w="5437" w:type="dxa"/>
            <w:gridSpan w:val="2"/>
            <w:tcBorders>
              <w:top w:val="single" w:sz="4" w:space="0" w:color="000000"/>
              <w:left w:val="single" w:sz="4" w:space="0" w:color="000000"/>
              <w:bottom w:val="single" w:sz="4" w:space="0" w:color="000000"/>
              <w:right w:val="single" w:sz="4" w:space="0" w:color="000000"/>
            </w:tcBorders>
            <w:vAlign w:val="center"/>
          </w:tcPr>
          <w:p w:rsidR="00000000" w:rsidRDefault="001C6034">
            <w:r>
              <w:t>2026</w:t>
            </w:r>
            <w:r>
              <w:t>年</w:t>
            </w:r>
            <w:r>
              <w:t>2</w:t>
            </w:r>
            <w:r>
              <w:t>月</w:t>
            </w:r>
            <w:r>
              <w:t>26</w:t>
            </w:r>
            <w:r>
              <w:t>日</w:t>
            </w:r>
          </w:p>
        </w:tc>
      </w:tr>
      <w:tr w:rsidR="00000000">
        <w:tc>
          <w:tcPr>
            <w:tcW w:w="3085" w:type="dxa"/>
            <w:tcBorders>
              <w:top w:val="single" w:sz="4" w:space="0" w:color="000000"/>
              <w:left w:val="single" w:sz="4" w:space="0" w:color="000000"/>
              <w:bottom w:val="single" w:sz="4" w:space="0" w:color="000000"/>
              <w:right w:val="single" w:sz="4" w:space="0" w:color="000000"/>
            </w:tcBorders>
            <w:vAlign w:val="center"/>
          </w:tcPr>
          <w:p w:rsidR="00000000" w:rsidRDefault="001C6034">
            <w:r>
              <w:t>转换转出起始日</w:t>
            </w:r>
            <w:r>
              <w:t xml:space="preserve"> </w:t>
            </w:r>
          </w:p>
        </w:tc>
        <w:tc>
          <w:tcPr>
            <w:tcW w:w="5437" w:type="dxa"/>
            <w:gridSpan w:val="2"/>
            <w:tcBorders>
              <w:top w:val="single" w:sz="4" w:space="0" w:color="000000"/>
              <w:left w:val="single" w:sz="4" w:space="0" w:color="000000"/>
              <w:bottom w:val="single" w:sz="4" w:space="0" w:color="000000"/>
              <w:right w:val="single" w:sz="4" w:space="0" w:color="000000"/>
            </w:tcBorders>
            <w:vAlign w:val="center"/>
          </w:tcPr>
          <w:p w:rsidR="00000000" w:rsidRDefault="001C6034">
            <w:r>
              <w:t>2026</w:t>
            </w:r>
            <w:r>
              <w:t>年</w:t>
            </w:r>
            <w:r>
              <w:t>2</w:t>
            </w:r>
            <w:r>
              <w:t>月</w:t>
            </w:r>
            <w:r>
              <w:t>26</w:t>
            </w:r>
            <w:r>
              <w:t>日</w:t>
            </w:r>
          </w:p>
        </w:tc>
      </w:tr>
      <w:tr w:rsidR="00000000">
        <w:tc>
          <w:tcPr>
            <w:tcW w:w="3652" w:type="dxa"/>
            <w:tcBorders>
              <w:top w:val="single" w:sz="4" w:space="0" w:color="000000"/>
              <w:left w:val="single" w:sz="4" w:space="0" w:color="000000"/>
              <w:bottom w:val="single" w:sz="4" w:space="0" w:color="000000"/>
              <w:right w:val="single" w:sz="4" w:space="0" w:color="000000"/>
            </w:tcBorders>
            <w:vAlign w:val="center"/>
          </w:tcPr>
          <w:p w:rsidR="00000000" w:rsidRDefault="001C6034">
            <w:r>
              <w:rPr>
                <w:rFonts w:ascii="Times New Roman" w:hAnsi="Times New Roman"/>
              </w:rPr>
              <w:t>定期定额投资起始日</w:t>
            </w:r>
          </w:p>
        </w:tc>
        <w:tc>
          <w:tcPr>
            <w:tcW w:w="4870" w:type="dxa"/>
            <w:gridSpan w:val="2"/>
            <w:tcBorders>
              <w:top w:val="single" w:sz="4" w:space="0" w:color="000000"/>
              <w:left w:val="nil"/>
              <w:bottom w:val="single" w:sz="4" w:space="0" w:color="000000"/>
              <w:right w:val="single" w:sz="4" w:space="0" w:color="000000"/>
            </w:tcBorders>
            <w:vAlign w:val="center"/>
          </w:tcPr>
          <w:p w:rsidR="00000000" w:rsidRDefault="001C6034">
            <w:r>
              <w:t>2026</w:t>
            </w:r>
            <w:r>
              <w:t>年</w:t>
            </w:r>
            <w:r>
              <w:t>2</w:t>
            </w:r>
            <w:r>
              <w:t>月</w:t>
            </w:r>
            <w:r>
              <w:t>26</w:t>
            </w:r>
            <w:r>
              <w:t>日</w:t>
            </w:r>
          </w:p>
        </w:tc>
      </w:tr>
      <w:tr w:rsidR="00000000">
        <w:tc>
          <w:tcPr>
            <w:tcW w:w="3652" w:type="dxa"/>
            <w:tcBorders>
              <w:top w:val="single" w:sz="4" w:space="0" w:color="000000"/>
              <w:left w:val="single" w:sz="4" w:space="0" w:color="000000"/>
              <w:bottom w:val="single" w:sz="4" w:space="0" w:color="000000"/>
              <w:right w:val="nil"/>
            </w:tcBorders>
            <w:vAlign w:val="center"/>
          </w:tcPr>
          <w:p w:rsidR="00000000" w:rsidRDefault="001C6034">
            <w:r>
              <w:rPr>
                <w:rFonts w:ascii="Times New Roman" w:hAnsi="Times New Roman"/>
              </w:rPr>
              <w:t>下属分级基金的基金简称</w:t>
            </w:r>
            <w:r>
              <w:t xml:space="preserve"> </w:t>
            </w:r>
          </w:p>
        </w:tc>
        <w:tc>
          <w:tcPr>
            <w:tcW w:w="3652" w:type="dxa"/>
            <w:tcBorders>
              <w:top w:val="single" w:sz="4" w:space="0" w:color="000000"/>
              <w:left w:val="single" w:sz="4" w:space="0" w:color="000000"/>
              <w:bottom w:val="single" w:sz="4" w:space="0" w:color="000000"/>
              <w:right w:val="single" w:sz="4" w:space="0" w:color="000000"/>
            </w:tcBorders>
            <w:vAlign w:val="center"/>
          </w:tcPr>
          <w:p w:rsidR="00000000" w:rsidRDefault="001C6034">
            <w:r>
              <w:rPr>
                <w:rFonts w:ascii="Times New Roman" w:hAnsi="Times New Roman"/>
              </w:rPr>
              <w:t>西部利得红利鑫选混合发起</w:t>
            </w:r>
            <w:r>
              <w:rPr>
                <w:rFonts w:ascii="Times New Roman" w:hAnsi="Times New Roman"/>
              </w:rPr>
              <w:t>A</w:t>
            </w:r>
            <w:r>
              <w:t xml:space="preserve"> </w:t>
            </w:r>
          </w:p>
        </w:tc>
        <w:tc>
          <w:tcPr>
            <w:tcW w:w="3652" w:type="dxa"/>
            <w:tcBorders>
              <w:top w:val="single" w:sz="4" w:space="0" w:color="000000"/>
              <w:left w:val="single" w:sz="4" w:space="0" w:color="000000"/>
              <w:bottom w:val="single" w:sz="4" w:space="0" w:color="000000"/>
              <w:right w:val="single" w:sz="4" w:space="0" w:color="000000"/>
            </w:tcBorders>
            <w:vAlign w:val="center"/>
          </w:tcPr>
          <w:p w:rsidR="00000000" w:rsidRDefault="001C6034">
            <w:r>
              <w:rPr>
                <w:rFonts w:ascii="Times New Roman" w:hAnsi="Times New Roman"/>
              </w:rPr>
              <w:t>西部利得红利鑫选混合发起</w:t>
            </w:r>
            <w:r>
              <w:rPr>
                <w:rFonts w:ascii="Times New Roman" w:hAnsi="Times New Roman"/>
              </w:rPr>
              <w:t>C</w:t>
            </w:r>
            <w:r>
              <w:t xml:space="preserve"> </w:t>
            </w:r>
          </w:p>
        </w:tc>
      </w:tr>
      <w:tr w:rsidR="00000000">
        <w:tc>
          <w:tcPr>
            <w:tcW w:w="3652" w:type="dxa"/>
            <w:tcBorders>
              <w:top w:val="single" w:sz="4" w:space="0" w:color="000000"/>
              <w:left w:val="single" w:sz="4" w:space="0" w:color="000000"/>
              <w:bottom w:val="single" w:sz="4" w:space="0" w:color="000000"/>
              <w:right w:val="nil"/>
            </w:tcBorders>
            <w:vAlign w:val="center"/>
          </w:tcPr>
          <w:p w:rsidR="00000000" w:rsidRDefault="001C6034">
            <w:r>
              <w:rPr>
                <w:rFonts w:ascii="Times New Roman" w:hAnsi="Times New Roman"/>
              </w:rPr>
              <w:t>下属分级基金的交易代码</w:t>
            </w:r>
            <w:r>
              <w:t xml:space="preserve"> </w:t>
            </w:r>
          </w:p>
        </w:tc>
        <w:tc>
          <w:tcPr>
            <w:tcW w:w="3652" w:type="dxa"/>
            <w:tcBorders>
              <w:top w:val="single" w:sz="4" w:space="0" w:color="000000"/>
              <w:left w:val="single" w:sz="4" w:space="0" w:color="000000"/>
              <w:bottom w:val="single" w:sz="4" w:space="0" w:color="000000"/>
              <w:right w:val="single" w:sz="4" w:space="0" w:color="000000"/>
            </w:tcBorders>
            <w:vAlign w:val="center"/>
          </w:tcPr>
          <w:p w:rsidR="00000000" w:rsidRDefault="001C6034">
            <w:r>
              <w:rPr>
                <w:rFonts w:ascii="Times New Roman" w:hAnsi="Times New Roman"/>
              </w:rPr>
              <w:t>025848</w:t>
            </w:r>
            <w:r>
              <w:t xml:space="preserve"> </w:t>
            </w:r>
          </w:p>
        </w:tc>
        <w:tc>
          <w:tcPr>
            <w:tcW w:w="3652" w:type="dxa"/>
            <w:tcBorders>
              <w:top w:val="single" w:sz="4" w:space="0" w:color="000000"/>
              <w:left w:val="single" w:sz="4" w:space="0" w:color="000000"/>
              <w:bottom w:val="single" w:sz="4" w:space="0" w:color="000000"/>
              <w:right w:val="single" w:sz="4" w:space="0" w:color="000000"/>
            </w:tcBorders>
            <w:vAlign w:val="center"/>
          </w:tcPr>
          <w:p w:rsidR="00000000" w:rsidRDefault="001C6034">
            <w:r>
              <w:rPr>
                <w:rFonts w:ascii="Times New Roman" w:hAnsi="Times New Roman"/>
              </w:rPr>
              <w:t>025849</w:t>
            </w:r>
            <w:r>
              <w:t xml:space="preserve"> </w:t>
            </w:r>
          </w:p>
        </w:tc>
      </w:tr>
      <w:tr w:rsidR="00000000">
        <w:tc>
          <w:tcPr>
            <w:tcW w:w="3652" w:type="dxa"/>
            <w:tcBorders>
              <w:top w:val="single" w:sz="4" w:space="0" w:color="000000"/>
              <w:left w:val="single" w:sz="4" w:space="0" w:color="000000"/>
              <w:bottom w:val="single" w:sz="4" w:space="0" w:color="000000"/>
              <w:right w:val="nil"/>
            </w:tcBorders>
            <w:vAlign w:val="center"/>
          </w:tcPr>
          <w:p w:rsidR="00000000" w:rsidRDefault="001C6034">
            <w:r>
              <w:rPr>
                <w:rFonts w:ascii="Times New Roman" w:hAnsi="Times New Roman"/>
              </w:rPr>
              <w:t>该分级基金是否开放申购、赎回（转换、定期定额投资）</w:t>
            </w:r>
            <w:r>
              <w:t xml:space="preserve"> </w:t>
            </w:r>
          </w:p>
        </w:tc>
        <w:tc>
          <w:tcPr>
            <w:tcW w:w="3652" w:type="dxa"/>
            <w:tcBorders>
              <w:top w:val="single" w:sz="4" w:space="0" w:color="000000"/>
              <w:left w:val="single" w:sz="4" w:space="0" w:color="000000"/>
              <w:bottom w:val="single" w:sz="4" w:space="0" w:color="000000"/>
              <w:right w:val="single" w:sz="4" w:space="0" w:color="000000"/>
            </w:tcBorders>
            <w:vAlign w:val="center"/>
          </w:tcPr>
          <w:p w:rsidR="00000000" w:rsidRDefault="001C6034">
            <w:r>
              <w:rPr>
                <w:rFonts w:ascii="Times New Roman" w:hAnsi="Times New Roman"/>
              </w:rPr>
              <w:t>是</w:t>
            </w:r>
            <w:r>
              <w:t xml:space="preserve"> </w:t>
            </w:r>
          </w:p>
        </w:tc>
        <w:tc>
          <w:tcPr>
            <w:tcW w:w="3652" w:type="dxa"/>
            <w:tcBorders>
              <w:top w:val="single" w:sz="4" w:space="0" w:color="000000"/>
              <w:left w:val="single" w:sz="4" w:space="0" w:color="000000"/>
              <w:bottom w:val="single" w:sz="4" w:space="0" w:color="000000"/>
              <w:right w:val="single" w:sz="4" w:space="0" w:color="000000"/>
            </w:tcBorders>
            <w:vAlign w:val="center"/>
          </w:tcPr>
          <w:p w:rsidR="00000000" w:rsidRDefault="001C6034">
            <w:r>
              <w:rPr>
                <w:rFonts w:ascii="Times New Roman" w:hAnsi="Times New Roman"/>
              </w:rPr>
              <w:t>是</w:t>
            </w:r>
            <w:r>
              <w:t xml:space="preserve"> </w:t>
            </w:r>
          </w:p>
        </w:tc>
      </w:tr>
    </w:tbl>
    <w:p w:rsidR="00000000" w:rsidRDefault="001C6034">
      <w:pPr>
        <w:pStyle w:val="XBRLTitle1"/>
        <w:spacing w:before="156" w:line="360" w:lineRule="auto"/>
      </w:pPr>
      <w:bookmarkStart w:id="14" w:name="_Toc34841029"/>
      <w:bookmarkStart w:id="15" w:name="_Toc34758520"/>
      <w:bookmarkStart w:id="16" w:name="_Toc513295847"/>
      <w:bookmarkStart w:id="17" w:name="_Toc17898179"/>
      <w:bookmarkStart w:id="18" w:name="_Toc17897937"/>
      <w:bookmarkStart w:id="19" w:name="_Toc490050001"/>
      <w:bookmarkStart w:id="20" w:name="_Toc438646452"/>
      <w:bookmarkStart w:id="21" w:name="_Toc481075047"/>
      <w:bookmarkStart w:id="22" w:name="_Toc513295893"/>
      <w:bookmarkStart w:id="23" w:name="_Toc512519481"/>
      <w:r>
        <w:rPr>
          <w:rFonts w:hAnsi="宋体"/>
          <w:lang w:val="en-US"/>
        </w:rPr>
        <w:t>日常申购、赎回</w:t>
      </w:r>
      <w:r>
        <w:rPr>
          <w:rFonts w:hAnsi="宋体"/>
          <w:lang w:val="en-US"/>
        </w:rPr>
        <w:t>(</w:t>
      </w:r>
      <w:r>
        <w:rPr>
          <w:rFonts w:hAnsi="宋体"/>
          <w:lang w:val="en-US"/>
        </w:rPr>
        <w:t>转换、定期定额投资</w:t>
      </w:r>
      <w:r>
        <w:rPr>
          <w:rFonts w:hAnsi="宋体"/>
          <w:lang w:val="en-US"/>
        </w:rPr>
        <w:t>)</w:t>
      </w:r>
      <w:r>
        <w:rPr>
          <w:rFonts w:hAnsi="宋体"/>
          <w:lang w:val="en-US"/>
        </w:rPr>
        <w:t>业务的办理时间</w:t>
      </w:r>
      <w:bookmarkEnd w:id="14"/>
      <w:bookmarkEnd w:id="15"/>
      <w:r>
        <w:rPr>
          <w:rFonts w:hAnsi="宋体"/>
          <w:lang w:val="en-US"/>
        </w:rPr>
        <w:t xml:space="preserve"> </w:t>
      </w:r>
    </w:p>
    <w:p w:rsidR="00000000" w:rsidRDefault="001C6034">
      <w:pPr>
        <w:spacing w:line="360" w:lineRule="auto"/>
        <w:ind w:firstLineChars="200" w:firstLine="420"/>
      </w:pPr>
      <w:bookmarkStart w:id="24" w:name="m201"/>
      <w:bookmarkStart w:id="25" w:name="m07_04_13_00"/>
      <w:bookmarkStart w:id="26" w:name="m201_01"/>
      <w:bookmarkStart w:id="27" w:name="m07_04_07_09"/>
      <w:bookmarkStart w:id="28" w:name="m07_04_07_09_tab"/>
      <w:r>
        <w:rPr>
          <w:rFonts w:cs="宋体"/>
        </w:rPr>
        <w:t>投资人在开放日办理基金份额的申购和赎回，具体办理时间为上海证券交易所、深圳证券交易所的正常交易日的交易时间（若本基金参与港股通交易且该工作日为非港股通交易日时，则基金管理人可根据实际情况决定本基金是否开放申购、赎回或其他业务并公告），但基金管理人根据法律法规、中国证监会的要求或基金合同的规定</w:t>
      </w:r>
      <w:r>
        <w:rPr>
          <w:rFonts w:cs="宋体"/>
        </w:rPr>
        <w:t>公告暂停申购、赎回时除外。</w:t>
      </w:r>
      <w:r>
        <w:rPr>
          <w:rFonts w:cs="宋体"/>
        </w:rPr>
        <w:br/>
      </w:r>
      <w:r>
        <w:rPr>
          <w:rFonts w:cs="宋体"/>
        </w:rPr>
        <w:t xml:space="preserve">　　基金合同生效后，若出现新的证券</w:t>
      </w:r>
      <w:r>
        <w:rPr>
          <w:rFonts w:cs="宋体"/>
        </w:rPr>
        <w:t>/</w:t>
      </w:r>
      <w:r>
        <w:rPr>
          <w:rFonts w:cs="宋体"/>
        </w:rPr>
        <w:t>期货交易市场、证券</w:t>
      </w:r>
      <w:r>
        <w:rPr>
          <w:rFonts w:cs="宋体"/>
        </w:rPr>
        <w:t>/</w:t>
      </w:r>
      <w:r>
        <w:rPr>
          <w:rFonts w:cs="宋体"/>
        </w:rPr>
        <w:t>期货交易所交易时间变更或其他特殊情况，基金管理人将视情况对前述开放日及开放时间进行相应的调整，但应在实施日前依照《公开募集证券投资基金信息披露管理办法》的有关规定在规定媒介上公告。</w:t>
      </w:r>
    </w:p>
    <w:p w:rsidR="00000000" w:rsidRDefault="001C6034">
      <w:pPr>
        <w:pStyle w:val="XBRLTitle1"/>
        <w:spacing w:before="156" w:line="360" w:lineRule="auto"/>
      </w:pPr>
      <w:bookmarkStart w:id="29" w:name="_Toc34841030"/>
      <w:bookmarkStart w:id="30" w:name="_Toc34758521"/>
      <w:bookmarkStart w:id="31" w:name="_Toc513295894"/>
      <w:bookmarkStart w:id="32" w:name="_Toc513295848"/>
      <w:bookmarkStart w:id="33" w:name="_Toc490050003"/>
      <w:bookmarkStart w:id="34" w:name="_Toc438646455"/>
      <w:bookmarkStart w:id="35" w:name="_Toc512519482"/>
      <w:bookmarkStart w:id="36" w:name="_Toc17897938"/>
      <w:bookmarkStart w:id="37" w:name="_Toc17898180"/>
      <w:bookmarkStart w:id="38" w:name="m401"/>
      <w:bookmarkStart w:id="39" w:name="m401_tab"/>
      <w:bookmarkStart w:id="40" w:name="_Toc481075049"/>
      <w:r>
        <w:rPr>
          <w:rFonts w:hAnsi="宋体"/>
          <w:lang w:val="en-US"/>
        </w:rPr>
        <w:t>日常申购业务</w:t>
      </w:r>
      <w:bookmarkEnd w:id="29"/>
      <w:bookmarkEnd w:id="30"/>
      <w:r>
        <w:rPr>
          <w:rFonts w:hAnsi="宋体"/>
          <w:lang w:val="en-US"/>
        </w:rPr>
        <w:t xml:space="preserve"> </w:t>
      </w:r>
    </w:p>
    <w:p w:rsidR="00000000" w:rsidRDefault="001C6034">
      <w:pPr>
        <w:pStyle w:val="XBRLTitle2"/>
        <w:spacing w:before="156" w:line="360" w:lineRule="auto"/>
      </w:pPr>
      <w:bookmarkStart w:id="41" w:name="_Toc34841031"/>
      <w:bookmarkStart w:id="42" w:name="_Toc17898181"/>
      <w:bookmarkStart w:id="43" w:name="_Toc17897939"/>
      <w:bookmarkStart w:id="44" w:name="_Toc512519483"/>
      <w:bookmarkStart w:id="45" w:name="_Toc34758522"/>
      <w:bookmarkStart w:id="46" w:name="_Toc513295895"/>
      <w:bookmarkStart w:id="47" w:name="_Toc513295849"/>
      <w:bookmarkStart w:id="48" w:name="_Toc490050004"/>
      <w:bookmarkStart w:id="49" w:name="_Toc438646456"/>
      <w:bookmarkStart w:id="50" w:name="_Toc481075050"/>
      <w:r>
        <w:rPr>
          <w:rFonts w:hAnsi="宋体"/>
          <w:lang w:val="en-US"/>
        </w:rPr>
        <w:t>申购金额限制</w:t>
      </w:r>
      <w:bookmarkEnd w:id="41"/>
      <w:bookmarkEnd w:id="42"/>
      <w:bookmarkEnd w:id="43"/>
      <w:bookmarkEnd w:id="44"/>
      <w:bookmarkEnd w:id="50"/>
      <w:bookmarkEnd w:id="49"/>
      <w:bookmarkEnd w:id="48"/>
      <w:bookmarkEnd w:id="47"/>
      <w:bookmarkEnd w:id="46"/>
      <w:bookmarkEnd w:id="45"/>
      <w:r>
        <w:rPr>
          <w:rFonts w:hAnsi="宋体"/>
          <w:lang w:val="en-US"/>
        </w:rPr>
        <w:t xml:space="preserve"> </w:t>
      </w:r>
    </w:p>
    <w:p w:rsidR="00000000" w:rsidRDefault="001C6034">
      <w:pPr>
        <w:spacing w:line="360" w:lineRule="auto"/>
        <w:ind w:firstLineChars="200" w:firstLine="420"/>
      </w:pPr>
      <w:r>
        <w:rPr>
          <w:rFonts w:cs="宋体"/>
        </w:rPr>
        <w:t>1</w:t>
      </w:r>
      <w:r>
        <w:rPr>
          <w:rFonts w:cs="宋体"/>
        </w:rPr>
        <w:t>、投资人通过本基金代销机构及直销电子交易平台办理申购时，单笔申购最低金额为</w:t>
      </w:r>
      <w:r>
        <w:rPr>
          <w:rFonts w:cs="宋体"/>
        </w:rPr>
        <w:t>1.00</w:t>
      </w:r>
      <w:r>
        <w:rPr>
          <w:rFonts w:cs="宋体"/>
        </w:rPr>
        <w:t>元（含申购费），每笔追加申购的最低金额为</w:t>
      </w:r>
      <w:r>
        <w:rPr>
          <w:rFonts w:cs="宋体"/>
        </w:rPr>
        <w:t>1.00</w:t>
      </w:r>
      <w:r>
        <w:rPr>
          <w:rFonts w:cs="宋体"/>
        </w:rPr>
        <w:t>元（含申购费）。通过直销柜台首次申购的最低金额为</w:t>
      </w:r>
      <w:r>
        <w:rPr>
          <w:rFonts w:cs="宋体"/>
        </w:rPr>
        <w:t>50,000.00</w:t>
      </w:r>
      <w:r>
        <w:rPr>
          <w:rFonts w:cs="宋体"/>
        </w:rPr>
        <w:t>元（含申购费），</w:t>
      </w:r>
      <w:r>
        <w:rPr>
          <w:rFonts w:cs="宋体"/>
        </w:rPr>
        <w:t>追加申购最低金额为</w:t>
      </w:r>
      <w:r>
        <w:rPr>
          <w:rFonts w:cs="宋体"/>
        </w:rPr>
        <w:t>1,000.00</w:t>
      </w:r>
      <w:r>
        <w:rPr>
          <w:rFonts w:cs="宋体"/>
        </w:rPr>
        <w:t>元（含申购费），已有认</w:t>
      </w:r>
      <w:r>
        <w:rPr>
          <w:rFonts w:cs="宋体"/>
        </w:rPr>
        <w:t>/</w:t>
      </w:r>
      <w:r>
        <w:rPr>
          <w:rFonts w:cs="宋体"/>
        </w:rPr>
        <w:t>申购</w:t>
      </w:r>
      <w:r>
        <w:rPr>
          <w:rFonts w:cs="宋体"/>
        </w:rPr>
        <w:lastRenderedPageBreak/>
        <w:t>本基金记录的投资人不受首次申购最低金额的限制，但受追加申购最低金额的限制。代销机构及直销电子交易平台的投资人欲转入直销柜台进行交易要受直销柜台最低金额的限制。</w:t>
      </w:r>
      <w:r>
        <w:rPr>
          <w:rFonts w:cs="宋体"/>
        </w:rPr>
        <w:br/>
      </w:r>
      <w:r>
        <w:rPr>
          <w:rFonts w:cs="宋体"/>
        </w:rPr>
        <w:t xml:space="preserve">　　</w:t>
      </w:r>
      <w:r>
        <w:rPr>
          <w:rFonts w:cs="宋体"/>
        </w:rPr>
        <w:t>2</w:t>
      </w:r>
      <w:r>
        <w:rPr>
          <w:rFonts w:cs="宋体"/>
        </w:rPr>
        <w:t>、基金管理人可以规定单个投资人累计持有的基金份额上限，具体规定请参见相关公告。</w:t>
      </w:r>
      <w:r>
        <w:rPr>
          <w:rFonts w:cs="宋体"/>
        </w:rPr>
        <w:br/>
      </w:r>
      <w:r>
        <w:rPr>
          <w:rFonts w:cs="宋体"/>
        </w:rPr>
        <w:t xml:space="preserve">　　</w:t>
      </w:r>
      <w:r>
        <w:rPr>
          <w:rFonts w:cs="宋体"/>
        </w:rPr>
        <w:t>3</w:t>
      </w:r>
      <w:r>
        <w:rPr>
          <w:rFonts w:cs="宋体"/>
        </w:rPr>
        <w:t>、基金管理人可以规定单个投资者单日或单笔申购金额上限，具体规定请参见相关公告。</w:t>
      </w:r>
      <w:r>
        <w:rPr>
          <w:rFonts w:cs="宋体"/>
        </w:rPr>
        <w:br/>
      </w:r>
      <w:r>
        <w:rPr>
          <w:rFonts w:cs="宋体"/>
        </w:rPr>
        <w:t xml:space="preserve">　　</w:t>
      </w:r>
      <w:r>
        <w:rPr>
          <w:rFonts w:cs="宋体"/>
        </w:rPr>
        <w:t>4</w:t>
      </w:r>
      <w:r>
        <w:rPr>
          <w:rFonts w:cs="宋体"/>
        </w:rPr>
        <w:t>、基金管理人有权规定本基金的总规模限额和单日净申购比例上限，具体规模或比例上限请参见相关公告。</w:t>
      </w:r>
      <w:r>
        <w:rPr>
          <w:rFonts w:cs="宋体"/>
        </w:rPr>
        <w:br/>
      </w:r>
      <w:r>
        <w:rPr>
          <w:rFonts w:cs="宋体"/>
        </w:rPr>
        <w:t xml:space="preserve">　　</w:t>
      </w:r>
      <w:r>
        <w:rPr>
          <w:rFonts w:cs="宋体"/>
        </w:rPr>
        <w:t>5</w:t>
      </w:r>
      <w:r>
        <w:rPr>
          <w:rFonts w:cs="宋体"/>
        </w:rPr>
        <w:t>、当接受申</w:t>
      </w:r>
      <w:r>
        <w:rPr>
          <w:rFonts w:cs="宋体"/>
        </w:rPr>
        <w:t>购申请对存量基金份额持有人利益构成潜在重大不利影响时，基金管理人有权采取设定单一投资者申购金额上限或基金单日净申购比例上限、拒绝大额申购、暂停基金申购等措施，切实保护存量基金份额持有人的合法权益。基金管理人基于投资运作与风险控制的需要，可采取上述措施对基金规模予以控制。具体见基金管理人相关公告。</w:t>
      </w:r>
      <w:r>
        <w:rPr>
          <w:rFonts w:cs="宋体"/>
        </w:rPr>
        <w:br/>
      </w:r>
      <w:r>
        <w:rPr>
          <w:rFonts w:cs="宋体"/>
        </w:rPr>
        <w:t xml:space="preserve">　　</w:t>
      </w:r>
      <w:r>
        <w:rPr>
          <w:rFonts w:cs="宋体"/>
        </w:rPr>
        <w:t>6</w:t>
      </w:r>
      <w:r>
        <w:rPr>
          <w:rFonts w:cs="宋体"/>
        </w:rPr>
        <w:t>、基金管理人可在法律法规允许的情况下，调整上述规定申购金额的数量限制，或新增规模控制措施。基金管理人必须在调整实施前（含当日）依照《公开募集证券投资基金信息披露管理办法》的有关规定在规定媒介上公告。</w:t>
      </w:r>
    </w:p>
    <w:p w:rsidR="00000000" w:rsidRDefault="001C6034">
      <w:pPr>
        <w:pStyle w:val="XBRLTitle2"/>
        <w:spacing w:before="156" w:line="360" w:lineRule="auto"/>
      </w:pPr>
      <w:bookmarkStart w:id="51" w:name="_Toc512519484"/>
      <w:bookmarkStart w:id="52" w:name="_Toc481075051"/>
      <w:bookmarkStart w:id="53" w:name="_Toc438646457"/>
      <w:bookmarkStart w:id="54" w:name="_Toc490050005"/>
      <w:bookmarkStart w:id="55" w:name="_Toc513465658"/>
      <w:r>
        <w:rPr>
          <w:rFonts w:hAnsi="宋体"/>
          <w:lang w:val="en-US"/>
        </w:rPr>
        <w:t>申购费率</w:t>
      </w:r>
      <w:bookmarkEnd w:id="55"/>
      <w:r>
        <w:rPr>
          <w:rFonts w:hAnsi="宋体"/>
          <w:lang w:val="en-US"/>
        </w:rPr>
        <w:t xml:space="preserve"> </w:t>
      </w:r>
    </w:p>
    <w:p w:rsidR="00000000" w:rsidRDefault="001C6034">
      <w:pPr>
        <w:spacing w:line="360" w:lineRule="auto"/>
        <w:ind w:firstLineChars="200" w:firstLine="420"/>
      </w:pPr>
      <w:r>
        <w:rPr>
          <w:rFonts w:cs="宋体"/>
        </w:rPr>
        <w:t>本基金</w:t>
      </w:r>
      <w:r>
        <w:rPr>
          <w:rFonts w:cs="宋体"/>
        </w:rPr>
        <w:t>A</w:t>
      </w:r>
      <w:r>
        <w:rPr>
          <w:rFonts w:cs="宋体"/>
        </w:rPr>
        <w:t>类基金份额在投资人申购时收取申购费，</w:t>
      </w:r>
      <w:r>
        <w:rPr>
          <w:rFonts w:cs="宋体"/>
        </w:rPr>
        <w:t>C</w:t>
      </w:r>
      <w:r>
        <w:rPr>
          <w:rFonts w:cs="宋体"/>
        </w:rPr>
        <w:t>类基金份额不收取申购费。申购费用不列入基金财产，由申购</w:t>
      </w:r>
      <w:r>
        <w:rPr>
          <w:rFonts w:cs="宋体"/>
        </w:rPr>
        <w:t>A</w:t>
      </w:r>
      <w:r>
        <w:rPr>
          <w:rFonts w:cs="宋体"/>
        </w:rPr>
        <w:t>类基金份额的投资人承担，主要用于本基金的市场推广、销售、登记等各项费用。</w:t>
      </w:r>
    </w:p>
    <w:p w:rsidR="00000000" w:rsidRDefault="001C6034">
      <w:pPr>
        <w:pStyle w:val="XBRLTitle3"/>
        <w:spacing w:before="156"/>
      </w:pPr>
      <w:bookmarkStart w:id="56" w:name="_Toc490050006"/>
      <w:bookmarkStart w:id="57" w:name="_Toc513465659"/>
      <w:bookmarkStart w:id="58" w:name="_Toc512519485"/>
      <w:bookmarkStart w:id="59" w:name="_Toc481075052"/>
      <w:r>
        <w:rPr>
          <w:lang w:val="en-US"/>
        </w:rPr>
        <w:t>前端收费</w:t>
      </w:r>
      <w:bookmarkEnd w:id="57"/>
      <w:r>
        <w:rPr>
          <w:lang w:val="en-US"/>
        </w:rPr>
        <w:t xml:space="preserve"> </w:t>
      </w:r>
    </w:p>
    <w:p w:rsidR="00000000" w:rsidRDefault="001C6034">
      <w:pPr>
        <w:spacing w:line="360" w:lineRule="auto"/>
        <w:jc w:val="center"/>
      </w:pPr>
      <w:r>
        <w:rPr>
          <w:rFonts w:cs="宋体"/>
        </w:rPr>
        <w:t>西部利得红利鑫选混合发起</w:t>
      </w:r>
      <w:r>
        <w:rPr>
          <w:rFonts w:cs="宋体"/>
        </w:rPr>
        <w:t>A</w:t>
      </w:r>
      <w:r>
        <w:rPr>
          <w:rFonts w:cs="宋体"/>
          <w:kern w:val="0"/>
        </w:rPr>
        <w:t xml:space="preserve"> </w:t>
      </w:r>
    </w:p>
    <w:tbl>
      <w:tblPr>
        <w:tblW w:w="0" w:type="auto"/>
        <w:tblInd w:w="0" w:type="dxa"/>
        <w:tblBorders>
          <w:top w:val="single" w:sz="4" w:space="0" w:color="000000"/>
          <w:left w:val="single" w:sz="4" w:space="0" w:color="000000"/>
          <w:bottom w:val="single" w:sz="4" w:space="0" w:color="000000"/>
          <w:right w:val="single" w:sz="4" w:space="0" w:color="000000"/>
          <w:insideH w:val="outset" w:sz="6" w:space="0" w:color="auto"/>
          <w:insideV w:val="outset" w:sz="6" w:space="0" w:color="auto"/>
        </w:tblBorders>
        <w:tblLayout w:type="fixed"/>
        <w:tblLook w:val="0000"/>
      </w:tblPr>
      <w:tblGrid>
        <w:gridCol w:w="3369"/>
        <w:gridCol w:w="2551"/>
        <w:gridCol w:w="2602"/>
      </w:tblGrid>
      <w:tr w:rsidR="00000000">
        <w:tc>
          <w:tcPr>
            <w:tcW w:w="3369" w:type="dxa"/>
            <w:tcBorders>
              <w:top w:val="single" w:sz="4" w:space="0" w:color="000000"/>
              <w:left w:val="single" w:sz="4" w:space="0" w:color="000000"/>
              <w:bottom w:val="single" w:sz="4" w:space="0" w:color="000000"/>
              <w:right w:val="single" w:sz="4" w:space="0" w:color="000000"/>
            </w:tcBorders>
            <w:vAlign w:val="center"/>
          </w:tcPr>
          <w:p w:rsidR="00000000" w:rsidRDefault="001C6034">
            <w:pPr>
              <w:jc w:val="center"/>
            </w:pPr>
            <w:r>
              <w:t>申购金额</w:t>
            </w:r>
            <w:r>
              <w:t xml:space="preserve">(M) </w:t>
            </w:r>
          </w:p>
        </w:tc>
        <w:tc>
          <w:tcPr>
            <w:tcW w:w="2551" w:type="dxa"/>
            <w:tcBorders>
              <w:top w:val="single" w:sz="4" w:space="0" w:color="000000"/>
              <w:left w:val="single" w:sz="4" w:space="0" w:color="000000"/>
              <w:bottom w:val="single" w:sz="4" w:space="0" w:color="000000"/>
              <w:right w:val="single" w:sz="4" w:space="0" w:color="000000"/>
            </w:tcBorders>
            <w:vAlign w:val="center"/>
          </w:tcPr>
          <w:p w:rsidR="00000000" w:rsidRDefault="001C6034">
            <w:pPr>
              <w:jc w:val="center"/>
            </w:pPr>
            <w:r>
              <w:t>申购费率</w:t>
            </w:r>
            <w:r>
              <w:t xml:space="preserve"> </w:t>
            </w:r>
          </w:p>
        </w:tc>
        <w:tc>
          <w:tcPr>
            <w:tcW w:w="2602" w:type="dxa"/>
            <w:tcBorders>
              <w:top w:val="single" w:sz="4" w:space="0" w:color="000000"/>
              <w:left w:val="single" w:sz="4" w:space="0" w:color="000000"/>
              <w:bottom w:val="single" w:sz="4" w:space="0" w:color="000000"/>
              <w:right w:val="single" w:sz="4" w:space="0" w:color="000000"/>
            </w:tcBorders>
            <w:vAlign w:val="center"/>
          </w:tcPr>
          <w:p w:rsidR="00000000" w:rsidRDefault="001C6034">
            <w:pPr>
              <w:jc w:val="center"/>
            </w:pPr>
            <w:r>
              <w:t>备注</w:t>
            </w:r>
            <w:r>
              <w:t xml:space="preserve"> </w:t>
            </w:r>
          </w:p>
        </w:tc>
      </w:tr>
      <w:tr w:rsidR="00000000">
        <w:tc>
          <w:tcPr>
            <w:tcW w:w="817" w:type="dxa"/>
            <w:tcBorders>
              <w:top w:val="single" w:sz="4" w:space="0" w:color="000000"/>
              <w:left w:val="single" w:sz="4" w:space="0" w:color="000000"/>
              <w:bottom w:val="single" w:sz="4" w:space="0" w:color="000000"/>
              <w:right w:val="single" w:sz="4" w:space="0" w:color="000000"/>
            </w:tcBorders>
            <w:vAlign w:val="center"/>
          </w:tcPr>
          <w:p w:rsidR="00000000" w:rsidRDefault="001C6034">
            <w:pPr>
              <w:jc w:val="center"/>
            </w:pPr>
            <w:r>
              <w:t>M</w:t>
            </w:r>
            <w:r>
              <w:t>＜</w:t>
            </w:r>
            <w:r>
              <w:t>1,000,000</w:t>
            </w:r>
          </w:p>
        </w:tc>
        <w:tc>
          <w:tcPr>
            <w:tcW w:w="1275" w:type="dxa"/>
            <w:tcBorders>
              <w:top w:val="single" w:sz="4" w:space="0" w:color="000000"/>
              <w:left w:val="single" w:sz="4" w:space="0" w:color="000000"/>
              <w:bottom w:val="single" w:sz="4" w:space="0" w:color="000000"/>
              <w:right w:val="single" w:sz="4" w:space="0" w:color="000000"/>
            </w:tcBorders>
            <w:vAlign w:val="center"/>
          </w:tcPr>
          <w:p w:rsidR="00000000" w:rsidRDefault="001C6034">
            <w:pPr>
              <w:jc w:val="center"/>
            </w:pPr>
            <w:r>
              <w:t>1.5%</w:t>
            </w:r>
          </w:p>
        </w:tc>
        <w:tc>
          <w:tcPr>
            <w:tcW w:w="2602" w:type="dxa"/>
            <w:tcBorders>
              <w:top w:val="single" w:sz="4" w:space="0" w:color="000000"/>
              <w:left w:val="single" w:sz="4" w:space="0" w:color="000000"/>
              <w:bottom w:val="single" w:sz="4" w:space="0" w:color="000000"/>
              <w:right w:val="single" w:sz="4" w:space="0" w:color="000000"/>
            </w:tcBorders>
            <w:vAlign w:val="center"/>
          </w:tcPr>
          <w:p w:rsidR="00000000" w:rsidRDefault="001C6034">
            <w:pPr>
              <w:jc w:val="center"/>
            </w:pPr>
            <w:r>
              <w:t>-</w:t>
            </w:r>
          </w:p>
        </w:tc>
      </w:tr>
      <w:tr w:rsidR="00000000">
        <w:tc>
          <w:tcPr>
            <w:tcW w:w="817" w:type="dxa"/>
            <w:tcBorders>
              <w:top w:val="single" w:sz="4" w:space="0" w:color="000000"/>
              <w:left w:val="single" w:sz="4" w:space="0" w:color="000000"/>
              <w:bottom w:val="single" w:sz="4" w:space="0" w:color="000000"/>
              <w:right w:val="single" w:sz="4" w:space="0" w:color="000000"/>
            </w:tcBorders>
            <w:vAlign w:val="center"/>
          </w:tcPr>
          <w:p w:rsidR="00000000" w:rsidRDefault="001C6034">
            <w:pPr>
              <w:jc w:val="center"/>
            </w:pPr>
            <w:r>
              <w:t>1,000,000</w:t>
            </w:r>
            <w:r>
              <w:t>≤</w:t>
            </w:r>
            <w:r>
              <w:t>M</w:t>
            </w:r>
            <w:r>
              <w:t>＜</w:t>
            </w:r>
            <w:r>
              <w:t>2,000,000</w:t>
            </w:r>
          </w:p>
        </w:tc>
        <w:tc>
          <w:tcPr>
            <w:tcW w:w="1275" w:type="dxa"/>
            <w:tcBorders>
              <w:top w:val="single" w:sz="4" w:space="0" w:color="000000"/>
              <w:left w:val="single" w:sz="4" w:space="0" w:color="000000"/>
              <w:bottom w:val="single" w:sz="4" w:space="0" w:color="000000"/>
              <w:right w:val="single" w:sz="4" w:space="0" w:color="000000"/>
            </w:tcBorders>
            <w:vAlign w:val="center"/>
          </w:tcPr>
          <w:p w:rsidR="00000000" w:rsidRDefault="001C6034">
            <w:pPr>
              <w:jc w:val="center"/>
            </w:pPr>
            <w:r>
              <w:t>1.2%</w:t>
            </w:r>
          </w:p>
        </w:tc>
        <w:tc>
          <w:tcPr>
            <w:tcW w:w="2602" w:type="dxa"/>
            <w:tcBorders>
              <w:top w:val="single" w:sz="4" w:space="0" w:color="000000"/>
              <w:left w:val="single" w:sz="4" w:space="0" w:color="000000"/>
              <w:bottom w:val="single" w:sz="4" w:space="0" w:color="000000"/>
              <w:right w:val="single" w:sz="4" w:space="0" w:color="000000"/>
            </w:tcBorders>
            <w:vAlign w:val="center"/>
          </w:tcPr>
          <w:p w:rsidR="00000000" w:rsidRDefault="001C6034">
            <w:pPr>
              <w:jc w:val="center"/>
            </w:pPr>
            <w:r>
              <w:t>-</w:t>
            </w:r>
          </w:p>
        </w:tc>
      </w:tr>
      <w:tr w:rsidR="00000000">
        <w:tc>
          <w:tcPr>
            <w:tcW w:w="817" w:type="dxa"/>
            <w:tcBorders>
              <w:top w:val="single" w:sz="4" w:space="0" w:color="000000"/>
              <w:left w:val="single" w:sz="4" w:space="0" w:color="000000"/>
              <w:bottom w:val="single" w:sz="4" w:space="0" w:color="000000"/>
              <w:right w:val="single" w:sz="4" w:space="0" w:color="000000"/>
            </w:tcBorders>
            <w:vAlign w:val="center"/>
          </w:tcPr>
          <w:p w:rsidR="00000000" w:rsidRDefault="001C6034">
            <w:pPr>
              <w:jc w:val="center"/>
            </w:pPr>
            <w:r>
              <w:t>2,000,000</w:t>
            </w:r>
            <w:r>
              <w:t>≤</w:t>
            </w:r>
            <w:r>
              <w:t>M</w:t>
            </w:r>
            <w:r>
              <w:t>＜</w:t>
            </w:r>
            <w:r>
              <w:t>5,000,000</w:t>
            </w:r>
          </w:p>
        </w:tc>
        <w:tc>
          <w:tcPr>
            <w:tcW w:w="1275" w:type="dxa"/>
            <w:tcBorders>
              <w:top w:val="single" w:sz="4" w:space="0" w:color="000000"/>
              <w:left w:val="single" w:sz="4" w:space="0" w:color="000000"/>
              <w:bottom w:val="single" w:sz="4" w:space="0" w:color="000000"/>
              <w:right w:val="single" w:sz="4" w:space="0" w:color="000000"/>
            </w:tcBorders>
            <w:vAlign w:val="center"/>
          </w:tcPr>
          <w:p w:rsidR="00000000" w:rsidRDefault="001C6034">
            <w:pPr>
              <w:jc w:val="center"/>
            </w:pPr>
            <w:r>
              <w:t>0.6%</w:t>
            </w:r>
          </w:p>
        </w:tc>
        <w:tc>
          <w:tcPr>
            <w:tcW w:w="2602" w:type="dxa"/>
            <w:tcBorders>
              <w:top w:val="single" w:sz="4" w:space="0" w:color="000000"/>
              <w:left w:val="single" w:sz="4" w:space="0" w:color="000000"/>
              <w:bottom w:val="single" w:sz="4" w:space="0" w:color="000000"/>
              <w:right w:val="single" w:sz="4" w:space="0" w:color="000000"/>
            </w:tcBorders>
            <w:vAlign w:val="center"/>
          </w:tcPr>
          <w:p w:rsidR="00000000" w:rsidRDefault="001C6034">
            <w:pPr>
              <w:jc w:val="center"/>
            </w:pPr>
            <w:r>
              <w:t>-</w:t>
            </w:r>
          </w:p>
        </w:tc>
      </w:tr>
      <w:tr w:rsidR="00000000">
        <w:tc>
          <w:tcPr>
            <w:tcW w:w="817" w:type="dxa"/>
            <w:tcBorders>
              <w:top w:val="single" w:sz="4" w:space="0" w:color="000000"/>
              <w:left w:val="single" w:sz="4" w:space="0" w:color="000000"/>
              <w:bottom w:val="single" w:sz="4" w:space="0" w:color="000000"/>
              <w:right w:val="single" w:sz="4" w:space="0" w:color="000000"/>
            </w:tcBorders>
            <w:vAlign w:val="center"/>
          </w:tcPr>
          <w:p w:rsidR="00000000" w:rsidRDefault="001C6034">
            <w:pPr>
              <w:jc w:val="center"/>
            </w:pPr>
            <w:r>
              <w:t>M</w:t>
            </w:r>
            <w:r>
              <w:t>≥</w:t>
            </w:r>
            <w:r>
              <w:t>5,000,000</w:t>
            </w:r>
          </w:p>
        </w:tc>
        <w:tc>
          <w:tcPr>
            <w:tcW w:w="1275" w:type="dxa"/>
            <w:tcBorders>
              <w:top w:val="single" w:sz="4" w:space="0" w:color="000000"/>
              <w:left w:val="single" w:sz="4" w:space="0" w:color="000000"/>
              <w:bottom w:val="single" w:sz="4" w:space="0" w:color="000000"/>
              <w:right w:val="single" w:sz="4" w:space="0" w:color="000000"/>
            </w:tcBorders>
            <w:vAlign w:val="center"/>
          </w:tcPr>
          <w:p w:rsidR="00000000" w:rsidRDefault="001C6034">
            <w:pPr>
              <w:jc w:val="center"/>
            </w:pPr>
            <w:r>
              <w:t>1,000</w:t>
            </w:r>
            <w:r>
              <w:t>元</w:t>
            </w:r>
            <w:r>
              <w:t>/</w:t>
            </w:r>
            <w:r>
              <w:t>笔</w:t>
            </w:r>
          </w:p>
        </w:tc>
        <w:tc>
          <w:tcPr>
            <w:tcW w:w="2602" w:type="dxa"/>
            <w:tcBorders>
              <w:top w:val="single" w:sz="4" w:space="0" w:color="000000"/>
              <w:left w:val="single" w:sz="4" w:space="0" w:color="000000"/>
              <w:bottom w:val="single" w:sz="4" w:space="0" w:color="000000"/>
              <w:right w:val="single" w:sz="4" w:space="0" w:color="000000"/>
            </w:tcBorders>
            <w:vAlign w:val="center"/>
          </w:tcPr>
          <w:p w:rsidR="00000000" w:rsidRDefault="001C6034">
            <w:pPr>
              <w:jc w:val="center"/>
            </w:pPr>
            <w:r>
              <w:t>-</w:t>
            </w:r>
          </w:p>
        </w:tc>
      </w:tr>
    </w:tbl>
    <w:p w:rsidR="00000000" w:rsidRDefault="001C6034">
      <w:pPr>
        <w:pStyle w:val="XBRLTitle2"/>
        <w:spacing w:before="156"/>
      </w:pPr>
      <w:bookmarkStart w:id="60" w:name="_Toc34841033"/>
      <w:bookmarkStart w:id="61" w:name="_Toc34758524"/>
      <w:bookmarkStart w:id="62" w:name="_Toc506208214"/>
      <w:bookmarkStart w:id="63" w:name="_Toc490050007"/>
      <w:bookmarkStart w:id="64" w:name="_Toc481075053"/>
      <w:bookmarkStart w:id="65" w:name="_Toc512519486"/>
      <w:bookmarkStart w:id="66" w:name="_Toc454983260"/>
      <w:bookmarkStart w:id="67" w:name="_Toc433036679"/>
      <w:bookmarkStart w:id="68" w:name="_Toc247616208"/>
      <w:bookmarkStart w:id="69" w:name="_Toc245003735"/>
      <w:bookmarkStart w:id="70" w:name="_Toc244948694"/>
      <w:bookmarkStart w:id="71" w:name="_Toc485300223"/>
      <w:bookmarkStart w:id="72" w:name="_Toc453852604"/>
      <w:bookmarkStart w:id="73" w:name="_Toc452398732"/>
      <w:bookmarkStart w:id="74" w:name="m03_03"/>
      <w:bookmarkStart w:id="75" w:name="_Toc17898185"/>
      <w:bookmarkStart w:id="76" w:name="_Toc17897941"/>
      <w:bookmarkStart w:id="77" w:name="_Toc497398101"/>
      <w:r>
        <w:rPr>
          <w:lang w:val="en-US"/>
        </w:rPr>
        <w:t>其他与申购相关的事项</w:t>
      </w:r>
      <w:bookmarkEnd w:id="60"/>
      <w:bookmarkEnd w:id="61"/>
    </w:p>
    <w:p w:rsidR="00000000" w:rsidRDefault="001C6034">
      <w:pPr>
        <w:spacing w:line="360" w:lineRule="auto"/>
        <w:ind w:firstLineChars="200" w:firstLine="420"/>
      </w:pPr>
      <w:r>
        <w:rPr>
          <w:rFonts w:cs="宋体"/>
        </w:rPr>
        <w:t>1</w:t>
      </w:r>
      <w:r>
        <w:rPr>
          <w:rFonts w:cs="宋体"/>
        </w:rPr>
        <w:t>、基金管理人可以根</w:t>
      </w:r>
      <w:r>
        <w:rPr>
          <w:rFonts w:cs="宋体"/>
        </w:rPr>
        <w:t>据相关法律法规或在基金合同约定的范围内调整费率或收费方式，并最迟应于新的费率或收费方式实施日（含当日）前依照《公开募集证券投资基金信息披露管理办法》的有关规定在规定媒介上公告。</w:t>
      </w:r>
      <w:r>
        <w:rPr>
          <w:rFonts w:cs="宋体"/>
        </w:rPr>
        <w:br/>
      </w:r>
      <w:r>
        <w:rPr>
          <w:rFonts w:cs="宋体"/>
        </w:rPr>
        <w:t xml:space="preserve">　　</w:t>
      </w:r>
      <w:r>
        <w:rPr>
          <w:rFonts w:cs="宋体"/>
        </w:rPr>
        <w:t>2</w:t>
      </w:r>
      <w:r>
        <w:rPr>
          <w:rFonts w:cs="宋体"/>
        </w:rPr>
        <w:t>、基金管理人可以在不违反法律法规规定及基金合同约定且对现有基金份额持有人利益无实质性不利影响的情形下，根据市场情况制定基金促销计划，定期或不定期地开展基金促销活动。在基金促销活动期间，按相关监管部门要求履行必要手续后，基金管理人可以适当调低基金销售费率，并进行公告。</w:t>
      </w:r>
      <w:r>
        <w:rPr>
          <w:rFonts w:cs="宋体"/>
        </w:rPr>
        <w:br/>
      </w:r>
      <w:r>
        <w:rPr>
          <w:rFonts w:cs="宋体"/>
        </w:rPr>
        <w:t xml:space="preserve">　　</w:t>
      </w:r>
      <w:r>
        <w:rPr>
          <w:rFonts w:cs="宋体"/>
        </w:rPr>
        <w:t>5</w:t>
      </w:r>
      <w:r>
        <w:rPr>
          <w:rFonts w:cs="宋体"/>
        </w:rPr>
        <w:t>、当本基金发生大额申购情形时，基金管理人可以采用摆动定</w:t>
      </w:r>
      <w:r>
        <w:rPr>
          <w:rFonts w:cs="宋体"/>
        </w:rPr>
        <w:t>价机制，以确保基金估值的公平性。具体处理原则与操作规范遵循相关法律法规以及监管部门、自律规则的规定。</w:t>
      </w:r>
    </w:p>
    <w:p w:rsidR="00000000" w:rsidRDefault="001C6034">
      <w:pPr>
        <w:pStyle w:val="XBRLTitle1"/>
        <w:spacing w:before="156" w:line="360" w:lineRule="auto"/>
      </w:pPr>
      <w:bookmarkStart w:id="78" w:name="_Toc34841034"/>
      <w:bookmarkStart w:id="79" w:name="_Toc17898186"/>
      <w:bookmarkStart w:id="80" w:name="_Toc17897942"/>
      <w:bookmarkStart w:id="81" w:name="_Toc481075054"/>
      <w:bookmarkStart w:id="82" w:name="_Toc438646458"/>
      <w:bookmarkStart w:id="83" w:name="_Toc490050008"/>
      <w:bookmarkStart w:id="84" w:name="_Toc512519487"/>
      <w:bookmarkStart w:id="85" w:name="_Toc513295851"/>
      <w:bookmarkStart w:id="86" w:name="_Toc513295899"/>
      <w:bookmarkStart w:id="87" w:name="_Toc34758525"/>
      <w:r>
        <w:rPr>
          <w:rFonts w:hAnsi="宋体"/>
          <w:lang w:val="en-US"/>
        </w:rPr>
        <w:t>日常赎回业务</w:t>
      </w:r>
      <w:bookmarkEnd w:id="78"/>
      <w:bookmarkEnd w:id="79"/>
      <w:bookmarkEnd w:id="80"/>
      <w:bookmarkEnd w:id="81"/>
      <w:bookmarkEnd w:id="82"/>
      <w:bookmarkEnd w:id="83"/>
      <w:bookmarkEnd w:id="84"/>
      <w:bookmarkEnd w:id="85"/>
      <w:bookmarkEnd w:id="86"/>
      <w:bookmarkEnd w:id="87"/>
      <w:r>
        <w:rPr>
          <w:rFonts w:hAnsi="宋体"/>
          <w:szCs w:val="44"/>
          <w:lang w:val="en-US"/>
        </w:rPr>
        <w:t xml:space="preserve"> </w:t>
      </w:r>
    </w:p>
    <w:p w:rsidR="00000000" w:rsidRDefault="001C6034">
      <w:pPr>
        <w:pStyle w:val="XBRLTitle2"/>
        <w:spacing w:before="156" w:line="360" w:lineRule="auto"/>
      </w:pPr>
      <w:bookmarkStart w:id="88" w:name="_Toc34841035"/>
      <w:bookmarkStart w:id="89" w:name="_Toc17898187"/>
      <w:bookmarkStart w:id="90" w:name="_Toc17897943"/>
      <w:bookmarkStart w:id="91" w:name="_Toc481075055"/>
      <w:bookmarkStart w:id="92" w:name="_Toc438646459"/>
      <w:bookmarkStart w:id="93" w:name="_Toc490050009"/>
      <w:bookmarkStart w:id="94" w:name="_Toc512519488"/>
      <w:bookmarkStart w:id="95" w:name="_Toc513295852"/>
      <w:bookmarkStart w:id="96" w:name="_Toc513295900"/>
      <w:bookmarkStart w:id="97" w:name="_Toc34758526"/>
      <w:r>
        <w:rPr>
          <w:rFonts w:hAnsi="宋体"/>
          <w:lang w:val="en-US"/>
        </w:rPr>
        <w:t>赎回份额限制</w:t>
      </w:r>
      <w:bookmarkEnd w:id="88"/>
      <w:bookmarkEnd w:id="89"/>
      <w:bookmarkEnd w:id="90"/>
      <w:bookmarkEnd w:id="91"/>
      <w:bookmarkEnd w:id="92"/>
      <w:bookmarkEnd w:id="93"/>
      <w:bookmarkEnd w:id="94"/>
      <w:bookmarkEnd w:id="95"/>
      <w:bookmarkEnd w:id="96"/>
      <w:bookmarkEnd w:id="97"/>
      <w:r>
        <w:rPr>
          <w:rFonts w:hAnsi="宋体"/>
          <w:lang w:val="en-US"/>
        </w:rPr>
        <w:t xml:space="preserve"> </w:t>
      </w:r>
    </w:p>
    <w:p w:rsidR="00000000" w:rsidRDefault="001C6034">
      <w:pPr>
        <w:spacing w:line="360" w:lineRule="auto"/>
        <w:ind w:firstLineChars="200" w:firstLine="420"/>
      </w:pPr>
      <w:r>
        <w:rPr>
          <w:rFonts w:cs="宋体"/>
        </w:rPr>
        <w:t>1</w:t>
      </w:r>
      <w:r>
        <w:rPr>
          <w:rFonts w:cs="宋体"/>
        </w:rPr>
        <w:t>、基金份额持有人在销售机构赎回时，每笔赎回申请不得低于</w:t>
      </w:r>
      <w:r>
        <w:rPr>
          <w:rFonts w:cs="宋体"/>
        </w:rPr>
        <w:t>1</w:t>
      </w:r>
      <w:r>
        <w:rPr>
          <w:rFonts w:cs="宋体"/>
        </w:rPr>
        <w:t>份基金份额。基金份额持有人赎回时或赎回后将导致在销售机构（网点）保留的基金份额余额不足</w:t>
      </w:r>
      <w:r>
        <w:rPr>
          <w:rFonts w:cs="宋体"/>
        </w:rPr>
        <w:t>1</w:t>
      </w:r>
      <w:r>
        <w:rPr>
          <w:rFonts w:cs="宋体"/>
        </w:rPr>
        <w:t>份的，在赎回时须一次性全部赎回。</w:t>
      </w:r>
      <w:r>
        <w:rPr>
          <w:rFonts w:cs="宋体"/>
        </w:rPr>
        <w:br/>
      </w:r>
      <w:r>
        <w:rPr>
          <w:rFonts w:cs="宋体"/>
        </w:rPr>
        <w:t xml:space="preserve">　　</w:t>
      </w:r>
      <w:r>
        <w:rPr>
          <w:rFonts w:cs="宋体"/>
        </w:rPr>
        <w:t>2</w:t>
      </w:r>
      <w:r>
        <w:rPr>
          <w:rFonts w:cs="宋体"/>
        </w:rPr>
        <w:t>、基金份额持有人每个交易账户的最低份额余额为</w:t>
      </w:r>
      <w:r>
        <w:rPr>
          <w:rFonts w:cs="宋体"/>
        </w:rPr>
        <w:t>1</w:t>
      </w:r>
      <w:r>
        <w:rPr>
          <w:rFonts w:cs="宋体"/>
        </w:rPr>
        <w:t>份。基金份额持有人因赎回、转换等原因导致其单个基金账户内剩余的基金份额低于</w:t>
      </w:r>
      <w:r>
        <w:rPr>
          <w:rFonts w:cs="宋体"/>
        </w:rPr>
        <w:t>1</w:t>
      </w:r>
      <w:r>
        <w:rPr>
          <w:rFonts w:cs="宋体"/>
        </w:rPr>
        <w:t>份时，登记系统可对该剩余的基金份额自动进行强制赎回处理。</w:t>
      </w:r>
      <w:r>
        <w:rPr>
          <w:rFonts w:cs="宋体"/>
        </w:rPr>
        <w:br/>
      </w:r>
      <w:r>
        <w:rPr>
          <w:rFonts w:cs="宋体"/>
        </w:rPr>
        <w:t xml:space="preserve">　　</w:t>
      </w:r>
      <w:r>
        <w:rPr>
          <w:rFonts w:cs="宋体"/>
        </w:rPr>
        <w:t>3</w:t>
      </w:r>
      <w:r>
        <w:rPr>
          <w:rFonts w:cs="宋体"/>
        </w:rPr>
        <w:t>、基金</w:t>
      </w:r>
      <w:r>
        <w:rPr>
          <w:rFonts w:cs="宋体"/>
        </w:rPr>
        <w:t>管理人可在法律法规允许的情况下，调整上述规定赎回份额的数量限制。基金管理人必须在调整实施前（含当日）依照《公开募集证券投资基金信息披露管理办法》的有关规定在规定媒介上公告。</w:t>
      </w:r>
    </w:p>
    <w:p w:rsidR="00000000" w:rsidRDefault="001C6034">
      <w:pPr>
        <w:pStyle w:val="XBRLTitle2"/>
        <w:spacing w:before="156" w:line="360" w:lineRule="auto"/>
      </w:pPr>
      <w:bookmarkStart w:id="98" w:name="_Toc490050010"/>
      <w:bookmarkStart w:id="99" w:name="_Toc512519489"/>
      <w:bookmarkStart w:id="100" w:name="_Toc513295853"/>
      <w:bookmarkStart w:id="101" w:name="_Toc513295901"/>
      <w:bookmarkStart w:id="102" w:name="_Toc34758527"/>
      <w:bookmarkStart w:id="103" w:name="m402"/>
      <w:bookmarkStart w:id="104" w:name="_Toc34841036"/>
      <w:bookmarkStart w:id="105" w:name="_Toc438646460"/>
      <w:bookmarkStart w:id="106" w:name="_Toc481075056"/>
      <w:bookmarkStart w:id="107" w:name="_Toc17897944"/>
      <w:bookmarkStart w:id="108" w:name="_Toc17898188"/>
      <w:r>
        <w:rPr>
          <w:rFonts w:hAnsi="宋体"/>
          <w:lang w:val="en-US"/>
        </w:rPr>
        <w:t>赎回费率</w:t>
      </w:r>
      <w:bookmarkEnd w:id="104"/>
      <w:bookmarkEnd w:id="108"/>
      <w:bookmarkEnd w:id="107"/>
      <w:bookmarkEnd w:id="106"/>
      <w:bookmarkEnd w:id="105"/>
      <w:bookmarkEnd w:id="98"/>
      <w:bookmarkEnd w:id="99"/>
      <w:bookmarkEnd w:id="100"/>
      <w:bookmarkEnd w:id="101"/>
      <w:bookmarkEnd w:id="102"/>
      <w:r>
        <w:rPr>
          <w:rFonts w:hAnsi="宋体"/>
          <w:lang w:val="en-US"/>
        </w:rPr>
        <w:t xml:space="preserve"> </w:t>
      </w:r>
    </w:p>
    <w:bookmarkEnd w:id="103"/>
    <w:p w:rsidR="00000000" w:rsidRDefault="001C6034">
      <w:pPr>
        <w:wordWrap w:val="0"/>
        <w:spacing w:line="360" w:lineRule="auto"/>
        <w:ind w:firstLineChars="200" w:firstLine="420"/>
      </w:pPr>
      <w:r>
        <w:rPr>
          <w:rFonts w:cs="宋体"/>
        </w:rPr>
        <w:t>本基金</w:t>
      </w:r>
      <w:r>
        <w:rPr>
          <w:rFonts w:cs="宋体"/>
        </w:rPr>
        <w:t xml:space="preserve"> A </w:t>
      </w:r>
      <w:r>
        <w:rPr>
          <w:rFonts w:cs="宋体"/>
        </w:rPr>
        <w:t>类基金份额与</w:t>
      </w:r>
      <w:r>
        <w:rPr>
          <w:rFonts w:cs="宋体"/>
        </w:rPr>
        <w:t xml:space="preserve"> C </w:t>
      </w:r>
      <w:r>
        <w:rPr>
          <w:rFonts w:cs="宋体"/>
        </w:rPr>
        <w:t>类基金份额的赎回费率随基金份额持有人持有时间的增加而递</w:t>
      </w:r>
      <w:r>
        <w:rPr>
          <w:rFonts w:cs="宋体"/>
        </w:rPr>
        <w:t xml:space="preserve"> </w:t>
      </w:r>
      <w:r>
        <w:rPr>
          <w:rFonts w:cs="宋体"/>
        </w:rPr>
        <w:t>减。</w:t>
      </w:r>
      <w:r>
        <w:t xml:space="preserve"> </w:t>
      </w:r>
    </w:p>
    <w:p w:rsidR="00000000" w:rsidRDefault="001C6034">
      <w:pPr>
        <w:spacing w:line="360" w:lineRule="auto"/>
        <w:jc w:val="center"/>
      </w:pPr>
      <w:r>
        <w:rPr>
          <w:rFonts w:cs="宋体"/>
        </w:rPr>
        <w:t>西部利得红利鑫选混合发起</w:t>
      </w:r>
      <w:r>
        <w:rPr>
          <w:rFonts w:cs="宋体"/>
        </w:rPr>
        <w:t>A</w:t>
      </w:r>
      <w:r>
        <w:rPr>
          <w:rFonts w:cs="宋体"/>
          <w:kern w:val="0"/>
        </w:rPr>
        <w:t xml:space="preserve"> </w:t>
      </w:r>
    </w:p>
    <w:tbl>
      <w:tblPr>
        <w:tblW w:w="5000" w:type="pct"/>
        <w:tblInd w:w="0" w:type="dxa"/>
        <w:tblBorders>
          <w:top w:val="single" w:sz="4" w:space="0" w:color="000000"/>
          <w:left w:val="single" w:sz="4" w:space="0" w:color="000000"/>
          <w:bottom w:val="single" w:sz="4" w:space="0" w:color="000000"/>
          <w:right w:val="single" w:sz="4" w:space="0" w:color="000000"/>
          <w:insideH w:val="outset" w:sz="6" w:space="0" w:color="auto"/>
          <w:insideV w:val="outset" w:sz="6" w:space="0" w:color="auto"/>
        </w:tblBorders>
        <w:tblLayout w:type="fixed"/>
        <w:tblLook w:val="0000"/>
      </w:tblPr>
      <w:tblGrid>
        <w:gridCol w:w="6270"/>
        <w:gridCol w:w="2799"/>
      </w:tblGrid>
      <w:tr w:rsidR="00000000">
        <w:tc>
          <w:tcPr>
            <w:tcW w:w="5140" w:type="dxa"/>
            <w:tcBorders>
              <w:top w:val="single" w:sz="4" w:space="0" w:color="000000"/>
              <w:left w:val="single" w:sz="4" w:space="0" w:color="000000"/>
              <w:bottom w:val="single" w:sz="4" w:space="0" w:color="000000"/>
              <w:right w:val="single" w:sz="4" w:space="0" w:color="000000"/>
            </w:tcBorders>
          </w:tcPr>
          <w:p w:rsidR="00000000" w:rsidRDefault="001C6034">
            <w:pPr>
              <w:jc w:val="center"/>
            </w:pPr>
            <w:r>
              <w:t>持有期限</w:t>
            </w:r>
            <w:r>
              <w:t xml:space="preserve">(N) </w:t>
            </w:r>
          </w:p>
        </w:tc>
        <w:tc>
          <w:tcPr>
            <w:tcW w:w="2294" w:type="dxa"/>
            <w:tcBorders>
              <w:top w:val="single" w:sz="4" w:space="0" w:color="000000"/>
              <w:left w:val="single" w:sz="4" w:space="0" w:color="000000"/>
              <w:bottom w:val="single" w:sz="4" w:space="0" w:color="000000"/>
              <w:right w:val="single" w:sz="4" w:space="0" w:color="000000"/>
            </w:tcBorders>
          </w:tcPr>
          <w:p w:rsidR="00000000" w:rsidRDefault="001C6034">
            <w:pPr>
              <w:jc w:val="center"/>
            </w:pPr>
            <w:r>
              <w:t>赎回费率</w:t>
            </w:r>
            <w:r>
              <w:t xml:space="preserve"> </w:t>
            </w:r>
          </w:p>
        </w:tc>
      </w:tr>
      <w:tr w:rsidR="00000000">
        <w:tc>
          <w:tcPr>
            <w:tcW w:w="1384" w:type="dxa"/>
            <w:tcBorders>
              <w:top w:val="single" w:sz="4" w:space="0" w:color="000000"/>
              <w:left w:val="single" w:sz="4" w:space="0" w:color="000000"/>
              <w:bottom w:val="single" w:sz="4" w:space="0" w:color="000000"/>
              <w:right w:val="single" w:sz="4" w:space="0" w:color="000000"/>
            </w:tcBorders>
          </w:tcPr>
          <w:p w:rsidR="00000000" w:rsidRDefault="001C6034">
            <w:pPr>
              <w:jc w:val="center"/>
            </w:pPr>
            <w:r>
              <w:t>N</w:t>
            </w:r>
            <w:r>
              <w:t>＜</w:t>
            </w:r>
            <w:r>
              <w:t>7</w:t>
            </w:r>
            <w:r>
              <w:t>天</w:t>
            </w:r>
          </w:p>
        </w:tc>
        <w:tc>
          <w:tcPr>
            <w:tcW w:w="1048" w:type="dxa"/>
            <w:tcBorders>
              <w:top w:val="single" w:sz="4" w:space="0" w:color="000000"/>
              <w:left w:val="single" w:sz="4" w:space="0" w:color="000000"/>
              <w:bottom w:val="single" w:sz="4" w:space="0" w:color="000000"/>
              <w:right w:val="single" w:sz="4" w:space="0" w:color="000000"/>
            </w:tcBorders>
          </w:tcPr>
          <w:p w:rsidR="00000000" w:rsidRDefault="001C6034">
            <w:pPr>
              <w:jc w:val="center"/>
            </w:pPr>
            <w:r>
              <w:t>1.50%</w:t>
            </w:r>
          </w:p>
        </w:tc>
      </w:tr>
      <w:tr w:rsidR="00000000">
        <w:tc>
          <w:tcPr>
            <w:tcW w:w="1384" w:type="dxa"/>
            <w:tcBorders>
              <w:top w:val="single" w:sz="4" w:space="0" w:color="000000"/>
              <w:left w:val="single" w:sz="4" w:space="0" w:color="000000"/>
              <w:bottom w:val="single" w:sz="4" w:space="0" w:color="000000"/>
              <w:right w:val="single" w:sz="4" w:space="0" w:color="000000"/>
            </w:tcBorders>
          </w:tcPr>
          <w:p w:rsidR="00000000" w:rsidRDefault="001C6034">
            <w:pPr>
              <w:jc w:val="center"/>
            </w:pPr>
            <w:r>
              <w:t>7</w:t>
            </w:r>
            <w:r>
              <w:t>天≤</w:t>
            </w:r>
            <w:r>
              <w:t>N</w:t>
            </w:r>
            <w:r>
              <w:t>＜</w:t>
            </w:r>
            <w:r>
              <w:t>30</w:t>
            </w:r>
            <w:r>
              <w:t>天</w:t>
            </w:r>
          </w:p>
        </w:tc>
        <w:tc>
          <w:tcPr>
            <w:tcW w:w="1048" w:type="dxa"/>
            <w:tcBorders>
              <w:top w:val="single" w:sz="4" w:space="0" w:color="000000"/>
              <w:left w:val="single" w:sz="4" w:space="0" w:color="000000"/>
              <w:bottom w:val="single" w:sz="4" w:space="0" w:color="000000"/>
              <w:right w:val="single" w:sz="4" w:space="0" w:color="000000"/>
            </w:tcBorders>
          </w:tcPr>
          <w:p w:rsidR="00000000" w:rsidRDefault="001C6034">
            <w:pPr>
              <w:jc w:val="center"/>
            </w:pPr>
            <w:r>
              <w:t>0.75%</w:t>
            </w:r>
          </w:p>
        </w:tc>
      </w:tr>
      <w:tr w:rsidR="00000000">
        <w:tc>
          <w:tcPr>
            <w:tcW w:w="1384" w:type="dxa"/>
            <w:tcBorders>
              <w:top w:val="single" w:sz="4" w:space="0" w:color="000000"/>
              <w:left w:val="single" w:sz="4" w:space="0" w:color="000000"/>
              <w:bottom w:val="single" w:sz="4" w:space="0" w:color="000000"/>
              <w:right w:val="single" w:sz="4" w:space="0" w:color="000000"/>
            </w:tcBorders>
          </w:tcPr>
          <w:p w:rsidR="00000000" w:rsidRDefault="001C6034">
            <w:pPr>
              <w:jc w:val="center"/>
            </w:pPr>
            <w:r>
              <w:t>30</w:t>
            </w:r>
            <w:r>
              <w:t>天≤</w:t>
            </w:r>
            <w:r>
              <w:t>N</w:t>
            </w:r>
            <w:r>
              <w:t>＜</w:t>
            </w:r>
            <w:r>
              <w:t>180</w:t>
            </w:r>
            <w:r>
              <w:t>天</w:t>
            </w:r>
          </w:p>
        </w:tc>
        <w:tc>
          <w:tcPr>
            <w:tcW w:w="1048" w:type="dxa"/>
            <w:tcBorders>
              <w:top w:val="single" w:sz="4" w:space="0" w:color="000000"/>
              <w:left w:val="single" w:sz="4" w:space="0" w:color="000000"/>
              <w:bottom w:val="single" w:sz="4" w:space="0" w:color="000000"/>
              <w:right w:val="single" w:sz="4" w:space="0" w:color="000000"/>
            </w:tcBorders>
          </w:tcPr>
          <w:p w:rsidR="00000000" w:rsidRDefault="001C6034">
            <w:pPr>
              <w:jc w:val="center"/>
            </w:pPr>
            <w:r>
              <w:t>0.50%</w:t>
            </w:r>
          </w:p>
        </w:tc>
      </w:tr>
      <w:tr w:rsidR="00000000">
        <w:tc>
          <w:tcPr>
            <w:tcW w:w="1384" w:type="dxa"/>
            <w:tcBorders>
              <w:top w:val="single" w:sz="4" w:space="0" w:color="000000"/>
              <w:left w:val="single" w:sz="4" w:space="0" w:color="000000"/>
              <w:bottom w:val="single" w:sz="4" w:space="0" w:color="000000"/>
              <w:right w:val="single" w:sz="4" w:space="0" w:color="000000"/>
            </w:tcBorders>
          </w:tcPr>
          <w:p w:rsidR="00000000" w:rsidRDefault="001C6034">
            <w:pPr>
              <w:jc w:val="center"/>
            </w:pPr>
            <w:r>
              <w:t>N</w:t>
            </w:r>
            <w:r>
              <w:t>≥</w:t>
            </w:r>
            <w:r>
              <w:t>180</w:t>
            </w:r>
            <w:r>
              <w:t>天</w:t>
            </w:r>
          </w:p>
        </w:tc>
        <w:tc>
          <w:tcPr>
            <w:tcW w:w="1048" w:type="dxa"/>
            <w:tcBorders>
              <w:top w:val="single" w:sz="4" w:space="0" w:color="000000"/>
              <w:left w:val="single" w:sz="4" w:space="0" w:color="000000"/>
              <w:bottom w:val="single" w:sz="4" w:space="0" w:color="000000"/>
              <w:right w:val="single" w:sz="4" w:space="0" w:color="000000"/>
            </w:tcBorders>
          </w:tcPr>
          <w:p w:rsidR="00000000" w:rsidRDefault="001C6034">
            <w:pPr>
              <w:jc w:val="center"/>
            </w:pPr>
            <w:r>
              <w:t>0.00%</w:t>
            </w:r>
          </w:p>
        </w:tc>
      </w:tr>
    </w:tbl>
    <w:p w:rsidR="00000000" w:rsidRDefault="001C6034">
      <w:pPr>
        <w:spacing w:line="360" w:lineRule="auto"/>
        <w:jc w:val="center"/>
      </w:pPr>
      <w:r>
        <w:rPr>
          <w:rFonts w:cs="宋体"/>
        </w:rPr>
        <w:t>西部利得红利鑫选混合发起</w:t>
      </w:r>
      <w:r>
        <w:rPr>
          <w:rFonts w:cs="宋体"/>
        </w:rPr>
        <w:t>C</w:t>
      </w:r>
      <w:r>
        <w:rPr>
          <w:rFonts w:cs="宋体"/>
          <w:kern w:val="0"/>
        </w:rPr>
        <w:t xml:space="preserve"> </w:t>
      </w:r>
    </w:p>
    <w:tbl>
      <w:tblPr>
        <w:tblW w:w="5000" w:type="pct"/>
        <w:tblInd w:w="0" w:type="dxa"/>
        <w:tblBorders>
          <w:top w:val="single" w:sz="4" w:space="0" w:color="000000"/>
          <w:left w:val="single" w:sz="4" w:space="0" w:color="000000"/>
          <w:bottom w:val="single" w:sz="4" w:space="0" w:color="000000"/>
          <w:right w:val="single" w:sz="4" w:space="0" w:color="000000"/>
          <w:insideH w:val="outset" w:sz="6" w:space="0" w:color="auto"/>
          <w:insideV w:val="outset" w:sz="6" w:space="0" w:color="auto"/>
        </w:tblBorders>
        <w:tblLayout w:type="fixed"/>
        <w:tblLook w:val="0000"/>
      </w:tblPr>
      <w:tblGrid>
        <w:gridCol w:w="6270"/>
        <w:gridCol w:w="2799"/>
      </w:tblGrid>
      <w:tr w:rsidR="00000000">
        <w:tc>
          <w:tcPr>
            <w:tcW w:w="5140" w:type="dxa"/>
            <w:tcBorders>
              <w:top w:val="single" w:sz="4" w:space="0" w:color="000000"/>
              <w:left w:val="single" w:sz="4" w:space="0" w:color="000000"/>
              <w:bottom w:val="single" w:sz="4" w:space="0" w:color="000000"/>
              <w:right w:val="single" w:sz="4" w:space="0" w:color="000000"/>
            </w:tcBorders>
          </w:tcPr>
          <w:p w:rsidR="00000000" w:rsidRDefault="001C6034">
            <w:pPr>
              <w:jc w:val="center"/>
            </w:pPr>
            <w:r>
              <w:t>持有期限</w:t>
            </w:r>
            <w:r>
              <w:t xml:space="preserve">(N) </w:t>
            </w:r>
          </w:p>
        </w:tc>
        <w:tc>
          <w:tcPr>
            <w:tcW w:w="2294" w:type="dxa"/>
            <w:tcBorders>
              <w:top w:val="single" w:sz="4" w:space="0" w:color="000000"/>
              <w:left w:val="single" w:sz="4" w:space="0" w:color="000000"/>
              <w:bottom w:val="single" w:sz="4" w:space="0" w:color="000000"/>
              <w:right w:val="single" w:sz="4" w:space="0" w:color="000000"/>
            </w:tcBorders>
          </w:tcPr>
          <w:p w:rsidR="00000000" w:rsidRDefault="001C6034">
            <w:pPr>
              <w:jc w:val="center"/>
            </w:pPr>
            <w:r>
              <w:t>赎</w:t>
            </w:r>
            <w:r>
              <w:t>回费率</w:t>
            </w:r>
            <w:r>
              <w:t xml:space="preserve"> </w:t>
            </w:r>
          </w:p>
        </w:tc>
      </w:tr>
      <w:tr w:rsidR="00000000">
        <w:tc>
          <w:tcPr>
            <w:tcW w:w="1384" w:type="dxa"/>
            <w:tcBorders>
              <w:top w:val="single" w:sz="4" w:space="0" w:color="000000"/>
              <w:left w:val="single" w:sz="4" w:space="0" w:color="000000"/>
              <w:bottom w:val="single" w:sz="4" w:space="0" w:color="000000"/>
              <w:right w:val="single" w:sz="4" w:space="0" w:color="000000"/>
            </w:tcBorders>
          </w:tcPr>
          <w:p w:rsidR="00000000" w:rsidRDefault="001C6034">
            <w:pPr>
              <w:jc w:val="center"/>
            </w:pPr>
            <w:r>
              <w:t>N</w:t>
            </w:r>
            <w:r>
              <w:t>＜</w:t>
            </w:r>
            <w:r>
              <w:t>7</w:t>
            </w:r>
            <w:r>
              <w:t>天</w:t>
            </w:r>
          </w:p>
        </w:tc>
        <w:tc>
          <w:tcPr>
            <w:tcW w:w="1048" w:type="dxa"/>
            <w:tcBorders>
              <w:top w:val="single" w:sz="4" w:space="0" w:color="000000"/>
              <w:left w:val="single" w:sz="4" w:space="0" w:color="000000"/>
              <w:bottom w:val="single" w:sz="4" w:space="0" w:color="000000"/>
              <w:right w:val="single" w:sz="4" w:space="0" w:color="000000"/>
            </w:tcBorders>
          </w:tcPr>
          <w:p w:rsidR="00000000" w:rsidRDefault="001C6034">
            <w:pPr>
              <w:jc w:val="center"/>
            </w:pPr>
            <w:r>
              <w:t>1.50%</w:t>
            </w:r>
          </w:p>
        </w:tc>
      </w:tr>
      <w:tr w:rsidR="00000000">
        <w:tc>
          <w:tcPr>
            <w:tcW w:w="1384" w:type="dxa"/>
            <w:tcBorders>
              <w:top w:val="single" w:sz="4" w:space="0" w:color="000000"/>
              <w:left w:val="single" w:sz="4" w:space="0" w:color="000000"/>
              <w:bottom w:val="single" w:sz="4" w:space="0" w:color="000000"/>
              <w:right w:val="single" w:sz="4" w:space="0" w:color="000000"/>
            </w:tcBorders>
          </w:tcPr>
          <w:p w:rsidR="00000000" w:rsidRDefault="001C6034">
            <w:pPr>
              <w:jc w:val="center"/>
            </w:pPr>
            <w:r>
              <w:t>7</w:t>
            </w:r>
            <w:r>
              <w:t>天≤</w:t>
            </w:r>
            <w:r>
              <w:t>N</w:t>
            </w:r>
            <w:r>
              <w:t>＜</w:t>
            </w:r>
            <w:r>
              <w:t>30</w:t>
            </w:r>
            <w:r>
              <w:t>天</w:t>
            </w:r>
          </w:p>
        </w:tc>
        <w:tc>
          <w:tcPr>
            <w:tcW w:w="1048" w:type="dxa"/>
            <w:tcBorders>
              <w:top w:val="single" w:sz="4" w:space="0" w:color="000000"/>
              <w:left w:val="single" w:sz="4" w:space="0" w:color="000000"/>
              <w:bottom w:val="single" w:sz="4" w:space="0" w:color="000000"/>
              <w:right w:val="single" w:sz="4" w:space="0" w:color="000000"/>
            </w:tcBorders>
          </w:tcPr>
          <w:p w:rsidR="00000000" w:rsidRDefault="001C6034">
            <w:pPr>
              <w:jc w:val="center"/>
            </w:pPr>
            <w:r>
              <w:t>0.50%</w:t>
            </w:r>
          </w:p>
        </w:tc>
      </w:tr>
      <w:tr w:rsidR="00000000">
        <w:tc>
          <w:tcPr>
            <w:tcW w:w="1384" w:type="dxa"/>
            <w:tcBorders>
              <w:top w:val="single" w:sz="4" w:space="0" w:color="000000"/>
              <w:left w:val="single" w:sz="4" w:space="0" w:color="000000"/>
              <w:bottom w:val="single" w:sz="4" w:space="0" w:color="000000"/>
              <w:right w:val="single" w:sz="4" w:space="0" w:color="000000"/>
            </w:tcBorders>
          </w:tcPr>
          <w:p w:rsidR="00000000" w:rsidRDefault="001C6034">
            <w:pPr>
              <w:jc w:val="center"/>
            </w:pPr>
            <w:r>
              <w:t>N</w:t>
            </w:r>
            <w:r>
              <w:t>≥</w:t>
            </w:r>
            <w:r>
              <w:t>30</w:t>
            </w:r>
            <w:r>
              <w:t>天</w:t>
            </w:r>
          </w:p>
        </w:tc>
        <w:tc>
          <w:tcPr>
            <w:tcW w:w="1048" w:type="dxa"/>
            <w:tcBorders>
              <w:top w:val="single" w:sz="4" w:space="0" w:color="000000"/>
              <w:left w:val="single" w:sz="4" w:space="0" w:color="000000"/>
              <w:bottom w:val="single" w:sz="4" w:space="0" w:color="000000"/>
              <w:right w:val="single" w:sz="4" w:space="0" w:color="000000"/>
            </w:tcBorders>
          </w:tcPr>
          <w:p w:rsidR="00000000" w:rsidRDefault="001C6034">
            <w:pPr>
              <w:jc w:val="center"/>
            </w:pPr>
            <w:r>
              <w:t>0.00%</w:t>
            </w:r>
          </w:p>
        </w:tc>
      </w:tr>
    </w:tbl>
    <w:p w:rsidR="00000000" w:rsidRDefault="001C6034">
      <w:pPr>
        <w:spacing w:line="360" w:lineRule="auto"/>
        <w:jc w:val="left"/>
      </w:pPr>
      <w:r>
        <w:rPr>
          <w:rFonts w:cs="宋体"/>
          <w:szCs w:val="21"/>
        </w:rPr>
        <w:t>注：</w:t>
      </w:r>
      <w:r>
        <w:rPr>
          <w:rFonts w:cs="宋体"/>
          <w:szCs w:val="21"/>
        </w:rPr>
        <w:t>对于持续持有</w:t>
      </w:r>
      <w:r>
        <w:rPr>
          <w:rFonts w:cs="宋体"/>
          <w:szCs w:val="21"/>
        </w:rPr>
        <w:t xml:space="preserve"> A </w:t>
      </w:r>
      <w:r>
        <w:rPr>
          <w:rFonts w:cs="宋体"/>
          <w:szCs w:val="21"/>
        </w:rPr>
        <w:t>类基金份额少于</w:t>
      </w:r>
      <w:r>
        <w:rPr>
          <w:rFonts w:cs="宋体"/>
          <w:szCs w:val="21"/>
        </w:rPr>
        <w:t xml:space="preserve"> 30 </w:t>
      </w:r>
      <w:r>
        <w:rPr>
          <w:rFonts w:cs="宋体"/>
          <w:szCs w:val="21"/>
        </w:rPr>
        <w:t>日的投资人收取的赎回费，将全额计入基金财产；对于持续持有</w:t>
      </w:r>
      <w:r>
        <w:rPr>
          <w:rFonts w:cs="宋体"/>
          <w:szCs w:val="21"/>
        </w:rPr>
        <w:t xml:space="preserve"> A </w:t>
      </w:r>
      <w:r>
        <w:rPr>
          <w:rFonts w:cs="宋体"/>
          <w:szCs w:val="21"/>
        </w:rPr>
        <w:t>类基金份额大于或等于</w:t>
      </w:r>
      <w:r>
        <w:rPr>
          <w:rFonts w:cs="宋体"/>
          <w:szCs w:val="21"/>
        </w:rPr>
        <w:t xml:space="preserve"> 30 </w:t>
      </w:r>
      <w:r>
        <w:rPr>
          <w:rFonts w:cs="宋体"/>
          <w:szCs w:val="21"/>
        </w:rPr>
        <w:t>日但少于</w:t>
      </w:r>
      <w:r>
        <w:rPr>
          <w:rFonts w:cs="宋体"/>
          <w:szCs w:val="21"/>
        </w:rPr>
        <w:t xml:space="preserve"> 90 </w:t>
      </w:r>
      <w:r>
        <w:rPr>
          <w:rFonts w:cs="宋体"/>
          <w:szCs w:val="21"/>
        </w:rPr>
        <w:t>日的投资人收取的赎回费的</w:t>
      </w:r>
      <w:r>
        <w:rPr>
          <w:rFonts w:cs="宋体"/>
          <w:szCs w:val="21"/>
        </w:rPr>
        <w:t xml:space="preserve"> 75%</w:t>
      </w:r>
      <w:r>
        <w:rPr>
          <w:rFonts w:cs="宋体"/>
          <w:szCs w:val="21"/>
        </w:rPr>
        <w:t>计入基金财产；对于持续持有</w:t>
      </w:r>
      <w:r>
        <w:rPr>
          <w:rFonts w:cs="宋体"/>
          <w:szCs w:val="21"/>
        </w:rPr>
        <w:t xml:space="preserve"> A </w:t>
      </w:r>
      <w:r>
        <w:rPr>
          <w:rFonts w:cs="宋体"/>
          <w:szCs w:val="21"/>
        </w:rPr>
        <w:t>类基金份额大于或等于</w:t>
      </w:r>
      <w:r>
        <w:rPr>
          <w:rFonts w:cs="宋体"/>
          <w:szCs w:val="21"/>
        </w:rPr>
        <w:t xml:space="preserve"> 90</w:t>
      </w:r>
      <w:r>
        <w:rPr>
          <w:rFonts w:cs="宋体"/>
          <w:szCs w:val="21"/>
        </w:rPr>
        <w:t>日但少于</w:t>
      </w:r>
      <w:r>
        <w:rPr>
          <w:rFonts w:cs="宋体"/>
          <w:szCs w:val="21"/>
        </w:rPr>
        <w:t xml:space="preserve"> 180 </w:t>
      </w:r>
      <w:r>
        <w:rPr>
          <w:rFonts w:cs="宋体"/>
          <w:szCs w:val="21"/>
        </w:rPr>
        <w:t>日的投资人收取的赎回费的</w:t>
      </w:r>
      <w:r>
        <w:rPr>
          <w:rFonts w:cs="宋体"/>
          <w:szCs w:val="21"/>
        </w:rPr>
        <w:t xml:space="preserve"> 50%</w:t>
      </w:r>
      <w:r>
        <w:rPr>
          <w:rFonts w:cs="宋体"/>
          <w:szCs w:val="21"/>
        </w:rPr>
        <w:t>计入基金财产。对于持有</w:t>
      </w:r>
      <w:r>
        <w:rPr>
          <w:rFonts w:cs="宋体"/>
          <w:szCs w:val="21"/>
        </w:rPr>
        <w:t xml:space="preserve"> A </w:t>
      </w:r>
      <w:r>
        <w:rPr>
          <w:rFonts w:cs="宋体"/>
          <w:szCs w:val="21"/>
        </w:rPr>
        <w:t>类基金份额大于或等于</w:t>
      </w:r>
      <w:r>
        <w:rPr>
          <w:rFonts w:cs="宋体"/>
          <w:szCs w:val="21"/>
        </w:rPr>
        <w:t xml:space="preserve"> 180 </w:t>
      </w:r>
      <w:r>
        <w:rPr>
          <w:rFonts w:cs="宋体"/>
          <w:szCs w:val="21"/>
        </w:rPr>
        <w:t>天的投资人收取的赎回费的</w:t>
      </w:r>
      <w:r>
        <w:rPr>
          <w:rFonts w:cs="宋体"/>
          <w:szCs w:val="21"/>
        </w:rPr>
        <w:t xml:space="preserve"> 25%</w:t>
      </w:r>
      <w:r>
        <w:rPr>
          <w:rFonts w:cs="宋体"/>
          <w:szCs w:val="21"/>
        </w:rPr>
        <w:t>计入基金财产。赎回费用未归入基金财产的</w:t>
      </w:r>
      <w:r>
        <w:rPr>
          <w:rFonts w:cs="宋体"/>
          <w:szCs w:val="21"/>
        </w:rPr>
        <w:t>部分用于支付登记费和其他必要的手续费。</w:t>
      </w:r>
      <w:r>
        <w:rPr>
          <w:rFonts w:cs="宋体"/>
          <w:szCs w:val="21"/>
        </w:rPr>
        <w:br/>
      </w:r>
      <w:r>
        <w:rPr>
          <w:rFonts w:cs="宋体"/>
          <w:szCs w:val="21"/>
        </w:rPr>
        <w:t xml:space="preserve">　　对于持续持有</w:t>
      </w:r>
      <w:r>
        <w:rPr>
          <w:rFonts w:cs="宋体"/>
          <w:szCs w:val="21"/>
        </w:rPr>
        <w:t xml:space="preserve"> C </w:t>
      </w:r>
      <w:r>
        <w:rPr>
          <w:rFonts w:cs="宋体"/>
          <w:szCs w:val="21"/>
        </w:rPr>
        <w:t>类基金份额少于</w:t>
      </w:r>
      <w:r>
        <w:rPr>
          <w:rFonts w:cs="宋体"/>
          <w:szCs w:val="21"/>
        </w:rPr>
        <w:t xml:space="preserve"> 30 </w:t>
      </w:r>
      <w:r>
        <w:rPr>
          <w:rFonts w:cs="宋体"/>
          <w:szCs w:val="21"/>
        </w:rPr>
        <w:t>日的投资人收取的赎回费，将全额计入基金财产。赎回费用未归入基金财产的部分用于支付登记费和其他必要的手续费。</w:t>
      </w:r>
    </w:p>
    <w:p w:rsidR="00000000" w:rsidRDefault="001C6034">
      <w:pPr>
        <w:pStyle w:val="XBRLTitle2"/>
        <w:spacing w:before="156" w:line="360" w:lineRule="auto"/>
      </w:pPr>
      <w:bookmarkStart w:id="109" w:name="m403"/>
      <w:bookmarkStart w:id="110" w:name="_Toc513295855"/>
      <w:bookmarkStart w:id="111" w:name="m405_01_2550"/>
      <w:bookmarkStart w:id="112" w:name="_Toc513295905"/>
      <w:bookmarkStart w:id="113" w:name="_Toc34758528"/>
      <w:bookmarkStart w:id="114" w:name="_Toc512519493"/>
      <w:bookmarkStart w:id="115" w:name="_Toc34841037"/>
      <w:bookmarkStart w:id="116" w:name="_Toc17898192"/>
      <w:bookmarkStart w:id="117" w:name="_Toc481075061"/>
      <w:bookmarkStart w:id="118" w:name="_Toc490050014"/>
      <w:bookmarkStart w:id="119" w:name="_Toc17897946"/>
      <w:bookmarkEnd w:id="109"/>
      <w:r>
        <w:rPr>
          <w:rFonts w:hAnsi="宋体"/>
          <w:lang w:val="en-US"/>
        </w:rPr>
        <w:t>其他与赎回相关的事项</w:t>
      </w:r>
      <w:bookmarkEnd w:id="115"/>
      <w:bookmarkEnd w:id="116"/>
      <w:bookmarkEnd w:id="119"/>
      <w:bookmarkEnd w:id="117"/>
      <w:bookmarkEnd w:id="118"/>
      <w:bookmarkEnd w:id="114"/>
      <w:bookmarkEnd w:id="110"/>
      <w:bookmarkEnd w:id="112"/>
      <w:bookmarkEnd w:id="113"/>
      <w:r>
        <w:rPr>
          <w:rFonts w:hAnsi="宋体"/>
          <w:lang w:val="en-US"/>
        </w:rPr>
        <w:t xml:space="preserve"> </w:t>
      </w:r>
    </w:p>
    <w:p w:rsidR="00000000" w:rsidRDefault="001C6034">
      <w:pPr>
        <w:spacing w:line="360" w:lineRule="auto"/>
        <w:ind w:firstLineChars="200" w:firstLine="420"/>
      </w:pPr>
      <w:r>
        <w:rPr>
          <w:rFonts w:cs="宋体"/>
        </w:rPr>
        <w:t>1</w:t>
      </w:r>
      <w:r>
        <w:rPr>
          <w:rFonts w:cs="宋体"/>
        </w:rPr>
        <w:t>、基金管理人可以根据相关法律法规或在基金合同约定的范围内调整费率或收费方式，并最迟应于新的费率或收费方式实施日（含当日）前依照《公开募集证券投资基金信息披露管理办法》的有关规定在规定媒介上公告。</w:t>
      </w:r>
      <w:r>
        <w:rPr>
          <w:rFonts w:cs="宋体"/>
        </w:rPr>
        <w:br/>
      </w:r>
      <w:r>
        <w:rPr>
          <w:rFonts w:cs="宋体"/>
        </w:rPr>
        <w:t xml:space="preserve">　　</w:t>
      </w:r>
      <w:r>
        <w:rPr>
          <w:rFonts w:cs="宋体"/>
        </w:rPr>
        <w:t>2</w:t>
      </w:r>
      <w:r>
        <w:rPr>
          <w:rFonts w:cs="宋体"/>
        </w:rPr>
        <w:t>、当本基金发生大额赎回情形时，基金管理人可以采用摆动定价机制，以确保基金估值的公平性。具体处</w:t>
      </w:r>
      <w:r>
        <w:rPr>
          <w:rFonts w:cs="宋体"/>
        </w:rPr>
        <w:t>理原则与操作规范遵循相关法律法规以及监管部门、自律规则的规定。</w:t>
      </w:r>
      <w:r>
        <w:rPr>
          <w:rFonts w:cs="宋体"/>
        </w:rPr>
        <w:br/>
      </w:r>
      <w:r>
        <w:rPr>
          <w:rFonts w:cs="宋体"/>
        </w:rPr>
        <w:t xml:space="preserve">　　</w:t>
      </w:r>
      <w:r>
        <w:rPr>
          <w:rFonts w:cs="宋体"/>
        </w:rPr>
        <w:t>3</w:t>
      </w:r>
      <w:r>
        <w:rPr>
          <w:rFonts w:cs="宋体"/>
        </w:rPr>
        <w:t>、基金管理人可以在不违反法律法规规定及基金合同约定且对现有基金份额持有人利益无实质性不利影响的情形下，根据市场情况制定基金促销计划，定期或不定期地开展基金促销活动。在基金促销活动期间，按相关监管部门要求履行必要手续后，基金管理人可以适当调低基金销售费率，并进行公告。</w:t>
      </w:r>
    </w:p>
    <w:p w:rsidR="00000000" w:rsidRDefault="001C6034">
      <w:pPr>
        <w:pStyle w:val="XBRLTitle1"/>
        <w:spacing w:before="156" w:line="360" w:lineRule="auto"/>
      </w:pPr>
      <w:bookmarkStart w:id="120" w:name="_Toc512519496"/>
      <w:bookmarkStart w:id="121" w:name="_Toc438646466"/>
      <w:bookmarkStart w:id="122" w:name="_Toc17897949"/>
      <w:bookmarkStart w:id="123" w:name="_Toc17898195"/>
      <w:bookmarkStart w:id="124" w:name="_Toc34841038"/>
      <w:bookmarkStart w:id="125" w:name="_Toc34758529"/>
      <w:bookmarkStart w:id="126" w:name="_Toc513295908"/>
      <w:bookmarkStart w:id="127" w:name="_Toc513295858"/>
      <w:bookmarkStart w:id="128" w:name="_Toc490050017"/>
      <w:bookmarkStart w:id="129" w:name="_Toc481075064"/>
      <w:bookmarkEnd w:id="111"/>
      <w:r>
        <w:rPr>
          <w:rFonts w:hAnsi="宋体"/>
          <w:lang w:val="en-US"/>
        </w:rPr>
        <w:t>日常转换业务</w:t>
      </w:r>
      <w:bookmarkEnd w:id="124"/>
      <w:bookmarkEnd w:id="123"/>
      <w:bookmarkEnd w:id="122"/>
      <w:bookmarkEnd w:id="120"/>
      <w:bookmarkEnd w:id="129"/>
      <w:bookmarkEnd w:id="121"/>
      <w:bookmarkEnd w:id="128"/>
      <w:bookmarkEnd w:id="127"/>
      <w:bookmarkEnd w:id="126"/>
      <w:bookmarkEnd w:id="125"/>
      <w:r>
        <w:rPr>
          <w:rFonts w:hAnsi="宋体"/>
          <w:lang w:val="en-US"/>
        </w:rPr>
        <w:t xml:space="preserve"> </w:t>
      </w:r>
    </w:p>
    <w:p w:rsidR="00000000" w:rsidRDefault="001C6034">
      <w:pPr>
        <w:pStyle w:val="XBRLTitle2"/>
        <w:spacing w:before="156" w:line="360" w:lineRule="auto"/>
      </w:pPr>
      <w:bookmarkStart w:id="130" w:name="_Toc34758530"/>
      <w:bookmarkStart w:id="131" w:name="_Toc513295859"/>
      <w:bookmarkStart w:id="132" w:name="_Toc512519497"/>
      <w:bookmarkStart w:id="133" w:name="_Toc513295909"/>
      <w:bookmarkStart w:id="134" w:name="_Toc490050018"/>
      <w:bookmarkStart w:id="135" w:name="_Toc438646467"/>
      <w:bookmarkStart w:id="136" w:name="_Toc481075065"/>
      <w:bookmarkStart w:id="137" w:name="_Toc34841039"/>
      <w:bookmarkStart w:id="138" w:name="_Toc17898196"/>
      <w:bookmarkStart w:id="139" w:name="_Toc17897950"/>
      <w:bookmarkStart w:id="140" w:name="m501"/>
      <w:r>
        <w:rPr>
          <w:rFonts w:hAnsi="宋体"/>
          <w:lang w:val="en-US"/>
        </w:rPr>
        <w:t>转换费率</w:t>
      </w:r>
      <w:bookmarkEnd w:id="137"/>
      <w:bookmarkEnd w:id="138"/>
      <w:bookmarkEnd w:id="139"/>
      <w:bookmarkEnd w:id="136"/>
      <w:bookmarkEnd w:id="135"/>
      <w:bookmarkEnd w:id="134"/>
      <w:bookmarkEnd w:id="132"/>
      <w:bookmarkEnd w:id="131"/>
      <w:bookmarkEnd w:id="133"/>
      <w:bookmarkEnd w:id="130"/>
      <w:r>
        <w:rPr>
          <w:rFonts w:hAnsi="宋体"/>
          <w:lang w:val="en-US"/>
        </w:rPr>
        <w:t xml:space="preserve"> </w:t>
      </w:r>
    </w:p>
    <w:p w:rsidR="00000000" w:rsidRDefault="001C6034">
      <w:pPr>
        <w:spacing w:line="360" w:lineRule="auto"/>
        <w:ind w:firstLineChars="200" w:firstLine="420"/>
      </w:pPr>
      <w:r>
        <w:rPr>
          <w:rFonts w:cs="宋体"/>
        </w:rPr>
        <w:t>1</w:t>
      </w:r>
      <w:r>
        <w:rPr>
          <w:rFonts w:cs="宋体"/>
        </w:rPr>
        <w:t>、转换费用由二部分组成：转出基金赎回费和转入基金与转出基金的申购补差费。</w:t>
      </w:r>
      <w:r>
        <w:rPr>
          <w:rFonts w:cs="宋体"/>
        </w:rPr>
        <w:br/>
      </w:r>
      <w:r>
        <w:rPr>
          <w:rFonts w:cs="宋体"/>
        </w:rPr>
        <w:t xml:space="preserve">　　</w:t>
      </w:r>
      <w:r>
        <w:rPr>
          <w:rFonts w:cs="宋体"/>
        </w:rPr>
        <w:t>2</w:t>
      </w:r>
      <w:r>
        <w:rPr>
          <w:rFonts w:cs="宋体"/>
        </w:rPr>
        <w:t>、赎回费：赎回费用由赎回基金份额的基金份额持有人承担，在基金份额</w:t>
      </w:r>
      <w:r>
        <w:rPr>
          <w:rFonts w:cs="宋体"/>
        </w:rPr>
        <w:t>持有人赎回基金份额时收取。如涉及的转出基金有赎回费用的，收取该基金的赎回费用。转换赎回费归基金资产费用同赎回费。</w:t>
      </w:r>
      <w:r>
        <w:rPr>
          <w:rFonts w:cs="宋体"/>
        </w:rPr>
        <w:br/>
      </w:r>
      <w:r>
        <w:rPr>
          <w:rFonts w:cs="宋体"/>
        </w:rPr>
        <w:t xml:space="preserve">　　</w:t>
      </w:r>
      <w:r>
        <w:rPr>
          <w:rFonts w:cs="宋体"/>
        </w:rPr>
        <w:t>3</w:t>
      </w:r>
      <w:r>
        <w:rPr>
          <w:rFonts w:cs="宋体"/>
        </w:rPr>
        <w:t>、申购补差费：按照转入基金与转出基金的申购费的差额收取补差费。转出基金金额所对应的转出基金申购费率低于转入基金的申购费率的，补差费率为转入基金和转出基金的申购费率差额；转出基金金额所对应的转出基金申购费率高于转入基金的申购费率的补差费为零。从申购费率低的基金向申购费率高的基金转换时，收取申购补差费用；从申购费率高的基金向申购费率低的基金转换时，不收取申购补差费用。</w:t>
      </w:r>
      <w:r>
        <w:rPr>
          <w:rFonts w:cs="宋体"/>
        </w:rPr>
        <w:br/>
      </w:r>
      <w:r>
        <w:rPr>
          <w:rFonts w:cs="宋体"/>
        </w:rPr>
        <w:t xml:space="preserve">　　</w:t>
      </w:r>
      <w:r>
        <w:rPr>
          <w:rFonts w:cs="宋体"/>
        </w:rPr>
        <w:t>4</w:t>
      </w:r>
      <w:r>
        <w:rPr>
          <w:rFonts w:cs="宋体"/>
        </w:rPr>
        <w:t>、投资者可以发起多</w:t>
      </w:r>
      <w:r>
        <w:rPr>
          <w:rFonts w:cs="宋体"/>
        </w:rPr>
        <w:t>次基金转换业务，基金转换费用按每笔申请单独计算。计算基金转换费用所涉及的赎回费率和申购费率均按正常费率执行。</w:t>
      </w:r>
      <w:r>
        <w:rPr>
          <w:rFonts w:cs="宋体"/>
        </w:rPr>
        <w:br/>
      </w:r>
      <w:r>
        <w:rPr>
          <w:rFonts w:cs="宋体"/>
        </w:rPr>
        <w:t xml:space="preserve">　　</w:t>
      </w:r>
      <w:r>
        <w:rPr>
          <w:rFonts w:cs="宋体"/>
        </w:rPr>
        <w:t>5</w:t>
      </w:r>
      <w:r>
        <w:rPr>
          <w:rFonts w:cs="宋体"/>
        </w:rPr>
        <w:t>、转换费用以人民币为单位，计算结果按照四舍五入方法，保留小数点后两位，由此误差产生的损失由基金财产承担，产生的收益归基金财产所有。</w:t>
      </w:r>
      <w:r>
        <w:rPr>
          <w:rFonts w:cs="宋体"/>
        </w:rPr>
        <w:br/>
      </w:r>
      <w:r>
        <w:rPr>
          <w:rFonts w:cs="宋体"/>
        </w:rPr>
        <w:t xml:space="preserve">　　</w:t>
      </w:r>
      <w:r>
        <w:rPr>
          <w:rFonts w:cs="宋体"/>
        </w:rPr>
        <w:t>6</w:t>
      </w:r>
      <w:r>
        <w:rPr>
          <w:rFonts w:cs="宋体"/>
        </w:rPr>
        <w:t>、如遇申购费率优惠活动，基金转换费用的构成同样适用于前述规则，即基金转换费用由基金赎回费用及基金申购补差费用构成。</w:t>
      </w:r>
      <w:r>
        <w:rPr>
          <w:rFonts w:cs="宋体"/>
        </w:rPr>
        <w:br/>
      </w:r>
      <w:r>
        <w:rPr>
          <w:rFonts w:cs="宋体"/>
        </w:rPr>
        <w:t xml:space="preserve">　　</w:t>
      </w:r>
      <w:r>
        <w:rPr>
          <w:rFonts w:cs="宋体"/>
        </w:rPr>
        <w:t>7</w:t>
      </w:r>
      <w:r>
        <w:rPr>
          <w:rFonts w:cs="宋体"/>
        </w:rPr>
        <w:t>、各基金赎回费率以及本基金申购费率请参照相应基金的招募说明书，或参照本公司优惠活动公告。</w:t>
      </w:r>
    </w:p>
    <w:p w:rsidR="00000000" w:rsidRDefault="001C6034">
      <w:pPr>
        <w:pStyle w:val="XBRLTitle2"/>
        <w:spacing w:before="156" w:line="360" w:lineRule="auto"/>
      </w:pPr>
      <w:bookmarkStart w:id="141" w:name="_Toc481075069"/>
      <w:bookmarkStart w:id="142" w:name="_Toc490050022"/>
      <w:bookmarkStart w:id="143" w:name="_Toc512519501"/>
      <w:bookmarkStart w:id="144" w:name="m502"/>
      <w:bookmarkStart w:id="145" w:name="_Toc438646470"/>
      <w:bookmarkStart w:id="146" w:name="m504"/>
      <w:bookmarkStart w:id="147" w:name="_Toc34758531"/>
      <w:bookmarkStart w:id="148" w:name="_Toc513295913"/>
      <w:bookmarkStart w:id="149" w:name="_Toc513295861"/>
      <w:bookmarkStart w:id="150" w:name="_Toc34841040"/>
      <w:bookmarkStart w:id="151" w:name="_Toc17898200"/>
      <w:bookmarkStart w:id="152" w:name="_Toc17897952"/>
      <w:bookmarkEnd w:id="140"/>
      <w:r>
        <w:rPr>
          <w:rFonts w:hAnsi="宋体"/>
          <w:lang w:val="en-US"/>
        </w:rPr>
        <w:t>其他与转换相关的事项</w:t>
      </w:r>
      <w:bookmarkEnd w:id="150"/>
      <w:bookmarkEnd w:id="151"/>
      <w:bookmarkEnd w:id="152"/>
      <w:bookmarkEnd w:id="141"/>
      <w:bookmarkEnd w:id="142"/>
      <w:bookmarkEnd w:id="143"/>
      <w:bookmarkEnd w:id="149"/>
      <w:bookmarkEnd w:id="148"/>
      <w:bookmarkEnd w:id="147"/>
      <w:r>
        <w:rPr>
          <w:rFonts w:hAnsi="宋体"/>
          <w:lang w:val="en-US"/>
        </w:rPr>
        <w:t xml:space="preserve"> </w:t>
      </w:r>
      <w:bookmarkEnd w:id="146"/>
      <w:bookmarkEnd w:id="145"/>
      <w:bookmarkEnd w:id="144"/>
    </w:p>
    <w:p w:rsidR="00000000" w:rsidRDefault="001C6034">
      <w:pPr>
        <w:spacing w:line="360" w:lineRule="auto"/>
        <w:ind w:firstLineChars="200" w:firstLine="420"/>
      </w:pPr>
      <w:r>
        <w:rPr>
          <w:rFonts w:cs="宋体"/>
        </w:rPr>
        <w:t>1</w:t>
      </w:r>
      <w:r>
        <w:rPr>
          <w:rFonts w:cs="宋体"/>
        </w:rPr>
        <w:t>、本基金在直销柜台、</w:t>
      </w:r>
      <w:r>
        <w:rPr>
          <w:rFonts w:cs="宋体"/>
        </w:rPr>
        <w:t>直销电子交易平台及代销机构开通了转换业务，详情请咨询各销售机构。</w:t>
      </w:r>
      <w:r>
        <w:rPr>
          <w:rFonts w:cs="宋体"/>
        </w:rPr>
        <w:br/>
      </w:r>
      <w:r>
        <w:rPr>
          <w:rFonts w:cs="宋体"/>
        </w:rPr>
        <w:t xml:space="preserve">　　</w:t>
      </w:r>
      <w:r>
        <w:rPr>
          <w:rFonts w:cs="宋体"/>
        </w:rPr>
        <w:t>2</w:t>
      </w:r>
      <w:r>
        <w:rPr>
          <w:rFonts w:cs="宋体"/>
        </w:rPr>
        <w:t>、基金转换的申请方式</w:t>
      </w:r>
      <w:r>
        <w:rPr>
          <w:rFonts w:cs="宋体"/>
        </w:rPr>
        <w:br/>
      </w:r>
      <w:r>
        <w:rPr>
          <w:rFonts w:cs="宋体"/>
        </w:rPr>
        <w:t xml:space="preserve">　　基金份额持有人必须根据基金管理人和基金销售机构规定的手续，在开放日的交易时间段内提出基金转换申请。投资人办理基金转换业务时，转出方的基金必须处于可赎回状态，转入方的基金必须处于可申购状态。基金转换只能在同一销售机构进行，转换的两只基金必须都是同一销售机构同时代理销售的本公司管理的已开通转换业务的基金。</w:t>
      </w:r>
      <w:r>
        <w:rPr>
          <w:rFonts w:cs="宋体"/>
        </w:rPr>
        <w:br/>
      </w:r>
      <w:r>
        <w:rPr>
          <w:rFonts w:cs="宋体"/>
        </w:rPr>
        <w:t xml:space="preserve">　　</w:t>
      </w:r>
      <w:r>
        <w:rPr>
          <w:rFonts w:cs="宋体"/>
        </w:rPr>
        <w:t>3</w:t>
      </w:r>
      <w:r>
        <w:rPr>
          <w:rFonts w:cs="宋体"/>
        </w:rPr>
        <w:t>、基金转换申请的确认</w:t>
      </w:r>
      <w:r>
        <w:rPr>
          <w:rFonts w:cs="宋体"/>
        </w:rPr>
        <w:br/>
      </w:r>
      <w:r>
        <w:rPr>
          <w:rFonts w:cs="宋体"/>
        </w:rPr>
        <w:t xml:space="preserve">　　基金管理人以收到基金转换申请的当天作为基金转换申请日（</w:t>
      </w:r>
      <w:r>
        <w:rPr>
          <w:rFonts w:cs="宋体"/>
        </w:rPr>
        <w:t>T</w:t>
      </w:r>
      <w:r>
        <w:rPr>
          <w:rFonts w:cs="宋体"/>
        </w:rPr>
        <w:t>日），并在</w:t>
      </w:r>
      <w:r>
        <w:rPr>
          <w:rFonts w:cs="宋体"/>
        </w:rPr>
        <w:t>T+1</w:t>
      </w:r>
      <w:r>
        <w:rPr>
          <w:rFonts w:cs="宋体"/>
        </w:rPr>
        <w:t>工作日</w:t>
      </w:r>
      <w:r>
        <w:rPr>
          <w:rFonts w:cs="宋体"/>
        </w:rPr>
        <w:t>对该交易的有效性进行确认。投资人可在</w:t>
      </w:r>
      <w:r>
        <w:rPr>
          <w:rFonts w:cs="宋体"/>
        </w:rPr>
        <w:t>T+2</w:t>
      </w:r>
      <w:r>
        <w:rPr>
          <w:rFonts w:cs="宋体"/>
        </w:rPr>
        <w:t>工作日及之后到其提出基金转换申请的网点进行成交查询。</w:t>
      </w:r>
      <w:r>
        <w:rPr>
          <w:rFonts w:cs="宋体"/>
        </w:rPr>
        <w:br/>
      </w:r>
      <w:r>
        <w:rPr>
          <w:rFonts w:cs="宋体"/>
        </w:rPr>
        <w:t xml:space="preserve">　　基金份额持有人申请转换时，遵循“先进先出”的原则，即份额登记日期在前的先转换出，份额登记日期在后的后转换出，如果转换申请当日，同时有赎回申请的情况下，则遵循先赎回后转换的处理原则。</w:t>
      </w:r>
      <w:r>
        <w:rPr>
          <w:rFonts w:cs="宋体"/>
        </w:rPr>
        <w:br/>
      </w:r>
      <w:r>
        <w:rPr>
          <w:rFonts w:cs="宋体"/>
        </w:rPr>
        <w:t xml:space="preserve">　　</w:t>
      </w:r>
      <w:r>
        <w:rPr>
          <w:rFonts w:cs="宋体"/>
        </w:rPr>
        <w:t>4</w:t>
      </w:r>
      <w:r>
        <w:rPr>
          <w:rFonts w:cs="宋体"/>
        </w:rPr>
        <w:t>、转换的数额限制</w:t>
      </w:r>
      <w:r>
        <w:rPr>
          <w:rFonts w:cs="宋体"/>
        </w:rPr>
        <w:br/>
      </w:r>
      <w:r>
        <w:rPr>
          <w:rFonts w:cs="宋体"/>
        </w:rPr>
        <w:t xml:space="preserve">　　基金转换遵循“份额转换”的原则，转换申请份额精确到小数点后两位。</w:t>
      </w:r>
      <w:r>
        <w:rPr>
          <w:rFonts w:cs="宋体"/>
        </w:rPr>
        <w:br/>
      </w:r>
      <w:r>
        <w:rPr>
          <w:rFonts w:cs="宋体"/>
        </w:rPr>
        <w:t xml:space="preserve">　　本基金各类基金份额的转换转入不受本基金最低申购金额的限制。本基金各类基金份额的转换转出限额参照“</w:t>
      </w:r>
      <w:r>
        <w:rPr>
          <w:rFonts w:cs="宋体"/>
        </w:rPr>
        <w:t>4.1</w:t>
      </w:r>
      <w:r>
        <w:rPr>
          <w:rFonts w:cs="宋体"/>
        </w:rPr>
        <w:t xml:space="preserve">　赎回份额限制”执行。</w:t>
      </w:r>
    </w:p>
    <w:p w:rsidR="00000000" w:rsidRDefault="001C6034">
      <w:pPr>
        <w:pStyle w:val="XBRLTitle1"/>
        <w:spacing w:before="156" w:line="360" w:lineRule="auto"/>
      </w:pPr>
      <w:bookmarkStart w:id="153" w:name="_Toc34758532"/>
      <w:bookmarkStart w:id="154" w:name="_Toc34841041"/>
      <w:r>
        <w:rPr>
          <w:rFonts w:hAnsi="宋体"/>
          <w:lang w:val="en-US"/>
        </w:rPr>
        <w:t>定期定</w:t>
      </w:r>
      <w:r>
        <w:rPr>
          <w:rFonts w:hAnsi="宋体"/>
          <w:lang w:val="en-US"/>
        </w:rPr>
        <w:t>额投资业务</w:t>
      </w:r>
      <w:bookmarkEnd w:id="154"/>
      <w:bookmarkEnd w:id="153"/>
      <w:r>
        <w:rPr>
          <w:rFonts w:hAnsi="宋体"/>
          <w:lang w:val="en-US"/>
        </w:rPr>
        <w:t xml:space="preserve"> </w:t>
      </w:r>
    </w:p>
    <w:p w:rsidR="00000000" w:rsidRDefault="001C6034">
      <w:pPr>
        <w:spacing w:line="360" w:lineRule="auto"/>
        <w:ind w:firstLineChars="200" w:firstLine="420"/>
      </w:pPr>
      <w:r>
        <w:rPr>
          <w:rFonts w:cs="宋体"/>
        </w:rPr>
        <w:t>6.1</w:t>
      </w:r>
      <w:r>
        <w:rPr>
          <w:rFonts w:cs="宋体"/>
        </w:rPr>
        <w:t xml:space="preserve">　开通定投业务的销售机构</w:t>
      </w:r>
      <w:r>
        <w:rPr>
          <w:rFonts w:cs="宋体"/>
        </w:rPr>
        <w:br/>
      </w:r>
      <w:r>
        <w:rPr>
          <w:rFonts w:cs="宋体"/>
        </w:rPr>
        <w:t xml:space="preserve">　　直销机构：西部利得基金管理有限公司直销柜台及直销电子交易平台。</w:t>
      </w:r>
      <w:r>
        <w:rPr>
          <w:rFonts w:cs="宋体"/>
        </w:rPr>
        <w:br/>
      </w:r>
      <w:r>
        <w:rPr>
          <w:rFonts w:cs="宋体"/>
        </w:rPr>
        <w:t xml:space="preserve">　　本基金的代销机构：详见基金管理人网站公示。</w:t>
      </w:r>
      <w:r>
        <w:rPr>
          <w:rFonts w:cs="宋体"/>
        </w:rPr>
        <w:br/>
      </w:r>
      <w:r>
        <w:rPr>
          <w:rFonts w:cs="宋体"/>
        </w:rPr>
        <w:t xml:space="preserve">　　销售机构办理本基金定投业务的具体网点、数额限制、流程、规则以及投资者需要提交的文件等信息，请参照销售机构的规定。</w:t>
      </w:r>
      <w:r>
        <w:rPr>
          <w:rFonts w:cs="宋体"/>
        </w:rPr>
        <w:br/>
      </w:r>
      <w:r>
        <w:rPr>
          <w:rFonts w:cs="宋体"/>
        </w:rPr>
        <w:t xml:space="preserve">　　</w:t>
      </w:r>
      <w:r>
        <w:rPr>
          <w:rFonts w:cs="宋体"/>
        </w:rPr>
        <w:t>6.2</w:t>
      </w:r>
      <w:r>
        <w:rPr>
          <w:rFonts w:cs="宋体"/>
        </w:rPr>
        <w:t xml:space="preserve">　办理方式</w:t>
      </w:r>
      <w:r>
        <w:rPr>
          <w:rFonts w:cs="宋体"/>
        </w:rPr>
        <w:br/>
      </w:r>
      <w:r>
        <w:rPr>
          <w:rFonts w:cs="宋体"/>
        </w:rPr>
        <w:t xml:space="preserve">　　投资人开立基金账户后即可到上述机构的网点申请办理本基金的基金定投业务，具体安排由代销机构自行负责。</w:t>
      </w:r>
      <w:r>
        <w:rPr>
          <w:rFonts w:cs="宋体"/>
        </w:rPr>
        <w:br/>
      </w:r>
      <w:r>
        <w:rPr>
          <w:rFonts w:cs="宋体"/>
        </w:rPr>
        <w:t xml:space="preserve">　　</w:t>
      </w:r>
      <w:r>
        <w:rPr>
          <w:rFonts w:cs="宋体"/>
        </w:rPr>
        <w:t>6.3</w:t>
      </w:r>
      <w:r>
        <w:rPr>
          <w:rFonts w:cs="宋体"/>
        </w:rPr>
        <w:t xml:space="preserve">　办理时间</w:t>
      </w:r>
      <w:r>
        <w:rPr>
          <w:rFonts w:cs="宋体"/>
        </w:rPr>
        <w:br/>
      </w:r>
      <w:r>
        <w:rPr>
          <w:rFonts w:cs="宋体"/>
        </w:rPr>
        <w:t xml:space="preserve">　　基金定投的申请受理时间与基金日常申购业务受理时间相同。</w:t>
      </w:r>
      <w:r>
        <w:rPr>
          <w:rFonts w:cs="宋体"/>
        </w:rPr>
        <w:br/>
      </w:r>
      <w:r>
        <w:rPr>
          <w:rFonts w:cs="宋体"/>
        </w:rPr>
        <w:t xml:space="preserve">　　</w:t>
      </w:r>
      <w:r>
        <w:rPr>
          <w:rFonts w:cs="宋体"/>
        </w:rPr>
        <w:t>6.4</w:t>
      </w:r>
      <w:r>
        <w:rPr>
          <w:rFonts w:cs="宋体"/>
        </w:rPr>
        <w:t xml:space="preserve">　申购金额</w:t>
      </w:r>
      <w:r>
        <w:rPr>
          <w:rFonts w:cs="宋体"/>
        </w:rPr>
        <w:br/>
      </w:r>
      <w:r>
        <w:rPr>
          <w:rFonts w:cs="宋体"/>
        </w:rPr>
        <w:t xml:space="preserve">　</w:t>
      </w:r>
      <w:r>
        <w:rPr>
          <w:rFonts w:cs="宋体"/>
        </w:rPr>
        <w:t xml:space="preserve">　投资人可与各销售机构约定每期申购金额，每期最低扣款金额为人民币</w:t>
      </w:r>
      <w:r>
        <w:rPr>
          <w:rFonts w:cs="宋体"/>
        </w:rPr>
        <w:t>1</w:t>
      </w:r>
      <w:r>
        <w:rPr>
          <w:rFonts w:cs="宋体"/>
        </w:rPr>
        <w:t>元（含定投申购费）。投资人在各销售机构办理基金定投业务时，除需满足上述最低扣款金额外，还需遵循相关销售机构的设定。</w:t>
      </w:r>
      <w:r>
        <w:rPr>
          <w:rFonts w:cs="宋体"/>
        </w:rPr>
        <w:br/>
      </w:r>
      <w:r>
        <w:rPr>
          <w:rFonts w:cs="宋体"/>
        </w:rPr>
        <w:t xml:space="preserve">　　投资人应与相关销售机构约定扣款日期。</w:t>
      </w:r>
      <w:r>
        <w:rPr>
          <w:rFonts w:cs="宋体"/>
        </w:rPr>
        <w:br/>
      </w:r>
      <w:r>
        <w:rPr>
          <w:rFonts w:cs="宋体"/>
        </w:rPr>
        <w:t xml:space="preserve">　　销售机构将按照投资人申请时约定的每期扣款日、申购金额扣款，若遇非基金开放日则以销售机构的相关规定为准，并将投资人申购的实际扣款日期视为基金申购申请日（</w:t>
      </w:r>
      <w:r>
        <w:rPr>
          <w:rFonts w:cs="宋体"/>
        </w:rPr>
        <w:t>T</w:t>
      </w:r>
      <w:r>
        <w:rPr>
          <w:rFonts w:cs="宋体"/>
        </w:rPr>
        <w:t>日）。</w:t>
      </w:r>
      <w:r>
        <w:rPr>
          <w:rFonts w:cs="宋体"/>
        </w:rPr>
        <w:br/>
      </w:r>
      <w:r>
        <w:rPr>
          <w:rFonts w:cs="宋体"/>
        </w:rPr>
        <w:t xml:space="preserve">　　投资人需指定相关销售机构认可的资金账户作为每期固定扣款账户。</w:t>
      </w:r>
      <w:r>
        <w:rPr>
          <w:rFonts w:cs="宋体"/>
        </w:rPr>
        <w:br/>
      </w:r>
      <w:r>
        <w:rPr>
          <w:rFonts w:cs="宋体"/>
        </w:rPr>
        <w:t xml:space="preserve">　　</w:t>
      </w:r>
      <w:r>
        <w:rPr>
          <w:rFonts w:cs="宋体"/>
        </w:rPr>
        <w:t>6.5</w:t>
      </w:r>
      <w:r>
        <w:rPr>
          <w:rFonts w:cs="宋体"/>
        </w:rPr>
        <w:t xml:space="preserve">　申购费率</w:t>
      </w:r>
      <w:r>
        <w:rPr>
          <w:rFonts w:cs="宋体"/>
        </w:rPr>
        <w:br/>
      </w:r>
      <w:r>
        <w:rPr>
          <w:rFonts w:cs="宋体"/>
        </w:rPr>
        <w:t xml:space="preserve">　　若无另行公告，定投费率及计费方式</w:t>
      </w:r>
      <w:r>
        <w:rPr>
          <w:rFonts w:cs="宋体"/>
        </w:rPr>
        <w:t>与一般的申购业务相同。</w:t>
      </w:r>
      <w:r>
        <w:rPr>
          <w:rFonts w:cs="宋体"/>
        </w:rPr>
        <w:br/>
      </w:r>
      <w:r>
        <w:rPr>
          <w:rFonts w:cs="宋体"/>
        </w:rPr>
        <w:t xml:space="preserve">　　</w:t>
      </w:r>
      <w:r>
        <w:rPr>
          <w:rFonts w:cs="宋体"/>
        </w:rPr>
        <w:t>6.6</w:t>
      </w:r>
      <w:r>
        <w:rPr>
          <w:rFonts w:cs="宋体"/>
        </w:rPr>
        <w:t xml:space="preserve">　扣款和交易确认</w:t>
      </w:r>
      <w:r>
        <w:rPr>
          <w:rFonts w:cs="宋体"/>
        </w:rPr>
        <w:br/>
      </w:r>
      <w:r>
        <w:rPr>
          <w:rFonts w:cs="宋体"/>
        </w:rPr>
        <w:t xml:space="preserve">　　基金的登记机构按照基金申购申请日（</w:t>
      </w:r>
      <w:r>
        <w:rPr>
          <w:rFonts w:cs="宋体"/>
        </w:rPr>
        <w:t>T</w:t>
      </w:r>
      <w:r>
        <w:rPr>
          <w:rFonts w:cs="宋体"/>
        </w:rPr>
        <w:t>日）的基金份额净值为基准计算申购份额。申购份额将在</w:t>
      </w:r>
      <w:r>
        <w:rPr>
          <w:rFonts w:cs="宋体"/>
        </w:rPr>
        <w:t>T</w:t>
      </w:r>
      <w:r>
        <w:rPr>
          <w:rFonts w:cs="宋体"/>
        </w:rPr>
        <w:t>＋</w:t>
      </w:r>
      <w:r>
        <w:rPr>
          <w:rFonts w:cs="宋体"/>
        </w:rPr>
        <w:t>1</w:t>
      </w:r>
      <w:r>
        <w:rPr>
          <w:rFonts w:cs="宋体"/>
        </w:rPr>
        <w:t>日进行确认，投资人可自</w:t>
      </w:r>
      <w:r>
        <w:rPr>
          <w:rFonts w:cs="宋体"/>
        </w:rPr>
        <w:t>T+2</w:t>
      </w:r>
      <w:r>
        <w:rPr>
          <w:rFonts w:cs="宋体"/>
        </w:rPr>
        <w:t>日起查询申购成交情况。</w:t>
      </w:r>
      <w:r>
        <w:rPr>
          <w:rFonts w:cs="宋体"/>
        </w:rPr>
        <w:br/>
      </w:r>
      <w:r>
        <w:rPr>
          <w:rFonts w:cs="宋体"/>
        </w:rPr>
        <w:t xml:space="preserve">　　</w:t>
      </w:r>
      <w:r>
        <w:rPr>
          <w:rFonts w:cs="宋体"/>
        </w:rPr>
        <w:t>6.7</w:t>
      </w:r>
      <w:r>
        <w:rPr>
          <w:rFonts w:cs="宋体"/>
        </w:rPr>
        <w:t xml:space="preserve">　变更与解约</w:t>
      </w:r>
      <w:r>
        <w:rPr>
          <w:rFonts w:cs="宋体"/>
        </w:rPr>
        <w:br/>
      </w:r>
      <w:r>
        <w:rPr>
          <w:rFonts w:cs="宋体"/>
        </w:rPr>
        <w:t xml:space="preserve">　　如果投资人变更每期申购金额、扣款日期、扣款方式或者终止定投业务，请遵循销售机构的相关规定。</w:t>
      </w:r>
    </w:p>
    <w:p w:rsidR="00000000" w:rsidRDefault="001C6034">
      <w:pPr>
        <w:pStyle w:val="XBRLTitle1"/>
        <w:spacing w:before="156" w:line="360" w:lineRule="auto"/>
      </w:pPr>
      <w:bookmarkStart w:id="155" w:name="_Toc3475852111"/>
      <w:bookmarkStart w:id="156" w:name="_Toc34841042"/>
      <w:r>
        <w:rPr>
          <w:rFonts w:hAnsi="宋体"/>
          <w:lang w:val="en-US"/>
        </w:rPr>
        <w:t>基金销售机构</w:t>
      </w:r>
      <w:bookmarkEnd w:id="37"/>
      <w:bookmarkEnd w:id="36"/>
      <w:bookmarkEnd w:id="35"/>
      <w:bookmarkEnd w:id="40"/>
      <w:bookmarkEnd w:id="34"/>
      <w:bookmarkEnd w:id="33"/>
      <w:bookmarkEnd w:id="32"/>
      <w:bookmarkEnd w:id="31"/>
      <w:bookmarkEnd w:id="156"/>
      <w:bookmarkEnd w:id="155"/>
      <w:r>
        <w:rPr>
          <w:rFonts w:hAnsi="宋体"/>
          <w:lang w:val="en-US"/>
        </w:rPr>
        <w:t xml:space="preserve"> </w:t>
      </w:r>
      <w:bookmarkEnd w:id="67"/>
      <w:bookmarkEnd w:id="68"/>
      <w:bookmarkEnd w:id="69"/>
      <w:bookmarkEnd w:id="70"/>
      <w:bookmarkEnd w:id="71"/>
      <w:bookmarkEnd w:id="72"/>
      <w:bookmarkEnd w:id="73"/>
      <w:bookmarkEnd w:id="66"/>
      <w:bookmarkEnd w:id="74"/>
      <w:bookmarkEnd w:id="75"/>
      <w:bookmarkEnd w:id="76"/>
      <w:bookmarkEnd w:id="77"/>
      <w:bookmarkEnd w:id="62"/>
    </w:p>
    <w:p w:rsidR="00000000" w:rsidRDefault="001C6034">
      <w:pPr>
        <w:pStyle w:val="XBRLTitle2"/>
        <w:spacing w:before="156" w:line="360" w:lineRule="auto"/>
      </w:pPr>
      <w:bookmarkStart w:id="157" w:name="_Toc51346565811"/>
      <w:r>
        <w:rPr>
          <w:rFonts w:hAnsi="宋体"/>
          <w:lang w:val="en-US"/>
        </w:rPr>
        <w:t>场外销售机构</w:t>
      </w:r>
      <w:bookmarkEnd w:id="54"/>
      <w:bookmarkEnd w:id="53"/>
      <w:bookmarkEnd w:id="52"/>
      <w:bookmarkEnd w:id="51"/>
      <w:bookmarkEnd w:id="157"/>
      <w:r>
        <w:rPr>
          <w:rFonts w:hAnsi="宋体"/>
          <w:lang w:val="en-US"/>
        </w:rPr>
        <w:t xml:space="preserve"> </w:t>
      </w:r>
    </w:p>
    <w:p w:rsidR="00000000" w:rsidRDefault="001C6034">
      <w:pPr>
        <w:pStyle w:val="XBRLTitle3"/>
        <w:spacing w:before="156"/>
      </w:pPr>
      <w:bookmarkStart w:id="158" w:name="_Toc51346565911"/>
      <w:r>
        <w:rPr>
          <w:lang w:val="en-US"/>
        </w:rPr>
        <w:t>直销机构</w:t>
      </w:r>
      <w:bookmarkEnd w:id="56"/>
      <w:bookmarkEnd w:id="59"/>
      <w:bookmarkEnd w:id="58"/>
      <w:bookmarkEnd w:id="158"/>
      <w:r>
        <w:rPr>
          <w:lang w:val="en-US"/>
        </w:rPr>
        <w:t xml:space="preserve"> </w:t>
      </w:r>
    </w:p>
    <w:p w:rsidR="00000000" w:rsidRDefault="001C6034">
      <w:pPr>
        <w:spacing w:line="360" w:lineRule="auto"/>
        <w:ind w:firstLineChars="200" w:firstLine="420"/>
      </w:pPr>
      <w:r>
        <w:rPr>
          <w:rFonts w:cs="宋体"/>
        </w:rPr>
        <w:t>名称：西部利得基金管理有限公司直销柜台及直销电子交易平台</w:t>
      </w:r>
      <w:r>
        <w:rPr>
          <w:rFonts w:cs="宋体"/>
        </w:rPr>
        <w:br/>
      </w:r>
      <w:r>
        <w:rPr>
          <w:rFonts w:cs="宋体"/>
        </w:rPr>
        <w:t xml:space="preserve">　　地址：上海市浦东新区海阳西路</w:t>
      </w:r>
      <w:r>
        <w:rPr>
          <w:rFonts w:cs="宋体"/>
        </w:rPr>
        <w:t>555</w:t>
      </w:r>
      <w:r>
        <w:rPr>
          <w:rFonts w:cs="宋体"/>
        </w:rPr>
        <w:t>号前滩中心</w:t>
      </w:r>
      <w:r>
        <w:rPr>
          <w:rFonts w:cs="宋体"/>
        </w:rPr>
        <w:t>22</w:t>
      </w:r>
      <w:r>
        <w:rPr>
          <w:rFonts w:cs="宋体"/>
        </w:rPr>
        <w:t>楼</w:t>
      </w:r>
      <w:r>
        <w:rPr>
          <w:rFonts w:cs="宋体"/>
        </w:rPr>
        <w:t>2204-02</w:t>
      </w:r>
      <w:r>
        <w:rPr>
          <w:rFonts w:cs="宋体"/>
        </w:rPr>
        <w:t>单元（邮编</w:t>
      </w:r>
      <w:r>
        <w:rPr>
          <w:rFonts w:cs="宋体"/>
        </w:rPr>
        <w:t>200126</w:t>
      </w:r>
      <w:r>
        <w:rPr>
          <w:rFonts w:cs="宋体"/>
        </w:rPr>
        <w:t>）</w:t>
      </w:r>
      <w:r>
        <w:rPr>
          <w:rFonts w:cs="宋体"/>
        </w:rPr>
        <w:br/>
      </w:r>
      <w:r>
        <w:rPr>
          <w:rFonts w:cs="宋体"/>
        </w:rPr>
        <w:t xml:space="preserve">　　客服电话：</w:t>
      </w:r>
      <w:r>
        <w:rPr>
          <w:rFonts w:cs="宋体"/>
        </w:rPr>
        <w:t>400-700-7818</w:t>
      </w:r>
      <w:r>
        <w:rPr>
          <w:rFonts w:cs="宋体"/>
        </w:rPr>
        <w:br/>
      </w:r>
      <w:r>
        <w:rPr>
          <w:rFonts w:cs="宋体"/>
        </w:rPr>
        <w:t xml:space="preserve">　　联系人：何唐月</w:t>
      </w:r>
      <w:r>
        <w:rPr>
          <w:rFonts w:cs="宋体"/>
        </w:rPr>
        <w:br/>
      </w:r>
      <w:r>
        <w:rPr>
          <w:rFonts w:cs="宋体"/>
        </w:rPr>
        <w:t xml:space="preserve">　　网址：</w:t>
      </w:r>
      <w:r>
        <w:rPr>
          <w:rFonts w:cs="宋体"/>
        </w:rPr>
        <w:t>www.westleadfund.com</w:t>
      </w:r>
      <w:r>
        <w:rPr>
          <w:rFonts w:cs="宋体"/>
        </w:rPr>
        <w:br/>
      </w:r>
      <w:r>
        <w:rPr>
          <w:rFonts w:cs="宋体"/>
        </w:rPr>
        <w:t xml:space="preserve">　　传真：（</w:t>
      </w:r>
      <w:r>
        <w:rPr>
          <w:rFonts w:cs="宋体"/>
        </w:rPr>
        <w:t>021</w:t>
      </w:r>
      <w:r>
        <w:rPr>
          <w:rFonts w:cs="宋体"/>
        </w:rPr>
        <w:t>）</w:t>
      </w:r>
      <w:r>
        <w:rPr>
          <w:rFonts w:cs="宋体"/>
        </w:rPr>
        <w:t>38572860</w:t>
      </w:r>
      <w:r>
        <w:rPr>
          <w:rFonts w:cs="宋体"/>
        </w:rPr>
        <w:br/>
      </w:r>
      <w:r>
        <w:rPr>
          <w:rFonts w:cs="宋体"/>
        </w:rPr>
        <w:t xml:space="preserve">　　客户可以通过本公司客户服务中心电话进行相关事宜的问询、开放式基金的投资咨询及投诉等。直销客户还可以通过本公司客户服务中心电话查询汇入资金的到账情况。</w:t>
      </w:r>
    </w:p>
    <w:p w:rsidR="00000000" w:rsidRDefault="001C6034">
      <w:pPr>
        <w:pStyle w:val="XBRLTitle3"/>
        <w:spacing w:before="156"/>
      </w:pPr>
      <w:bookmarkStart w:id="159" w:name="_Toc51346566011"/>
      <w:r>
        <w:rPr>
          <w:lang w:val="en-US"/>
        </w:rPr>
        <w:t>场外非直销机构</w:t>
      </w:r>
      <w:bookmarkEnd w:id="63"/>
      <w:bookmarkEnd w:id="64"/>
      <w:bookmarkEnd w:id="65"/>
      <w:bookmarkEnd w:id="159"/>
    </w:p>
    <w:p w:rsidR="00000000" w:rsidRDefault="001C6034">
      <w:pPr>
        <w:spacing w:line="360" w:lineRule="auto"/>
        <w:ind w:firstLineChars="200" w:firstLine="420"/>
      </w:pPr>
      <w:r>
        <w:rPr>
          <w:rFonts w:cs="宋体"/>
          <w:kern w:val="0"/>
          <w:szCs w:val="21"/>
        </w:rPr>
        <w:t>本基金的代销机构详见基金管理人网站公示。</w:t>
      </w:r>
      <w:r>
        <w:rPr>
          <w:rFonts w:cs="宋体"/>
          <w:kern w:val="0"/>
          <w:szCs w:val="21"/>
        </w:rPr>
        <w:br/>
      </w:r>
      <w:r>
        <w:rPr>
          <w:rFonts w:cs="宋体"/>
          <w:kern w:val="0"/>
          <w:szCs w:val="21"/>
        </w:rPr>
        <w:t xml:space="preserve">　　销售机构办理本基金申购、赎回、转换及定投业务的具体网点、数额限制、流程、规则以及投资者需要提交的文件等信息，请参照销售机构的规定。</w:t>
      </w:r>
      <w:r>
        <w:rPr>
          <w:rFonts w:cs="宋体"/>
          <w:kern w:val="0"/>
          <w:sz w:val="24"/>
        </w:rPr>
        <w:t xml:space="preserve"> </w:t>
      </w:r>
    </w:p>
    <w:p w:rsidR="00000000" w:rsidRDefault="001C6034">
      <w:pPr>
        <w:pStyle w:val="XBRLTitle1"/>
        <w:spacing w:before="156" w:line="360" w:lineRule="auto"/>
      </w:pPr>
      <w:bookmarkStart w:id="160" w:name="_Toc34841045"/>
      <w:bookmarkStart w:id="161" w:name="_Toc3475853211"/>
      <w:r>
        <w:rPr>
          <w:rFonts w:hAnsi="宋体"/>
          <w:lang w:val="en-US"/>
        </w:rPr>
        <w:t>基金份额</w:t>
      </w:r>
      <w:r>
        <w:rPr>
          <w:rFonts w:hAnsi="宋体"/>
          <w:lang w:val="en-US"/>
        </w:rPr>
        <w:t>净值公告</w:t>
      </w:r>
      <w:r>
        <w:rPr>
          <w:rFonts w:hAnsi="宋体"/>
          <w:lang w:val="en-US"/>
        </w:rPr>
        <w:t>/</w:t>
      </w:r>
      <w:r>
        <w:rPr>
          <w:rFonts w:hAnsi="宋体"/>
          <w:lang w:val="en-US"/>
        </w:rPr>
        <w:t>基金收益公告的披露安排</w:t>
      </w:r>
      <w:bookmarkEnd w:id="160"/>
      <w:bookmarkEnd w:id="161"/>
      <w:r>
        <w:rPr>
          <w:rFonts w:hAnsi="宋体"/>
          <w:lang w:val="en-US"/>
        </w:rPr>
        <w:t xml:space="preserve"> </w:t>
      </w:r>
    </w:p>
    <w:p w:rsidR="00000000" w:rsidRDefault="001C6034">
      <w:pPr>
        <w:spacing w:line="360" w:lineRule="auto"/>
        <w:ind w:firstLineChars="200" w:firstLine="420"/>
      </w:pPr>
      <w:r>
        <w:rPr>
          <w:rFonts w:cs="宋体"/>
        </w:rPr>
        <w:t>《基金合同》生效后，在开始办理基金份额申购或者赎回前，基金管理人应当至少每周在规定网站披露一次各类基金份额净值和基金份额累计净值。</w:t>
      </w:r>
      <w:r>
        <w:rPr>
          <w:rFonts w:cs="宋体"/>
        </w:rPr>
        <w:br/>
      </w:r>
      <w:r>
        <w:rPr>
          <w:rFonts w:cs="宋体"/>
        </w:rPr>
        <w:t xml:space="preserve">　　在开始办理基金份额申购或者赎回后，基金管理人应当在不晚于每个开放日的次日，通过其规定网站、基金销售机构网站或营业网点披露开放日的各类基金份额净值和基金份额累计净值。</w:t>
      </w:r>
      <w:r>
        <w:rPr>
          <w:rFonts w:cs="宋体"/>
        </w:rPr>
        <w:br/>
      </w:r>
      <w:r>
        <w:rPr>
          <w:rFonts w:cs="宋体"/>
        </w:rPr>
        <w:t xml:space="preserve">　　基金管理人应在不晚于半年度和年度最后一日的次日，在规定网站披露半年度和年度最后一日的各类基金份额净值和基金份额累计净值。</w:t>
      </w:r>
    </w:p>
    <w:p w:rsidR="00000000" w:rsidRDefault="001C6034">
      <w:pPr>
        <w:pStyle w:val="XBRLTitle1"/>
        <w:spacing w:before="156" w:line="360" w:lineRule="auto"/>
      </w:pPr>
      <w:bookmarkStart w:id="162" w:name="_Toc34841046"/>
      <w:bookmarkStart w:id="163" w:name="_Toc3475853212"/>
      <w:r>
        <w:rPr>
          <w:rFonts w:hAnsi="宋体"/>
          <w:lang w:val="en-US"/>
        </w:rPr>
        <w:t>其他需要提示的事项</w:t>
      </w:r>
      <w:bookmarkEnd w:id="17"/>
      <w:bookmarkEnd w:id="18"/>
      <w:bookmarkEnd w:id="23"/>
      <w:bookmarkEnd w:id="21"/>
      <w:bookmarkEnd w:id="20"/>
      <w:bookmarkEnd w:id="19"/>
      <w:bookmarkEnd w:id="16"/>
      <w:bookmarkEnd w:id="22"/>
      <w:bookmarkEnd w:id="162"/>
      <w:bookmarkEnd w:id="163"/>
      <w:r>
        <w:rPr>
          <w:rFonts w:hAnsi="宋体"/>
          <w:lang w:val="en-US"/>
        </w:rPr>
        <w:t xml:space="preserve"> </w:t>
      </w:r>
      <w:bookmarkEnd w:id="39"/>
      <w:bookmarkEnd w:id="38"/>
    </w:p>
    <w:bookmarkEnd w:id="11"/>
    <w:p w:rsidR="00000000" w:rsidRDefault="001C6034">
      <w:pPr>
        <w:spacing w:line="360" w:lineRule="auto"/>
        <w:ind w:firstLineChars="200" w:firstLine="420"/>
      </w:pPr>
      <w:r>
        <w:rPr>
          <w:rFonts w:cs="宋体"/>
        </w:rPr>
        <w:t>1</w:t>
      </w:r>
      <w:r>
        <w:rPr>
          <w:rFonts w:cs="宋体"/>
        </w:rPr>
        <w:t>、本公告仅对本基金开放申</w:t>
      </w:r>
      <w:r>
        <w:rPr>
          <w:rFonts w:cs="宋体"/>
        </w:rPr>
        <w:t>购、赎回、转换、定期定额投资业务的有关事项予以说明。投资者欲了解本基金的详细情况，请详细阅读登载于公司网站（</w:t>
      </w:r>
      <w:r>
        <w:rPr>
          <w:rFonts w:cs="宋体"/>
        </w:rPr>
        <w:t>www.westleadfund.com</w:t>
      </w:r>
      <w:r>
        <w:rPr>
          <w:rFonts w:cs="宋体"/>
        </w:rPr>
        <w:t>）和中国证监会指定的基金电子披露网站（</w:t>
      </w:r>
      <w:r>
        <w:rPr>
          <w:rFonts w:cs="宋体"/>
        </w:rPr>
        <w:t>http://eid.csrc.gov.cn/fund</w:t>
      </w:r>
      <w:r>
        <w:rPr>
          <w:rFonts w:cs="宋体"/>
        </w:rPr>
        <w:t>）的《西部利得红利鑫选混合型发起式证券投资基金基金合同》、《西部利得红利鑫选混合型发起式证券投资基金招募说明书》等相关资料。</w:t>
      </w:r>
      <w:r>
        <w:rPr>
          <w:rFonts w:cs="宋体"/>
        </w:rPr>
        <w:br/>
      </w:r>
      <w:r>
        <w:rPr>
          <w:rFonts w:cs="宋体"/>
        </w:rPr>
        <w:t xml:space="preserve">　　</w:t>
      </w:r>
      <w:r>
        <w:rPr>
          <w:rFonts w:cs="宋体"/>
        </w:rPr>
        <w:t>2</w:t>
      </w:r>
      <w:r>
        <w:rPr>
          <w:rFonts w:cs="宋体"/>
        </w:rPr>
        <w:t>、有关本基金开放申购、赎回、转换、定期定额投资业务的具体规定若有变化，本公司将另行公告。</w:t>
      </w:r>
      <w:r>
        <w:rPr>
          <w:rFonts w:cs="宋体"/>
        </w:rPr>
        <w:br/>
      </w:r>
      <w:r>
        <w:rPr>
          <w:rFonts w:cs="宋体"/>
        </w:rPr>
        <w:t xml:space="preserve">　　</w:t>
      </w:r>
      <w:r>
        <w:rPr>
          <w:rFonts w:cs="宋体"/>
        </w:rPr>
        <w:t>3</w:t>
      </w:r>
      <w:r>
        <w:rPr>
          <w:rFonts w:cs="宋体"/>
        </w:rPr>
        <w:t>、投资者可以登陆西部利得基金管理有限公司网站</w:t>
      </w:r>
      <w:r>
        <w:rPr>
          <w:rFonts w:cs="宋体"/>
        </w:rPr>
        <w:t>www.westleadfund.com</w:t>
      </w:r>
      <w:r>
        <w:rPr>
          <w:rFonts w:cs="宋体"/>
        </w:rPr>
        <w:t>或拨打西部利得基金管理有限公司客户服务热线</w:t>
      </w:r>
      <w:r>
        <w:rPr>
          <w:rFonts w:cs="宋体"/>
        </w:rPr>
        <w:t>400-700-7818</w:t>
      </w:r>
      <w:r>
        <w:rPr>
          <w:rFonts w:cs="宋体"/>
        </w:rPr>
        <w:t>进行相关咨询。</w:t>
      </w:r>
      <w:r>
        <w:rPr>
          <w:rFonts w:cs="宋体"/>
        </w:rPr>
        <w:br/>
      </w:r>
      <w:r>
        <w:rPr>
          <w:rFonts w:cs="宋体"/>
        </w:rPr>
        <w:t xml:space="preserve">　　</w:t>
      </w:r>
      <w:r>
        <w:rPr>
          <w:rFonts w:cs="宋体"/>
        </w:rPr>
        <w:t>4</w:t>
      </w:r>
      <w:r>
        <w:rPr>
          <w:rFonts w:cs="宋体"/>
        </w:rPr>
        <w:t>、风险提示：基金管理人承诺以诚实信用、勤勉尽责的原则管理和运用基金资产，但不保证基金一定盈利，也不保证最低收益。投资者投资于本基金前应认真阅读本基金的基金合同和招募说明书。</w:t>
      </w:r>
      <w:bookmarkEnd w:id="12"/>
      <w:bookmarkEnd w:id="13"/>
      <w:bookmarkEnd w:id="25"/>
      <w:bookmarkEnd w:id="24"/>
      <w:bookmarkEnd w:id="28"/>
      <w:bookmarkEnd w:id="27"/>
    </w:p>
    <w:p w:rsidR="00000000" w:rsidRDefault="001C6034">
      <w:pPr>
        <w:spacing w:line="360" w:lineRule="auto"/>
        <w:ind w:firstLineChars="600" w:firstLine="1446"/>
        <w:jc w:val="left"/>
      </w:pPr>
      <w:r>
        <w:rPr>
          <w:rFonts w:cs="宋体"/>
          <w:b/>
          <w:bCs/>
          <w:sz w:val="24"/>
          <w:szCs w:val="30"/>
        </w:rPr>
        <w:t xml:space="preserve">　</w:t>
      </w:r>
      <w:r>
        <w:rPr>
          <w:rFonts w:cs="宋体"/>
          <w:b/>
          <w:bCs/>
          <w:sz w:val="24"/>
          <w:szCs w:val="30"/>
        </w:rPr>
        <w:t xml:space="preserve"> </w:t>
      </w:r>
    </w:p>
    <w:p w:rsidR="00000000" w:rsidRDefault="001C6034">
      <w:pPr>
        <w:spacing w:line="360" w:lineRule="auto"/>
        <w:ind w:firstLineChars="600" w:firstLine="1446"/>
        <w:jc w:val="left"/>
      </w:pPr>
      <w:r>
        <w:rPr>
          <w:rFonts w:cs="宋体"/>
          <w:b/>
          <w:bCs/>
          <w:sz w:val="24"/>
          <w:szCs w:val="30"/>
        </w:rPr>
        <w:t xml:space="preserve">　</w:t>
      </w:r>
      <w:r>
        <w:rPr>
          <w:rFonts w:cs="宋体"/>
          <w:b/>
          <w:bCs/>
          <w:sz w:val="24"/>
          <w:szCs w:val="30"/>
        </w:rPr>
        <w:t xml:space="preserve"> </w:t>
      </w:r>
    </w:p>
    <w:p w:rsidR="00000000" w:rsidRDefault="001C6034">
      <w:pPr>
        <w:spacing w:line="360" w:lineRule="auto"/>
        <w:ind w:firstLineChars="600" w:firstLine="1446"/>
        <w:jc w:val="right"/>
      </w:pPr>
      <w:r>
        <w:rPr>
          <w:rFonts w:cs="宋体"/>
          <w:b/>
          <w:bCs/>
          <w:sz w:val="24"/>
          <w:szCs w:val="24"/>
        </w:rPr>
        <w:t>西部利得基金管理有限公司</w:t>
      </w:r>
    </w:p>
    <w:p w:rsidR="00000000" w:rsidRDefault="001C6034">
      <w:pPr>
        <w:spacing w:line="360" w:lineRule="auto"/>
        <w:ind w:firstLineChars="600" w:firstLine="1446"/>
        <w:jc w:val="right"/>
      </w:pPr>
      <w:r>
        <w:rPr>
          <w:rFonts w:cs="宋体"/>
          <w:b/>
          <w:bCs/>
          <w:sz w:val="24"/>
          <w:szCs w:val="24"/>
        </w:rPr>
        <w:t>2026</w:t>
      </w:r>
      <w:r>
        <w:rPr>
          <w:rFonts w:cs="宋体"/>
          <w:b/>
          <w:bCs/>
          <w:sz w:val="24"/>
          <w:szCs w:val="24"/>
        </w:rPr>
        <w:t>年</w:t>
      </w:r>
      <w:r>
        <w:rPr>
          <w:rFonts w:cs="宋体"/>
          <w:b/>
          <w:bCs/>
          <w:sz w:val="24"/>
          <w:szCs w:val="24"/>
        </w:rPr>
        <w:t>2</w:t>
      </w:r>
      <w:r>
        <w:rPr>
          <w:rFonts w:cs="宋体"/>
          <w:b/>
          <w:bCs/>
          <w:sz w:val="24"/>
          <w:szCs w:val="24"/>
        </w:rPr>
        <w:t>月</w:t>
      </w:r>
      <w:r>
        <w:rPr>
          <w:rFonts w:cs="宋体"/>
          <w:b/>
          <w:bCs/>
          <w:sz w:val="24"/>
          <w:szCs w:val="24"/>
        </w:rPr>
        <w:t>24</w:t>
      </w:r>
      <w:r>
        <w:rPr>
          <w:rFonts w:cs="宋体"/>
          <w:b/>
          <w:bCs/>
          <w:sz w:val="24"/>
          <w:szCs w:val="24"/>
        </w:rPr>
        <w:t>日</w:t>
      </w:r>
      <w:bookmarkEnd w:id="26"/>
    </w:p>
    <w:sectPr w:rsidR="00000000">
      <w:headerReference w:type="default" r:id="rId7"/>
      <w:footerReference w:type="default" r:id="rId8"/>
      <w:pgSz w:w="11915" w:h="16839"/>
      <w:pgMar w:top="1440" w:right="1531" w:bottom="1135" w:left="1531" w:header="851" w:footer="992" w:gutter="0"/>
      <w:pgNumType w:start="1"/>
      <w:cols w:space="720"/>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0000" w:rsidRDefault="001C6034">
      <w:r>
        <w:separator/>
      </w:r>
    </w:p>
  </w:endnote>
  <w:endnote w:type="continuationSeparator" w:id="0">
    <w:p w:rsidR="00000000" w:rsidRDefault="001C603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 w:name="仿宋">
    <w:charset w:val="86"/>
    <w:family w:val="auto"/>
    <w:pitch w:val="default"/>
    <w:sig w:usb0="800002BF" w:usb1="38CF7CFA" w:usb2="00000016" w:usb3="00000000" w:csb0="00040001" w:csb1="00000000"/>
  </w:font>
  <w:font w:name="Calibri">
    <w:panose1 w:val="020F0502020204030204"/>
    <w:charset w:val="00"/>
    <w:family w:val="swiss"/>
    <w:pitch w:val="variable"/>
    <w:sig w:usb0="A00002EF" w:usb1="4000207B" w:usb2="00000000" w:usb3="00000000" w:csb0="0000009F" w:csb1="00000000"/>
  </w:font>
  <w:font w:name="Microsoft YaHei UI">
    <w:charset w:val="86"/>
    <w:family w:val="auto"/>
    <w:pitch w:val="default"/>
    <w:sig w:usb0="80000287" w:usb1="2ACF3C50" w:usb2="00000016" w:usb3="00000000" w:csb0="0004001F" w:csb1="00000000"/>
  </w:font>
  <w:font w:name="Arial Unicode MS">
    <w:panose1 w:val="020B0604020202020204"/>
    <w:charset w:val="86"/>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1C6034">
    <w:pPr>
      <w:jc w:val="center"/>
    </w:pPr>
    <w:r>
      <w:rPr>
        <w:rFonts w:cs="宋体"/>
        <w:sz w:val="18"/>
        <w:szCs w:val="18"/>
      </w:rPr>
      <w:t>第</w:t>
    </w:r>
    <w:r>
      <w:t xml:space="preserve"> </w:t>
    </w:r>
    <w:r>
      <w:rPr>
        <w:rFonts w:cs="宋体"/>
        <w:sz w:val="18"/>
        <w:szCs w:val="18"/>
      </w:rPr>
      <w:fldChar w:fldCharType="begin"/>
    </w:r>
    <w:r>
      <w:rPr>
        <w:rFonts w:cs="宋体"/>
        <w:sz w:val="18"/>
        <w:szCs w:val="18"/>
      </w:rPr>
      <w:instrText xml:space="preserve">PAGE </w:instrText>
    </w:r>
    <w:r>
      <w:rPr>
        <w:rFonts w:cs="宋体"/>
        <w:sz w:val="18"/>
        <w:szCs w:val="18"/>
      </w:rPr>
      <w:fldChar w:fldCharType="separate"/>
    </w:r>
    <w:r>
      <w:rPr>
        <w:rFonts w:cs="宋体" w:hint="default"/>
        <w:noProof/>
        <w:sz w:val="18"/>
        <w:szCs w:val="18"/>
      </w:rPr>
      <w:t>2</w:t>
    </w:r>
    <w:r>
      <w:rPr>
        <w:rFonts w:cs="宋体"/>
        <w:sz w:val="18"/>
        <w:szCs w:val="18"/>
      </w:rPr>
      <w:fldChar w:fldCharType="end"/>
    </w:r>
    <w:r>
      <w:rPr>
        <w:rFonts w:cs="宋体"/>
        <w:sz w:val="18"/>
        <w:szCs w:val="18"/>
        <w:lang w:val="zh-CN"/>
      </w:rPr>
      <w:t>页</w:t>
    </w:r>
    <w:r>
      <w:rPr>
        <w:rFonts w:cs="宋体"/>
        <w:sz w:val="18"/>
        <w:szCs w:val="18"/>
        <w:lang w:val="zh-CN"/>
      </w:rPr>
      <w:t xml:space="preserve"> </w:t>
    </w:r>
    <w:r>
      <w:rPr>
        <w:rFonts w:cs="宋体"/>
        <w:sz w:val="18"/>
        <w:szCs w:val="18"/>
        <w:lang w:val="zh-CN"/>
      </w:rPr>
      <w:t>共</w:t>
    </w:r>
    <w:r>
      <w:t xml:space="preserve"> </w:t>
    </w:r>
    <w:r>
      <w:rPr>
        <w:rFonts w:cs="宋体"/>
        <w:sz w:val="18"/>
        <w:szCs w:val="18"/>
      </w:rPr>
      <w:fldChar w:fldCharType="begin"/>
    </w:r>
    <w:r>
      <w:rPr>
        <w:rFonts w:cs="宋体"/>
        <w:sz w:val="18"/>
        <w:szCs w:val="18"/>
      </w:rPr>
      <w:instrText xml:space="preserve">NUMPAGES  </w:instrText>
    </w:r>
    <w:r>
      <w:rPr>
        <w:rFonts w:cs="宋体"/>
        <w:sz w:val="18"/>
        <w:szCs w:val="18"/>
      </w:rPr>
      <w:fldChar w:fldCharType="separate"/>
    </w:r>
    <w:r>
      <w:rPr>
        <w:rFonts w:cs="宋体" w:hint="default"/>
        <w:noProof/>
        <w:sz w:val="18"/>
        <w:szCs w:val="18"/>
      </w:rPr>
      <w:t>2</w:t>
    </w:r>
    <w:r>
      <w:rPr>
        <w:rFonts w:cs="宋体"/>
        <w:sz w:val="18"/>
        <w:szCs w:val="18"/>
      </w:rPr>
      <w:fldChar w:fldCharType="end"/>
    </w:r>
    <w:r>
      <w:rPr>
        <w:rFonts w:cs="宋体"/>
        <w:sz w:val="18"/>
        <w:szCs w:val="18"/>
      </w:rPr>
      <w:t>页</w:t>
    </w: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0000" w:rsidRDefault="001C6034">
      <w:r>
        <w:separator/>
      </w:r>
    </w:p>
  </w:footnote>
  <w:footnote w:type="continuationSeparator" w:id="0">
    <w:p w:rsidR="00000000" w:rsidRDefault="001C603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1C6034">
    <w:pPr>
      <w:pStyle w:val="a7"/>
      <w:jc w:val="right"/>
    </w:pPr>
    <w:r>
      <w:rPr>
        <w:rFonts w:cs="宋体"/>
      </w:rPr>
      <w:t>西部利得红利鑫选混合型发起式证券投资基金开放日常申购、赎回、转换、定期定额投资业务的公告</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A08764"/>
    <w:multiLevelType w:val="multilevel"/>
    <w:tmpl w:val="0AA08764"/>
    <w:lvl w:ilvl="0">
      <w:start w:val="1"/>
      <w:numFmt w:val="decimal"/>
      <w:suff w:val="space"/>
      <w:lvlText w:val="%1"/>
      <w:lvlJc w:val="left"/>
      <w:pPr>
        <w:ind w:left="425" w:hanging="425"/>
      </w:pPr>
      <w:rPr>
        <w:sz w:val="24"/>
        <w:szCs w:val="24"/>
      </w:rPr>
    </w:lvl>
    <w:lvl w:ilvl="1">
      <w:start w:val="1"/>
      <w:numFmt w:val="decimal"/>
      <w:suff w:val="space"/>
      <w:lvlText w:val="%1.%2"/>
      <w:lvlJc w:val="left"/>
      <w:pPr>
        <w:ind w:left="454" w:hanging="454"/>
      </w:pPr>
    </w:lvl>
    <w:lvl w:ilvl="2">
      <w:start w:val="1"/>
      <w:numFmt w:val="decimal"/>
      <w:suff w:val="space"/>
      <w:lvlText w:val="%1.%2.%3"/>
      <w:lvlJc w:val="left"/>
      <w:pPr>
        <w:ind w:left="1050" w:hanging="624"/>
      </w:pPr>
      <w:rPr>
        <w:sz w:val="24"/>
        <w:szCs w:val="24"/>
      </w:rPr>
    </w:lvl>
    <w:lvl w:ilvl="3">
      <w:start w:val="1"/>
      <w:numFmt w:val="decimal"/>
      <w:suff w:val="space"/>
      <w:lvlText w:val="%1.%2.%3.%4"/>
      <w:lvlJc w:val="left"/>
      <w:pPr>
        <w:ind w:left="794" w:hanging="794"/>
      </w:pPr>
    </w:lvl>
    <w:lvl w:ilvl="4">
      <w:start w:val="1"/>
      <w:numFmt w:val="decimal"/>
      <w:suff w:val="space"/>
      <w:lvlText w:val="%1.%2.%3.%4.%5"/>
      <w:lvlJc w:val="left"/>
      <w:pPr>
        <w:ind w:left="1021" w:hanging="1021"/>
      </w:pPr>
    </w:lvl>
    <w:lvl w:ilvl="5">
      <w:start w:val="1"/>
      <w:numFmt w:val="decimal"/>
      <w:suff w:val="space"/>
      <w:lvlText w:val="%1.%2.%3.%4.%5.%6"/>
      <w:lvlJc w:val="left"/>
      <w:pPr>
        <w:ind w:left="1021" w:hanging="1021"/>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mirrorMargins/>
  <w:bordersDoNotSurroundHeader/>
  <w:bordersDoNotSurroundFooter/>
  <w:doNotTrackMoves/>
  <w:defaultTabStop w:val="420"/>
  <w:drawingGridHorizontalSpacing w:val="106"/>
  <w:drawingGridVerticalSpacing w:val="157"/>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1C6034"/>
    <w:rsid w:val="001C6034"/>
    <w:rsid w:val="7BDB4AA3"/>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rokecolor="#739cc3">
      <v:fill angle="9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宋体" w:eastAsia="宋体" w:hAnsi="宋体" w:cs="Times New Roman"/>
        <w:lang w:val="en-US" w:eastAsia="zh-CN" w:bidi="ar-SA"/>
      </w:rPr>
    </w:rPrDefault>
    <w:pPrDefault/>
  </w:docDefaults>
  <w:latentStyles w:defLockedState="0" w:defUIPriority="99"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0"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footnote text" w:semiHidden="0" w:uiPriority="0" w:unhideWhenUsed="0"/>
    <w:lsdException w:name="header" w:semiHidden="0" w:uiPriority="0" w:unhideWhenUsed="0"/>
    <w:lsdException w:name="footer" w:semiHidden="0" w:uiPriority="0" w:unhideWhenUsed="0"/>
    <w:lsdException w:name="caption" w:uiPriority="35" w:qFormat="1"/>
    <w:lsdException w:name="footnote reference" w:semiHidden="0" w:uiPriority="0" w:unhideWhenUsed="0"/>
    <w:lsdException w:name="page number" w:semiHidden="0" w:uiPriority="0" w:unhideWhenUsed="0"/>
    <w:lsdException w:name="Title" w:semiHidden="0" w:uiPriority="10" w:unhideWhenUsed="0" w:qFormat="1"/>
    <w:lsdException w:name="Subtitle" w:semiHidden="0" w:uiPriority="0" w:unhideWhenUsed="0" w:qFormat="1"/>
    <w:lsdException w:name="Date" w:semiHidden="0" w:uiPriority="0" w:unhideWhenUsed="0"/>
    <w:lsdException w:name="Strong" w:semiHidden="0" w:uiPriority="22" w:unhideWhenUsed="0" w:qFormat="1"/>
    <w:lsdException w:name="Emphasis" w:semiHidden="0" w:uiPriority="20" w:unhideWhenUsed="0" w:qFormat="1"/>
    <w:lsdException w:name="Document Map" w:semiHidden="0" w:uiPriority="0" w:unhideWhenUsed="0"/>
    <w:lsdException w:name="Normal (Web)" w:semiHidden="0" w:uiPriority="0" w:unhideWhenUsed="0"/>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99"/>
    <w:qFormat/>
    <w:pPr>
      <w:widowControl w:val="0"/>
      <w:jc w:val="both"/>
    </w:pPr>
    <w:rPr>
      <w:rFonts w:hint="eastAsia"/>
      <w:kern w:val="2"/>
      <w:sz w:val="21"/>
    </w:rPr>
  </w:style>
  <w:style w:type="paragraph" w:styleId="1">
    <w:name w:val="heading 1"/>
    <w:basedOn w:val="msonormal0"/>
    <w:next w:val="a"/>
    <w:link w:val="1Char1"/>
    <w:uiPriority w:val="9"/>
    <w:qFormat/>
    <w:pPr>
      <w:keepNext/>
      <w:keepLines/>
      <w:widowControl w:val="0"/>
      <w:spacing w:before="340" w:beforeAutospacing="0" w:after="330" w:afterAutospacing="0" w:line="576" w:lineRule="auto"/>
      <w:jc w:val="both"/>
      <w:outlineLvl w:val="0"/>
    </w:pPr>
    <w:rPr>
      <w:b/>
      <w:bCs/>
      <w:kern w:val="44"/>
      <w:sz w:val="44"/>
      <w:szCs w:val="44"/>
    </w:rPr>
  </w:style>
  <w:style w:type="paragraph" w:styleId="2">
    <w:name w:val="heading 2"/>
    <w:basedOn w:val="msonormal0"/>
    <w:next w:val="a"/>
    <w:link w:val="2Char2"/>
    <w:uiPriority w:val="9"/>
    <w:qFormat/>
    <w:pPr>
      <w:keepNext/>
      <w:keepLines/>
      <w:widowControl w:val="0"/>
      <w:spacing w:before="260" w:beforeAutospacing="0" w:after="260" w:afterAutospacing="0" w:line="408" w:lineRule="auto"/>
      <w:jc w:val="both"/>
      <w:outlineLvl w:val="1"/>
    </w:pPr>
    <w:rPr>
      <w:rFonts w:ascii="Cambria" w:eastAsia="Cambria" w:hAnsi="Cambria" w:hint="default"/>
      <w:b/>
      <w:bCs/>
      <w:sz w:val="32"/>
      <w:szCs w:val="32"/>
    </w:rPr>
  </w:style>
  <w:style w:type="paragraph" w:styleId="3">
    <w:name w:val="heading 3"/>
    <w:basedOn w:val="msonormal0"/>
    <w:next w:val="a"/>
    <w:link w:val="3Char1"/>
    <w:uiPriority w:val="9"/>
    <w:qFormat/>
    <w:pPr>
      <w:keepNext/>
      <w:keepLines/>
      <w:widowControl w:val="0"/>
      <w:spacing w:before="260" w:beforeAutospacing="0" w:after="260" w:afterAutospacing="0" w:line="408" w:lineRule="auto"/>
      <w:jc w:val="both"/>
      <w:outlineLvl w:val="2"/>
    </w:pPr>
    <w:rPr>
      <w:b/>
      <w:bCs/>
      <w:sz w:val="32"/>
      <w:szCs w:val="32"/>
    </w:rPr>
  </w:style>
  <w:style w:type="paragraph" w:styleId="4">
    <w:name w:val="heading 4"/>
    <w:basedOn w:val="msonormal0"/>
    <w:next w:val="a"/>
    <w:link w:val="4Char1"/>
    <w:qFormat/>
    <w:pPr>
      <w:keepNext/>
      <w:keepLines/>
      <w:widowControl w:val="0"/>
      <w:spacing w:before="240" w:beforeAutospacing="0" w:after="290" w:afterAutospacing="0" w:line="372" w:lineRule="auto"/>
      <w:jc w:val="both"/>
      <w:outlineLvl w:val="3"/>
    </w:pPr>
    <w:rPr>
      <w:rFonts w:ascii="Cambria" w:eastAsia="Cambria" w:hAnsi="Cambria" w:hint="default"/>
      <w:b/>
      <w:bCs/>
      <w:szCs w:val="24"/>
    </w:rPr>
  </w:style>
  <w:style w:type="paragraph" w:styleId="5">
    <w:name w:val="heading 5"/>
    <w:basedOn w:val="msonormal0"/>
    <w:next w:val="a"/>
    <w:link w:val="5Char1"/>
    <w:uiPriority w:val="9"/>
    <w:qFormat/>
    <w:pPr>
      <w:keepNext/>
      <w:keepLines/>
      <w:widowControl w:val="0"/>
      <w:spacing w:before="240" w:beforeAutospacing="0" w:after="290" w:afterAutospacing="0" w:line="372" w:lineRule="auto"/>
      <w:jc w:val="both"/>
      <w:outlineLvl w:val="4"/>
    </w:pPr>
    <w:rPr>
      <w:b/>
      <w:bCs/>
      <w:kern w:val="2"/>
      <w:szCs w:val="24"/>
    </w:rPr>
  </w:style>
  <w:style w:type="paragraph" w:styleId="6">
    <w:name w:val="heading 6"/>
    <w:basedOn w:val="msonormal0"/>
    <w:next w:val="a"/>
    <w:link w:val="6Char1"/>
    <w:uiPriority w:val="9"/>
    <w:qFormat/>
    <w:pPr>
      <w:keepNext/>
      <w:keepLines/>
      <w:widowControl w:val="0"/>
      <w:spacing w:before="240" w:beforeAutospacing="0" w:after="64" w:afterAutospacing="0" w:line="312" w:lineRule="auto"/>
      <w:jc w:val="both"/>
      <w:outlineLvl w:val="5"/>
    </w:pPr>
    <w:rPr>
      <w:rFonts w:ascii="Cambria" w:hAnsi="Cambria" w:hint="default"/>
      <w:b/>
      <w:bCs/>
      <w:kern w:val="2"/>
      <w:szCs w:val="24"/>
    </w:rPr>
  </w:style>
  <w:style w:type="character" w:default="1" w:styleId="a0">
    <w:name w:val="Default Paragraph Font"/>
    <w:uiPriority w:val="99"/>
    <w:unhideWhenUsed/>
  </w:style>
  <w:style w:type="table" w:default="1" w:styleId="a1">
    <w:name w:val="Normal Table"/>
    <w:uiPriority w:val="99"/>
    <w:unhideWhenUsed/>
    <w:rPr>
      <w:rFonts w:cs="宋体" w:hint="eastAsia"/>
    </w:rPr>
    <w:tblPr>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pPr>
      <w:widowControl/>
      <w:spacing w:before="100" w:beforeAutospacing="1" w:after="100" w:afterAutospacing="1"/>
      <w:jc w:val="left"/>
    </w:pPr>
    <w:rPr>
      <w:kern w:val="0"/>
      <w:sz w:val="24"/>
    </w:rPr>
  </w:style>
  <w:style w:type="character" w:customStyle="1" w:styleId="1Char1">
    <w:name w:val="标题 1 Char1"/>
    <w:basedOn w:val="a0"/>
    <w:link w:val="1"/>
    <w:locked/>
    <w:rPr>
      <w:b/>
      <w:bCs/>
      <w:kern w:val="44"/>
      <w:sz w:val="44"/>
      <w:szCs w:val="44"/>
    </w:rPr>
  </w:style>
  <w:style w:type="character" w:customStyle="1" w:styleId="2Char2">
    <w:name w:val="标题 2 Char2"/>
    <w:basedOn w:val="a0"/>
    <w:link w:val="2"/>
    <w:locked/>
    <w:rPr>
      <w:rFonts w:ascii="Cambria" w:eastAsia="宋体" w:hAnsi="Cambria" w:cs="宋体" w:hint="default"/>
      <w:b/>
      <w:bCs/>
      <w:kern w:val="2"/>
      <w:sz w:val="32"/>
      <w:szCs w:val="32"/>
    </w:rPr>
  </w:style>
  <w:style w:type="character" w:customStyle="1" w:styleId="3Char1">
    <w:name w:val="标题 3 Char1"/>
    <w:basedOn w:val="a0"/>
    <w:link w:val="3"/>
    <w:locked/>
    <w:rPr>
      <w:b/>
      <w:bCs/>
      <w:sz w:val="32"/>
      <w:szCs w:val="32"/>
    </w:rPr>
  </w:style>
  <w:style w:type="character" w:customStyle="1" w:styleId="4Char1">
    <w:name w:val="标题 4 Char1"/>
    <w:basedOn w:val="a0"/>
    <w:link w:val="4"/>
    <w:locked/>
    <w:rPr>
      <w:rFonts w:ascii="Cambria" w:eastAsia="宋体" w:hAnsi="Cambria" w:cs="宋体" w:hint="default"/>
      <w:b/>
      <w:bCs/>
      <w:sz w:val="24"/>
      <w:szCs w:val="24"/>
    </w:rPr>
  </w:style>
  <w:style w:type="character" w:customStyle="1" w:styleId="5Char1">
    <w:name w:val="标题 5 Char1"/>
    <w:basedOn w:val="a0"/>
    <w:link w:val="5"/>
    <w:locked/>
    <w:rPr>
      <w:b/>
      <w:bCs/>
      <w:kern w:val="2"/>
      <w:sz w:val="24"/>
      <w:szCs w:val="24"/>
    </w:rPr>
  </w:style>
  <w:style w:type="character" w:customStyle="1" w:styleId="6Char1">
    <w:name w:val="标题 6 Char1"/>
    <w:basedOn w:val="a0"/>
    <w:link w:val="6"/>
    <w:locked/>
    <w:rPr>
      <w:rFonts w:ascii="Cambria" w:eastAsia="宋体" w:hAnsi="Cambria" w:cs="宋体" w:hint="default"/>
      <w:b/>
      <w:bCs/>
      <w:kern w:val="2"/>
      <w:sz w:val="24"/>
      <w:szCs w:val="24"/>
    </w:rPr>
  </w:style>
  <w:style w:type="paragraph" w:styleId="a3">
    <w:name w:val="Document Map"/>
    <w:basedOn w:val="msonormal0"/>
    <w:link w:val="Char1"/>
    <w:pPr>
      <w:widowControl w:val="0"/>
      <w:shd w:val="clear" w:color="auto" w:fill="000080"/>
      <w:spacing w:before="0" w:beforeAutospacing="0" w:after="0" w:afterAutospacing="0"/>
      <w:jc w:val="both"/>
    </w:pPr>
    <w:rPr>
      <w:kern w:val="2"/>
      <w:sz w:val="21"/>
    </w:rPr>
  </w:style>
  <w:style w:type="character" w:customStyle="1" w:styleId="Char1">
    <w:name w:val="文档结构图 Char1"/>
    <w:basedOn w:val="a0"/>
    <w:link w:val="a3"/>
    <w:locked/>
    <w:rPr>
      <w:rFonts w:ascii="宋体" w:eastAsia="宋体" w:hAnsi="宋体" w:cs="宋体" w:hint="eastAsia"/>
      <w:kern w:val="2"/>
      <w:sz w:val="18"/>
      <w:szCs w:val="18"/>
    </w:rPr>
  </w:style>
  <w:style w:type="paragraph" w:styleId="30">
    <w:name w:val="toc 3"/>
    <w:basedOn w:val="msonormal0"/>
    <w:next w:val="a"/>
    <w:uiPriority w:val="39"/>
    <w:pPr>
      <w:widowControl w:val="0"/>
      <w:spacing w:before="0" w:beforeAutospacing="0" w:after="0" w:afterAutospacing="0"/>
      <w:ind w:leftChars="200" w:left="420"/>
      <w:jc w:val="both"/>
    </w:pPr>
    <w:rPr>
      <w:kern w:val="2"/>
      <w:sz w:val="21"/>
    </w:rPr>
  </w:style>
  <w:style w:type="paragraph" w:styleId="a4">
    <w:name w:val="Date"/>
    <w:basedOn w:val="msonormal0"/>
    <w:next w:val="a"/>
    <w:link w:val="Char10"/>
    <w:pPr>
      <w:widowControl w:val="0"/>
      <w:spacing w:before="0" w:beforeAutospacing="0" w:after="0" w:afterAutospacing="0"/>
      <w:jc w:val="both"/>
    </w:pPr>
    <w:rPr>
      <w:kern w:val="2"/>
      <w:sz w:val="32"/>
    </w:rPr>
  </w:style>
  <w:style w:type="character" w:customStyle="1" w:styleId="Char10">
    <w:name w:val="日期 Char1"/>
    <w:basedOn w:val="a0"/>
    <w:link w:val="a4"/>
    <w:locked/>
    <w:rPr>
      <w:rFonts w:ascii="宋体" w:eastAsia="宋体" w:hAnsi="宋体" w:cs="宋体" w:hint="eastAsia"/>
      <w:kern w:val="2"/>
      <w:sz w:val="32"/>
    </w:rPr>
  </w:style>
  <w:style w:type="paragraph" w:styleId="a5">
    <w:name w:val="Balloon Text"/>
    <w:basedOn w:val="msonormal0"/>
    <w:link w:val="Char11"/>
    <w:uiPriority w:val="99"/>
    <w:unhideWhenUsed/>
    <w:pPr>
      <w:widowControl w:val="0"/>
      <w:spacing w:before="0" w:beforeAutospacing="0" w:after="0" w:afterAutospacing="0"/>
      <w:jc w:val="both"/>
    </w:pPr>
    <w:rPr>
      <w:kern w:val="2"/>
      <w:sz w:val="18"/>
      <w:szCs w:val="18"/>
    </w:rPr>
  </w:style>
  <w:style w:type="character" w:customStyle="1" w:styleId="Char11">
    <w:name w:val="批注框文本 Char1"/>
    <w:basedOn w:val="a0"/>
    <w:link w:val="a5"/>
    <w:locked/>
    <w:rPr>
      <w:kern w:val="2"/>
      <w:sz w:val="18"/>
      <w:szCs w:val="18"/>
    </w:rPr>
  </w:style>
  <w:style w:type="paragraph" w:styleId="a6">
    <w:name w:val="footer"/>
    <w:basedOn w:val="msonormal0"/>
    <w:link w:val="Char2"/>
    <w:pPr>
      <w:widowControl w:val="0"/>
      <w:tabs>
        <w:tab w:val="center" w:pos="4153"/>
        <w:tab w:val="right" w:pos="8306"/>
      </w:tabs>
      <w:snapToGrid w:val="0"/>
      <w:spacing w:before="0" w:beforeAutospacing="0" w:after="0" w:afterAutospacing="0"/>
    </w:pPr>
    <w:rPr>
      <w:kern w:val="2"/>
      <w:sz w:val="18"/>
      <w:szCs w:val="18"/>
    </w:rPr>
  </w:style>
  <w:style w:type="character" w:customStyle="1" w:styleId="Char2">
    <w:name w:val="页脚 Char2"/>
    <w:basedOn w:val="a0"/>
    <w:link w:val="a6"/>
    <w:locked/>
    <w:rPr>
      <w:kern w:val="2"/>
      <w:sz w:val="18"/>
      <w:szCs w:val="18"/>
    </w:rPr>
  </w:style>
  <w:style w:type="paragraph" w:styleId="a7">
    <w:name w:val="header"/>
    <w:basedOn w:val="msonormal0"/>
    <w:link w:val="Char12"/>
    <w:pPr>
      <w:widowControl w:val="0"/>
      <w:pBdr>
        <w:bottom w:val="single" w:sz="6" w:space="1" w:color="auto"/>
      </w:pBdr>
      <w:tabs>
        <w:tab w:val="center" w:pos="4153"/>
        <w:tab w:val="right" w:pos="8306"/>
      </w:tabs>
      <w:snapToGrid w:val="0"/>
      <w:spacing w:before="0" w:beforeAutospacing="0" w:after="0" w:afterAutospacing="0"/>
      <w:jc w:val="center"/>
    </w:pPr>
    <w:rPr>
      <w:kern w:val="2"/>
      <w:sz w:val="18"/>
      <w:szCs w:val="18"/>
    </w:rPr>
  </w:style>
  <w:style w:type="character" w:customStyle="1" w:styleId="Char12">
    <w:name w:val="页眉 Char1"/>
    <w:basedOn w:val="a0"/>
    <w:link w:val="a7"/>
    <w:locked/>
    <w:rPr>
      <w:kern w:val="2"/>
      <w:sz w:val="18"/>
      <w:szCs w:val="18"/>
    </w:rPr>
  </w:style>
  <w:style w:type="paragraph" w:styleId="10">
    <w:name w:val="toc 1"/>
    <w:basedOn w:val="msonormal0"/>
    <w:next w:val="a"/>
    <w:uiPriority w:val="39"/>
    <w:pPr>
      <w:widowControl w:val="0"/>
      <w:tabs>
        <w:tab w:val="right" w:leader="dot" w:pos="8835"/>
      </w:tabs>
      <w:spacing w:before="0" w:beforeAutospacing="0" w:after="0" w:afterAutospacing="0"/>
      <w:jc w:val="both"/>
    </w:pPr>
    <w:rPr>
      <w:kern w:val="2"/>
      <w:sz w:val="21"/>
    </w:rPr>
  </w:style>
  <w:style w:type="paragraph" w:styleId="a8">
    <w:name w:val="Subtitle"/>
    <w:basedOn w:val="2"/>
    <w:next w:val="3"/>
    <w:link w:val="Char13"/>
    <w:qFormat/>
    <w:pPr>
      <w:spacing w:before="240" w:after="60" w:line="312" w:lineRule="auto"/>
      <w:jc w:val="left"/>
    </w:pPr>
    <w:rPr>
      <w:rFonts w:eastAsia="宋体"/>
      <w:bCs w:val="0"/>
      <w:kern w:val="24"/>
      <w:sz w:val="24"/>
    </w:rPr>
  </w:style>
  <w:style w:type="character" w:customStyle="1" w:styleId="Char13">
    <w:name w:val="副标题 Char1"/>
    <w:basedOn w:val="a0"/>
    <w:link w:val="a8"/>
    <w:locked/>
    <w:rPr>
      <w:rFonts w:ascii="Cambria" w:eastAsia="宋体" w:hAnsi="Cambria" w:cs="宋体" w:hint="default"/>
      <w:b/>
      <w:bCs w:val="0"/>
      <w:kern w:val="24"/>
      <w:sz w:val="24"/>
      <w:szCs w:val="32"/>
    </w:rPr>
  </w:style>
  <w:style w:type="paragraph" w:styleId="a9">
    <w:name w:val="footnote text"/>
    <w:basedOn w:val="msonormal0"/>
    <w:link w:val="Char14"/>
    <w:pPr>
      <w:widowControl w:val="0"/>
      <w:snapToGrid w:val="0"/>
      <w:spacing w:before="0" w:beforeAutospacing="0" w:after="0" w:afterAutospacing="0"/>
    </w:pPr>
    <w:rPr>
      <w:kern w:val="2"/>
      <w:sz w:val="18"/>
      <w:szCs w:val="18"/>
    </w:rPr>
  </w:style>
  <w:style w:type="character" w:customStyle="1" w:styleId="Char14">
    <w:name w:val="脚注文本 Char1"/>
    <w:basedOn w:val="a0"/>
    <w:link w:val="a9"/>
    <w:locked/>
    <w:rPr>
      <w:kern w:val="2"/>
      <w:sz w:val="18"/>
      <w:szCs w:val="18"/>
    </w:rPr>
  </w:style>
  <w:style w:type="paragraph" w:styleId="20">
    <w:name w:val="toc 2"/>
    <w:basedOn w:val="msonormal0"/>
    <w:next w:val="a"/>
    <w:uiPriority w:val="39"/>
    <w:pPr>
      <w:widowControl w:val="0"/>
      <w:spacing w:before="0" w:beforeAutospacing="0" w:after="0" w:afterAutospacing="0"/>
      <w:ind w:leftChars="200" w:left="420"/>
      <w:jc w:val="both"/>
    </w:pPr>
    <w:rPr>
      <w:kern w:val="2"/>
      <w:sz w:val="21"/>
    </w:rPr>
  </w:style>
  <w:style w:type="paragraph" w:styleId="HTML">
    <w:name w:val="HTML Preformatted"/>
    <w:basedOn w:val="msonormal0"/>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szCs w:val="24"/>
    </w:rPr>
  </w:style>
  <w:style w:type="paragraph" w:styleId="aa">
    <w:name w:val="Normal (Web)"/>
    <w:basedOn w:val="msonormal0"/>
  </w:style>
  <w:style w:type="paragraph" w:styleId="ab">
    <w:name w:val="Title"/>
    <w:basedOn w:val="1"/>
    <w:next w:val="2"/>
    <w:link w:val="Char15"/>
    <w:uiPriority w:val="10"/>
    <w:qFormat/>
    <w:pPr>
      <w:keepNext w:val="0"/>
      <w:keepLines w:val="0"/>
      <w:spacing w:before="240" w:after="60"/>
      <w:jc w:val="center"/>
    </w:pPr>
    <w:rPr>
      <w:rFonts w:ascii="Cambria" w:hAnsi="Cambria" w:hint="default"/>
      <w:kern w:val="0"/>
      <w:sz w:val="32"/>
      <w:szCs w:val="32"/>
    </w:rPr>
  </w:style>
  <w:style w:type="character" w:customStyle="1" w:styleId="Char15">
    <w:name w:val="标题 Char1"/>
    <w:basedOn w:val="a0"/>
    <w:link w:val="ab"/>
    <w:locked/>
    <w:rPr>
      <w:rFonts w:ascii="Cambria" w:eastAsia="Cambria" w:hAnsi="Cambria" w:cs="宋体" w:hint="default"/>
      <w:b/>
      <w:bCs/>
      <w:sz w:val="32"/>
      <w:szCs w:val="32"/>
    </w:rPr>
  </w:style>
  <w:style w:type="table" w:styleId="ac">
    <w:name w:val="Table Grid"/>
    <w:basedOn w:val="a1"/>
    <w:uiPriority w:val="99"/>
    <w:unhideWhenUse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d">
    <w:name w:val="FollowedHyperlink"/>
    <w:basedOn w:val="a0"/>
    <w:uiPriority w:val="99"/>
    <w:unhideWhenUsed/>
    <w:rPr>
      <w:color w:val="800080"/>
      <w:u w:val="single"/>
    </w:rPr>
  </w:style>
  <w:style w:type="character" w:styleId="ae">
    <w:name w:val="Hyperlink"/>
    <w:basedOn w:val="a0"/>
    <w:uiPriority w:val="99"/>
    <w:unhideWhenUsed/>
    <w:rPr>
      <w:color w:val="0000FF"/>
      <w:u w:val="single"/>
    </w:rPr>
  </w:style>
  <w:style w:type="character" w:styleId="af">
    <w:name w:val="footnote reference"/>
    <w:basedOn w:val="a0"/>
    <w:rPr>
      <w:vertAlign w:val="superscript"/>
    </w:rPr>
  </w:style>
  <w:style w:type="character" w:customStyle="1" w:styleId="af0">
    <w:name w:val="页眉 字符"/>
    <w:basedOn w:val="a0"/>
    <w:link w:val="a7"/>
    <w:locked/>
    <w:rPr>
      <w:kern w:val="2"/>
      <w:sz w:val="18"/>
      <w:szCs w:val="18"/>
    </w:rPr>
  </w:style>
  <w:style w:type="paragraph" w:customStyle="1" w:styleId="XBRL4">
    <w:name w:val="XBRL标题4"/>
    <w:basedOn w:val="a8"/>
    <w:next w:val="4"/>
    <w:pPr>
      <w:spacing w:beforeLines="50" w:after="0"/>
    </w:pPr>
    <w:rPr>
      <w:bCs/>
    </w:rPr>
  </w:style>
  <w:style w:type="character" w:customStyle="1" w:styleId="af1">
    <w:name w:val="标题 字符"/>
    <w:basedOn w:val="a0"/>
    <w:link w:val="ab"/>
    <w:locked/>
    <w:rPr>
      <w:rFonts w:ascii="Cambria" w:eastAsia="宋体" w:hAnsi="Cambria" w:cs="宋体" w:hint="default"/>
      <w:b/>
      <w:bCs/>
      <w:kern w:val="2"/>
      <w:sz w:val="32"/>
      <w:szCs w:val="32"/>
    </w:rPr>
  </w:style>
  <w:style w:type="character" w:customStyle="1" w:styleId="1Char">
    <w:name w:val="标题 1 Char"/>
    <w:basedOn w:val="a0"/>
    <w:link w:val="1"/>
    <w:locked/>
    <w:rPr>
      <w:b/>
      <w:bCs/>
      <w:kern w:val="44"/>
      <w:sz w:val="44"/>
      <w:szCs w:val="44"/>
    </w:rPr>
  </w:style>
  <w:style w:type="character" w:customStyle="1" w:styleId="6Char">
    <w:name w:val="标题 6 Char"/>
    <w:basedOn w:val="a0"/>
    <w:link w:val="6"/>
    <w:locked/>
    <w:rPr>
      <w:rFonts w:ascii="Cambria" w:eastAsia="宋体" w:hAnsi="Cambria" w:cs="宋体" w:hint="default"/>
      <w:b/>
      <w:bCs/>
      <w:kern w:val="2"/>
      <w:sz w:val="24"/>
      <w:szCs w:val="24"/>
    </w:rPr>
  </w:style>
  <w:style w:type="character" w:customStyle="1" w:styleId="Char16">
    <w:name w:val="页脚 Char1"/>
    <w:basedOn w:val="a0"/>
    <w:link w:val="a6"/>
    <w:locked/>
    <w:rPr>
      <w:kern w:val="2"/>
      <w:sz w:val="18"/>
      <w:szCs w:val="18"/>
    </w:rPr>
  </w:style>
  <w:style w:type="paragraph" w:customStyle="1" w:styleId="Default">
    <w:name w:val="Default"/>
    <w:basedOn w:val="msonormal0"/>
    <w:pPr>
      <w:widowControl w:val="0"/>
      <w:autoSpaceDE w:val="0"/>
      <w:autoSpaceDN w:val="0"/>
      <w:adjustRightInd w:val="0"/>
      <w:spacing w:before="0" w:beforeAutospacing="0" w:after="0" w:afterAutospacing="0"/>
    </w:pPr>
    <w:rPr>
      <w:rFonts w:ascii="仿宋" w:eastAsia="仿宋" w:hAnsi="仿宋"/>
      <w:color w:val="000000"/>
      <w:szCs w:val="24"/>
    </w:rPr>
  </w:style>
  <w:style w:type="character" w:customStyle="1" w:styleId="5Char">
    <w:name w:val="标题 5 Char"/>
    <w:basedOn w:val="a0"/>
    <w:link w:val="5"/>
    <w:locked/>
    <w:rPr>
      <w:b/>
      <w:bCs/>
      <w:kern w:val="2"/>
      <w:sz w:val="24"/>
      <w:szCs w:val="24"/>
    </w:rPr>
  </w:style>
  <w:style w:type="character" w:customStyle="1" w:styleId="Char">
    <w:name w:val="批注框文本 Char"/>
    <w:basedOn w:val="a0"/>
    <w:link w:val="a5"/>
    <w:locked/>
    <w:rPr>
      <w:kern w:val="2"/>
      <w:sz w:val="18"/>
      <w:szCs w:val="18"/>
    </w:rPr>
  </w:style>
  <w:style w:type="character" w:customStyle="1" w:styleId="3Char">
    <w:name w:val="标题 3 Char"/>
    <w:basedOn w:val="a0"/>
    <w:link w:val="3"/>
    <w:locked/>
    <w:rPr>
      <w:b/>
      <w:bCs/>
      <w:kern w:val="2"/>
      <w:sz w:val="32"/>
      <w:szCs w:val="32"/>
    </w:rPr>
  </w:style>
  <w:style w:type="character" w:customStyle="1" w:styleId="11">
    <w:name w:val="标题 1 字符"/>
    <w:basedOn w:val="a0"/>
    <w:link w:val="1"/>
    <w:locked/>
    <w:rPr>
      <w:b/>
      <w:bCs/>
      <w:kern w:val="44"/>
      <w:sz w:val="44"/>
      <w:szCs w:val="44"/>
    </w:rPr>
  </w:style>
  <w:style w:type="paragraph" w:customStyle="1" w:styleId="XBRL2">
    <w:name w:val="XBRL标题2"/>
    <w:basedOn w:val="a8"/>
    <w:next w:val="4"/>
    <w:pPr>
      <w:spacing w:beforeLines="50" w:after="0"/>
    </w:pPr>
    <w:rPr>
      <w:bCs/>
    </w:rPr>
  </w:style>
  <w:style w:type="paragraph" w:customStyle="1" w:styleId="XBRLTitle2">
    <w:name w:val="XBRLTitle2"/>
    <w:basedOn w:val="a8"/>
    <w:next w:val="4"/>
    <w:pPr>
      <w:keepNext w:val="0"/>
      <w:keepLines w:val="0"/>
      <w:numPr>
        <w:ilvl w:val="1"/>
        <w:numId w:val="1"/>
      </w:numPr>
      <w:spacing w:beforeLines="50" w:after="0"/>
    </w:pPr>
    <w:rPr>
      <w:rFonts w:ascii="宋体" w:hint="eastAsia"/>
      <w:bCs/>
    </w:rPr>
  </w:style>
  <w:style w:type="character" w:customStyle="1" w:styleId="40">
    <w:name w:val="标题 4 字符"/>
    <w:basedOn w:val="a0"/>
    <w:link w:val="4"/>
    <w:locked/>
    <w:rPr>
      <w:rFonts w:ascii="Cambria" w:eastAsia="宋体" w:hAnsi="Cambria" w:cs="宋体" w:hint="default"/>
      <w:b/>
      <w:bCs/>
      <w:kern w:val="2"/>
      <w:sz w:val="24"/>
      <w:szCs w:val="24"/>
    </w:rPr>
  </w:style>
  <w:style w:type="character" w:customStyle="1" w:styleId="Char0">
    <w:name w:val="副标题 Char"/>
    <w:basedOn w:val="a0"/>
    <w:link w:val="a8"/>
    <w:locked/>
    <w:rPr>
      <w:rFonts w:ascii="Cambria" w:eastAsia="Cambria" w:hAnsi="Cambria" w:cs="宋体" w:hint="default"/>
      <w:b/>
      <w:bCs/>
      <w:kern w:val="24"/>
      <w:sz w:val="32"/>
      <w:szCs w:val="32"/>
    </w:rPr>
  </w:style>
  <w:style w:type="paragraph" w:customStyle="1" w:styleId="XBRL1">
    <w:name w:val="XBRL标题1"/>
    <w:basedOn w:val="1"/>
    <w:next w:val="2"/>
    <w:pPr>
      <w:spacing w:beforeLines="50" w:after="0"/>
      <w:jc w:val="center"/>
    </w:pPr>
    <w:rPr>
      <w:rFonts w:ascii="Cambria" w:hAnsi="Cambria" w:hint="default"/>
      <w:sz w:val="24"/>
    </w:rPr>
  </w:style>
  <w:style w:type="paragraph" w:customStyle="1" w:styleId="CharCharCharCharCharChar1CharCharChar">
    <w:name w:val="Char Char Char Char Char Char1 Char Char Char"/>
    <w:basedOn w:val="msonormal0"/>
    <w:pPr>
      <w:widowControl w:val="0"/>
      <w:autoSpaceDE w:val="0"/>
      <w:autoSpaceDN w:val="0"/>
      <w:adjustRightInd w:val="0"/>
      <w:spacing w:before="0" w:beforeAutospacing="0" w:after="0" w:afterAutospacing="0"/>
    </w:pPr>
    <w:rPr>
      <w:kern w:val="2"/>
      <w:sz w:val="21"/>
    </w:rPr>
  </w:style>
  <w:style w:type="paragraph" w:customStyle="1" w:styleId="XBRLTitle1">
    <w:name w:val="XBRLTitle1"/>
    <w:basedOn w:val="1"/>
    <w:next w:val="2"/>
    <w:pPr>
      <w:keepNext w:val="0"/>
      <w:keepLines w:val="0"/>
      <w:numPr>
        <w:numId w:val="1"/>
      </w:numPr>
      <w:spacing w:beforeLines="50" w:after="0"/>
      <w:jc w:val="left"/>
    </w:pPr>
    <w:rPr>
      <w:rFonts w:hAnsi="Cambria"/>
      <w:sz w:val="24"/>
      <w:szCs w:val="32"/>
    </w:rPr>
  </w:style>
  <w:style w:type="paragraph" w:customStyle="1" w:styleId="XBRLTitle6">
    <w:name w:val="XBRLTitle6"/>
    <w:basedOn w:val="a8"/>
    <w:next w:val="4"/>
    <w:pPr>
      <w:numPr>
        <w:ilvl w:val="5"/>
        <w:numId w:val="1"/>
      </w:numPr>
      <w:spacing w:beforeLines="50" w:after="0"/>
    </w:pPr>
    <w:rPr>
      <w:bCs/>
    </w:rPr>
  </w:style>
  <w:style w:type="character" w:customStyle="1" w:styleId="af2">
    <w:name w:val="副标题 字符"/>
    <w:basedOn w:val="a0"/>
    <w:link w:val="a8"/>
    <w:locked/>
    <w:rPr>
      <w:rFonts w:ascii="Calibri" w:eastAsia="宋体" w:hAnsi="Calibri" w:cs="宋体" w:hint="default"/>
      <w:b/>
      <w:bCs/>
      <w:kern w:val="24"/>
      <w:sz w:val="32"/>
      <w:szCs w:val="32"/>
    </w:rPr>
  </w:style>
  <w:style w:type="paragraph" w:customStyle="1" w:styleId="XBRL6">
    <w:name w:val="XBRL标题6"/>
    <w:basedOn w:val="a8"/>
    <w:next w:val="4"/>
    <w:pPr>
      <w:spacing w:beforeLines="50" w:after="0"/>
    </w:pPr>
    <w:rPr>
      <w:bCs/>
    </w:rPr>
  </w:style>
  <w:style w:type="paragraph" w:customStyle="1" w:styleId="XBRL3">
    <w:name w:val="XBRL标题3"/>
    <w:basedOn w:val="a8"/>
    <w:next w:val="4"/>
    <w:pPr>
      <w:spacing w:beforeLines="50" w:after="0"/>
    </w:pPr>
    <w:rPr>
      <w:bCs/>
    </w:rPr>
  </w:style>
  <w:style w:type="paragraph" w:customStyle="1" w:styleId="XBRL5">
    <w:name w:val="XBRL标题5"/>
    <w:basedOn w:val="a8"/>
    <w:next w:val="4"/>
    <w:pPr>
      <w:spacing w:beforeLines="50" w:after="0"/>
    </w:pPr>
    <w:rPr>
      <w:bCs/>
    </w:rPr>
  </w:style>
  <w:style w:type="character" w:customStyle="1" w:styleId="Char3">
    <w:name w:val="文档结构图 Char"/>
    <w:basedOn w:val="a0"/>
    <w:link w:val="a3"/>
    <w:locked/>
    <w:rPr>
      <w:rFonts w:ascii="宋体" w:eastAsia="宋体" w:hAnsi="宋体" w:cs="宋体" w:hint="eastAsia"/>
      <w:kern w:val="2"/>
      <w:sz w:val="18"/>
      <w:szCs w:val="18"/>
    </w:rPr>
  </w:style>
  <w:style w:type="character" w:customStyle="1" w:styleId="af3">
    <w:name w:val="日期 字符"/>
    <w:basedOn w:val="a0"/>
    <w:link w:val="a4"/>
    <w:locked/>
    <w:rPr>
      <w:kern w:val="2"/>
      <w:sz w:val="21"/>
    </w:rPr>
  </w:style>
  <w:style w:type="paragraph" w:customStyle="1" w:styleId="msotocheading0">
    <w:name w:val="msotocheading"/>
    <w:basedOn w:val="1"/>
    <w:next w:val="a"/>
    <w:pPr>
      <w:widowControl/>
      <w:spacing w:before="480" w:after="0" w:line="276" w:lineRule="auto"/>
      <w:jc w:val="left"/>
    </w:pPr>
    <w:rPr>
      <w:rFonts w:ascii="Cambria" w:hAnsi="Cambria" w:hint="default"/>
      <w:color w:val="365F91"/>
      <w:kern w:val="0"/>
      <w:sz w:val="24"/>
      <w:szCs w:val="24"/>
    </w:rPr>
  </w:style>
  <w:style w:type="character" w:customStyle="1" w:styleId="Char4">
    <w:name w:val="页眉 Char"/>
    <w:basedOn w:val="a0"/>
    <w:link w:val="a7"/>
    <w:locked/>
    <w:rPr>
      <w:kern w:val="2"/>
      <w:sz w:val="18"/>
      <w:szCs w:val="18"/>
    </w:rPr>
  </w:style>
  <w:style w:type="character" w:customStyle="1" w:styleId="Char5">
    <w:name w:val="标题 Char"/>
    <w:basedOn w:val="a0"/>
    <w:link w:val="ab"/>
    <w:locked/>
    <w:rPr>
      <w:rFonts w:ascii="Cambria" w:eastAsia="Cambria" w:hAnsi="Cambria" w:cs="宋体" w:hint="default"/>
      <w:b/>
      <w:bCs/>
      <w:kern w:val="2"/>
      <w:sz w:val="32"/>
      <w:szCs w:val="32"/>
    </w:rPr>
  </w:style>
  <w:style w:type="character" w:customStyle="1" w:styleId="af4">
    <w:name w:val="文档结构图 字符"/>
    <w:basedOn w:val="a0"/>
    <w:link w:val="a3"/>
    <w:locked/>
    <w:rPr>
      <w:rFonts w:ascii="Microsoft YaHei UI" w:eastAsia="Microsoft YaHei UI" w:hAnsi="Microsoft YaHei UI" w:cs="Microsoft YaHei UI" w:hint="eastAsia"/>
      <w:kern w:val="2"/>
      <w:sz w:val="18"/>
      <w:szCs w:val="18"/>
    </w:rPr>
  </w:style>
  <w:style w:type="character" w:customStyle="1" w:styleId="2Char">
    <w:name w:val="标题 2 Char"/>
    <w:basedOn w:val="a0"/>
    <w:link w:val="2"/>
    <w:locked/>
    <w:rPr>
      <w:rFonts w:ascii="Cambria" w:eastAsia="宋体" w:hAnsi="Cambria" w:cs="宋体" w:hint="default"/>
      <w:b/>
      <w:bCs/>
      <w:kern w:val="2"/>
      <w:sz w:val="32"/>
      <w:szCs w:val="32"/>
    </w:rPr>
  </w:style>
  <w:style w:type="character" w:customStyle="1" w:styleId="Char6">
    <w:name w:val="脚注文本 Char"/>
    <w:basedOn w:val="a0"/>
    <w:link w:val="a9"/>
    <w:locked/>
    <w:rPr>
      <w:kern w:val="2"/>
      <w:sz w:val="18"/>
      <w:szCs w:val="18"/>
    </w:rPr>
  </w:style>
  <w:style w:type="paragraph" w:customStyle="1" w:styleId="XBRLTitle4">
    <w:name w:val="XBRLTitle4"/>
    <w:basedOn w:val="a8"/>
    <w:next w:val="4"/>
    <w:pPr>
      <w:numPr>
        <w:ilvl w:val="3"/>
        <w:numId w:val="1"/>
      </w:numPr>
      <w:spacing w:beforeLines="50" w:after="0"/>
    </w:pPr>
    <w:rPr>
      <w:bCs/>
    </w:rPr>
  </w:style>
  <w:style w:type="character" w:customStyle="1" w:styleId="4Char">
    <w:name w:val="标题 4 Char"/>
    <w:basedOn w:val="a0"/>
    <w:link w:val="4"/>
    <w:locked/>
    <w:rPr>
      <w:rFonts w:ascii="Cambria" w:eastAsia="宋体" w:hAnsi="Cambria" w:cs="宋体" w:hint="default"/>
      <w:b/>
      <w:bCs/>
      <w:kern w:val="2"/>
      <w:sz w:val="24"/>
      <w:szCs w:val="24"/>
    </w:rPr>
  </w:style>
  <w:style w:type="character" w:customStyle="1" w:styleId="Char7">
    <w:name w:val="页脚 Char"/>
    <w:basedOn w:val="a0"/>
    <w:link w:val="a6"/>
    <w:locked/>
    <w:rPr>
      <w:kern w:val="2"/>
      <w:sz w:val="18"/>
      <w:szCs w:val="18"/>
    </w:rPr>
  </w:style>
  <w:style w:type="character" w:customStyle="1" w:styleId="Char8">
    <w:name w:val="日期 Char"/>
    <w:basedOn w:val="a0"/>
    <w:link w:val="a4"/>
    <w:locked/>
    <w:rPr>
      <w:kern w:val="2"/>
      <w:sz w:val="21"/>
    </w:rPr>
  </w:style>
  <w:style w:type="paragraph" w:customStyle="1" w:styleId="af5">
    <w:name w:val="次标题"/>
    <w:basedOn w:val="3"/>
    <w:next w:val="a"/>
    <w:pPr>
      <w:spacing w:before="120" w:after="120"/>
      <w:jc w:val="left"/>
    </w:pPr>
    <w:rPr>
      <w:sz w:val="21"/>
    </w:rPr>
  </w:style>
  <w:style w:type="paragraph" w:customStyle="1" w:styleId="XBRLTitle5">
    <w:name w:val="XBRLTitle5"/>
    <w:basedOn w:val="a8"/>
    <w:next w:val="4"/>
    <w:pPr>
      <w:numPr>
        <w:ilvl w:val="4"/>
        <w:numId w:val="1"/>
      </w:numPr>
      <w:spacing w:beforeLines="50" w:after="0"/>
    </w:pPr>
    <w:rPr>
      <w:bCs/>
    </w:rPr>
  </w:style>
  <w:style w:type="paragraph" w:customStyle="1" w:styleId="Char9">
    <w:name w:val="Char"/>
    <w:basedOn w:val="msonormal0"/>
    <w:pPr>
      <w:widowControl w:val="0"/>
      <w:spacing w:before="0" w:beforeAutospacing="0" w:after="0" w:afterAutospacing="0"/>
      <w:jc w:val="both"/>
    </w:pPr>
    <w:rPr>
      <w:kern w:val="2"/>
      <w:sz w:val="21"/>
    </w:rPr>
  </w:style>
  <w:style w:type="paragraph" w:customStyle="1" w:styleId="xl33">
    <w:name w:val="xl33"/>
    <w:basedOn w:val="msonormal0"/>
    <w:pPr>
      <w:pBdr>
        <w:left w:val="single" w:sz="4" w:space="0" w:color="auto"/>
        <w:bottom w:val="single" w:sz="4" w:space="0" w:color="auto"/>
        <w:right w:val="single" w:sz="4" w:space="0" w:color="auto"/>
      </w:pBdr>
      <w:jc w:val="center"/>
    </w:pPr>
    <w:rPr>
      <w:rFonts w:ascii="Arial Unicode MS" w:hAnsi="Arial Unicode MS"/>
    </w:rPr>
  </w:style>
  <w:style w:type="character" w:customStyle="1" w:styleId="2Char1">
    <w:name w:val="标题 2 Char1"/>
    <w:basedOn w:val="a0"/>
    <w:link w:val="2"/>
    <w:locked/>
    <w:rPr>
      <w:rFonts w:ascii="Cambria" w:eastAsia="宋体" w:hAnsi="Cambria" w:cs="宋体" w:hint="default"/>
      <w:b/>
      <w:bCs/>
      <w:sz w:val="32"/>
      <w:szCs w:val="32"/>
    </w:rPr>
  </w:style>
  <w:style w:type="paragraph" w:customStyle="1" w:styleId="XBRLTitle3">
    <w:name w:val="XBRLTitle3"/>
    <w:basedOn w:val="a8"/>
    <w:next w:val="4"/>
    <w:pPr>
      <w:keepNext w:val="0"/>
      <w:keepLines w:val="0"/>
      <w:numPr>
        <w:ilvl w:val="2"/>
        <w:numId w:val="1"/>
      </w:numPr>
      <w:spacing w:beforeLines="50" w:after="0" w:line="360" w:lineRule="auto"/>
      <w:ind w:left="0" w:firstLine="0"/>
    </w:pPr>
    <w:rPr>
      <w:rFonts w:ascii="宋体" w:hint="eastAsia"/>
      <w:bCs/>
    </w:rPr>
  </w:style>
  <w:style w:type="character" w:customStyle="1" w:styleId="31">
    <w:name w:val="标题 3 字符"/>
    <w:basedOn w:val="a0"/>
    <w:link w:val="3"/>
    <w:locked/>
    <w:rPr>
      <w:b/>
      <w:bCs/>
      <w:kern w:val="2"/>
      <w:sz w:val="32"/>
      <w:szCs w:val="32"/>
    </w:rPr>
  </w:style>
  <w:style w:type="character" w:customStyle="1" w:styleId="af6">
    <w:name w:val="脚注文本 字符"/>
    <w:basedOn w:val="a0"/>
    <w:link w:val="a9"/>
    <w:locked/>
    <w:rPr>
      <w:kern w:val="2"/>
      <w:sz w:val="18"/>
      <w:szCs w:val="18"/>
    </w:rPr>
  </w:style>
  <w:style w:type="character" w:customStyle="1" w:styleId="af7">
    <w:name w:val="批注框文本 字符"/>
    <w:basedOn w:val="a0"/>
    <w:link w:val="a5"/>
    <w:locked/>
    <w:rPr>
      <w:kern w:val="2"/>
      <w:sz w:val="18"/>
      <w:szCs w:val="18"/>
    </w:rPr>
  </w:style>
  <w:style w:type="character" w:customStyle="1" w:styleId="12">
    <w:name w:val="页眉 字符1"/>
    <w:basedOn w:val="a0"/>
    <w:locked/>
    <w:rPr>
      <w:kern w:val="2"/>
      <w:sz w:val="18"/>
      <w:szCs w:val="18"/>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905</Words>
  <Characters>5164</Characters>
  <Application>Microsoft Office Word</Application>
  <DocSecurity>4</DocSecurity>
  <Lines>43</Lines>
  <Paragraphs>12</Paragraphs>
  <ScaleCrop>false</ScaleCrop>
  <Company>CNSTOCK</Company>
  <LinksUpToDate>false</LinksUpToDate>
  <CharactersWithSpaces>6057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yss</dc:creator>
  <cp:keywords/>
  <cp:lastModifiedBy>ZHONGM</cp:lastModifiedBy>
  <cp:revision>2</cp:revision>
  <dcterms:created xsi:type="dcterms:W3CDTF">2026-02-22T16:00:00Z</dcterms:created>
  <dcterms:modified xsi:type="dcterms:W3CDTF">2026-02-22T16:00:00Z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DBB3936E3C2644B195D771CE0DC98BA9_13</vt:lpwstr>
  </property>
</Properties>
</file>