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5" w:rsidRPr="00F052F5" w:rsidRDefault="00F052F5" w:rsidP="00F052F5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/>
          <w:b/>
          <w:bCs/>
          <w:color w:val="666666"/>
          <w:kern w:val="0"/>
          <w:sz w:val="24"/>
          <w:szCs w:val="24"/>
        </w:rPr>
      </w:pPr>
      <w:r w:rsidRPr="00F052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国</w:t>
      </w:r>
      <w:proofErr w:type="gramStart"/>
      <w:r w:rsidRPr="00F052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投瑞银基金</w:t>
      </w:r>
      <w:proofErr w:type="gramEnd"/>
      <w:r w:rsidRPr="00F052F5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  <w:szCs w:val="24"/>
        </w:rPr>
        <w:t>管理有限公司关于白银基金相关方案的公告</w:t>
      </w:r>
    </w:p>
    <w:p w:rsidR="00F052F5" w:rsidRPr="00F052F5" w:rsidRDefault="00F052F5" w:rsidP="00F052F5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作者：</w:t>
      </w:r>
      <w:proofErr w:type="gramStart"/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国投瑞银</w:t>
      </w:r>
      <w:proofErr w:type="gramEnd"/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来源：</w:t>
      </w:r>
      <w:proofErr w:type="gramStart"/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国投瑞银</w:t>
      </w:r>
      <w:proofErr w:type="gramEnd"/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发表时间：2026-02-15</w:t>
      </w:r>
    </w:p>
    <w:p w:rsidR="00F052F5" w:rsidRPr="00F052F5" w:rsidRDefault="00F052F5" w:rsidP="00F052F5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字号： </w:t>
      </w:r>
      <w:hyperlink r:id="rId4" w:history="1">
        <w:r w:rsidRPr="00F052F5">
          <w:rPr>
            <w:rFonts w:ascii="微软雅黑" w:eastAsia="微软雅黑" w:hAnsi="微软雅黑" w:cs="宋体" w:hint="eastAsia"/>
            <w:color w:val="FFFFFF"/>
            <w:kern w:val="0"/>
            <w:sz w:val="18"/>
            <w:szCs w:val="18"/>
            <w:u w:val="single"/>
            <w:bdr w:val="single" w:sz="6" w:space="0" w:color="166CC3" w:frame="1"/>
            <w:shd w:val="clear" w:color="auto" w:fill="166CC3"/>
          </w:rPr>
          <w:t>小</w:t>
        </w:r>
      </w:hyperlink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</w:t>
      </w:r>
      <w:hyperlink r:id="rId5" w:history="1">
        <w:r w:rsidRPr="00F052F5">
          <w:rPr>
            <w:rFonts w:ascii="微软雅黑" w:eastAsia="微软雅黑" w:hAnsi="微软雅黑" w:cs="宋体" w:hint="eastAsia"/>
            <w:color w:val="166CC3"/>
            <w:kern w:val="0"/>
            <w:sz w:val="18"/>
            <w:szCs w:val="18"/>
            <w:u w:val="single"/>
            <w:bdr w:val="single" w:sz="6" w:space="0" w:color="166CC3" w:frame="1"/>
          </w:rPr>
          <w:t>中</w:t>
        </w:r>
      </w:hyperlink>
      <w:r w:rsidRPr="00F052F5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 </w:t>
      </w:r>
      <w:hyperlink r:id="rId6" w:history="1">
        <w:r w:rsidRPr="00F052F5">
          <w:rPr>
            <w:rFonts w:ascii="微软雅黑" w:eastAsia="微软雅黑" w:hAnsi="微软雅黑" w:cs="宋体" w:hint="eastAsia"/>
            <w:color w:val="166CC3"/>
            <w:kern w:val="0"/>
            <w:sz w:val="18"/>
            <w:szCs w:val="18"/>
            <w:u w:val="single"/>
            <w:bdr w:val="single" w:sz="6" w:space="0" w:color="166CC3" w:frame="1"/>
          </w:rPr>
          <w:t>大</w:t>
        </w:r>
      </w:hyperlink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480"/>
        <w:rPr>
          <w:rFonts w:ascii="Calibri" w:eastAsia="微软雅黑" w:hAnsi="Calibri" w:cs="Calibri" w:hint="eastAsia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 w:val="24"/>
          <w:szCs w:val="24"/>
        </w:rPr>
        <w:t> </w:t>
      </w: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尊敬的投资者：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受近期白银市场价格出现历史性极端行情影响，为公平对待所有投资者，避免“先赎占优”，公司对国</w:t>
      </w:r>
      <w:proofErr w:type="gramStart"/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投瑞银白</w:t>
      </w:r>
      <w:proofErr w:type="gramEnd"/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银期货证券投资基金（LOF）进行估值调整，相关公告引发投资者高度关注。我们深知每一份投资背后，都是大家的信任与托付。面对大家的关切，我们始终以最迫切的心情积极回应、努力解决大家的诉求，已第一时间统筹部署、夜以继日推进各项工作，制定了专项工作方案。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我们遵循分层分类、便捷可靠的原则制定本方案，以最大限度保护投资者特别是中小投资者的合法权益。方案适用范围为国</w:t>
      </w:r>
      <w:proofErr w:type="gramStart"/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投瑞银白</w:t>
      </w:r>
      <w:proofErr w:type="gramEnd"/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银期货证券投资基金（LOF）以2026年2月2日净值确认赎回（含2026年1月30日15点之后至2月2日15点之前提交赎回申请）的自然人投资者，不含机构投资者。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具体方案如下：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1.对估值调整影响金额（由-17%调至-31.5%的部分）为1000元以下的自然人投资者，按实际影响金额全额确定和解金额（该部分投资者占当日赎回投资者的</w:t>
      </w:r>
      <w:proofErr w:type="gramStart"/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比例超</w:t>
      </w:r>
      <w:proofErr w:type="gramEnd"/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9成）。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2.对估值调整影响金额（由-17%调至-31.5%的部分）超过1000元（含）的自然人投资者，在1000元基础上加上超1000元部分乘以一定比例确定总和解金额。</w:t>
      </w:r>
    </w:p>
    <w:p w:rsidR="00F052F5" w:rsidRPr="00F052F5" w:rsidRDefault="00F052F5" w:rsidP="00F052F5">
      <w:pPr>
        <w:widowControl/>
        <w:shd w:val="clear" w:color="auto" w:fill="FFFFFF"/>
        <w:spacing w:line="244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3.上述自然人投资者可通过支付宝搜索“国投瑞银白银基金”小程序，按提示完成身份核验后，依指引在线办理相关事宜。因涉及投资者人数众多，工作量大，为确保投资者诉求得到便捷、可靠的解决，公司正在全力以赴推进技术支持准备工作，相关小程序将于2026年2月26日正式启用。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一路走来，感恩每一份选择与相伴，市场虽有起伏，但我们守护投资者的初心从未改变。也欢迎大家通过官方渠道与我们沟通，我们将及时为您解答。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48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Calibri" w:eastAsia="微软雅黑" w:hAnsi="Calibri" w:cs="Calibri"/>
          <w:color w:val="666666"/>
          <w:kern w:val="0"/>
          <w:szCs w:val="21"/>
        </w:rPr>
        <w:t> 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公司网站：www.ubssdic.com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客户服务电话：400-880-6868、0755-83160000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小程序使用咨询专线：400-880-6868转8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宋体" w:eastAsia="宋体" w:hAnsi="宋体" w:cs="Calibri" w:hint="eastAsia"/>
          <w:color w:val="666666"/>
          <w:kern w:val="0"/>
          <w:szCs w:val="21"/>
        </w:rPr>
        <w:t>未开通支付宝的客户专线：400-880-6868转0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560"/>
        <w:rPr>
          <w:rFonts w:ascii="Calibri" w:eastAsia="微软雅黑" w:hAnsi="Calibri" w:cs="Calibri"/>
          <w:color w:val="666666"/>
          <w:kern w:val="0"/>
          <w:szCs w:val="21"/>
        </w:rPr>
      </w:pPr>
      <w:r w:rsidRPr="00F052F5">
        <w:rPr>
          <w:rFonts w:ascii="Calibri" w:eastAsia="微软雅黑" w:hAnsi="Calibri" w:cs="Calibri"/>
          <w:color w:val="666666"/>
          <w:kern w:val="0"/>
          <w:szCs w:val="21"/>
        </w:rPr>
        <w:t> 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480"/>
        <w:jc w:val="righ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F052F5">
        <w:rPr>
          <w:rFonts w:ascii="宋体" w:eastAsia="宋体" w:hAnsi="宋体" w:cs="宋体" w:hint="eastAsia"/>
          <w:color w:val="666666"/>
          <w:kern w:val="0"/>
          <w:szCs w:val="21"/>
        </w:rPr>
        <w:t>国</w:t>
      </w:r>
      <w:proofErr w:type="gramStart"/>
      <w:r w:rsidRPr="00F052F5">
        <w:rPr>
          <w:rFonts w:ascii="宋体" w:eastAsia="宋体" w:hAnsi="宋体" w:cs="宋体" w:hint="eastAsia"/>
          <w:color w:val="666666"/>
          <w:kern w:val="0"/>
          <w:szCs w:val="21"/>
        </w:rPr>
        <w:t>投瑞银基金</w:t>
      </w:r>
      <w:proofErr w:type="gramEnd"/>
      <w:r w:rsidRPr="00F052F5">
        <w:rPr>
          <w:rFonts w:ascii="宋体" w:eastAsia="宋体" w:hAnsi="宋体" w:cs="宋体" w:hint="eastAsia"/>
          <w:color w:val="666666"/>
          <w:kern w:val="0"/>
          <w:szCs w:val="21"/>
        </w:rPr>
        <w:t>管理有限公司</w:t>
      </w:r>
    </w:p>
    <w:p w:rsidR="00F052F5" w:rsidRPr="00F052F5" w:rsidRDefault="00F052F5" w:rsidP="00F052F5">
      <w:pPr>
        <w:widowControl/>
        <w:shd w:val="clear" w:color="auto" w:fill="FFFFFF"/>
        <w:spacing w:line="360" w:lineRule="atLeast"/>
        <w:ind w:firstLine="480"/>
        <w:jc w:val="right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r w:rsidRPr="00F052F5">
        <w:rPr>
          <w:rFonts w:ascii="宋体" w:eastAsia="宋体" w:hAnsi="宋体" w:cs="宋体" w:hint="eastAsia"/>
          <w:color w:val="666666"/>
          <w:kern w:val="0"/>
          <w:szCs w:val="21"/>
        </w:rPr>
        <w:t>2026年2月15日</w:t>
      </w:r>
    </w:p>
    <w:p w:rsidR="00486464" w:rsidRDefault="00F052F5">
      <w:bookmarkStart w:id="0" w:name="_GoBack"/>
      <w:bookmarkEnd w:id="0"/>
    </w:p>
    <w:sectPr w:rsidR="0048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F5"/>
    <w:rsid w:val="000B5ABA"/>
    <w:rsid w:val="00157E10"/>
    <w:rsid w:val="00F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F2613-6707-4C94-8BB8-92690920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052F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052F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info">
    <w:name w:val="info"/>
    <w:basedOn w:val="a"/>
    <w:rsid w:val="00F05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pan">
    <w:name w:val="font_span"/>
    <w:basedOn w:val="a0"/>
    <w:rsid w:val="00F052F5"/>
  </w:style>
  <w:style w:type="character" w:styleId="a3">
    <w:name w:val="Hyperlink"/>
    <w:basedOn w:val="a0"/>
    <w:uiPriority w:val="99"/>
    <w:semiHidden/>
    <w:unhideWhenUsed/>
    <w:rsid w:val="00F052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5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赵勇</dc:creator>
  <cp:keywords/>
  <dc:description/>
  <cp:lastModifiedBy>赵勇</cp:lastModifiedBy>
  <cp:revision>1</cp:revision>
  <dcterms:created xsi:type="dcterms:W3CDTF">2026-02-15T13:34:00Z</dcterms:created>
  <dcterms:modified xsi:type="dcterms:W3CDTF">2026-02-15T13:35:00Z</dcterms:modified>
</cp:coreProperties>
</file>