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43" w:rsidRDefault="00366A99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bookmarkStart w:id="0" w:name="_GoBack"/>
      <w:r>
        <w:rPr>
          <w:rFonts w:hint="eastAsia"/>
          <w:b/>
          <w:bCs/>
          <w:color w:val="2B2B2B"/>
          <w:kern w:val="0"/>
          <w:szCs w:val="21"/>
        </w:rPr>
        <w:t>浙商基金</w:t>
      </w:r>
      <w:bookmarkEnd w:id="0"/>
      <w:r>
        <w:rPr>
          <w:rFonts w:hint="eastAsia"/>
          <w:b/>
          <w:bCs/>
          <w:color w:val="2B2B2B"/>
          <w:kern w:val="0"/>
          <w:szCs w:val="21"/>
        </w:rPr>
        <w:t>管理有限公司</w:t>
      </w:r>
    </w:p>
    <w:p w:rsidR="00D22843" w:rsidRDefault="00366A99">
      <w:pPr>
        <w:widowControl/>
        <w:spacing w:line="345" w:lineRule="atLeast"/>
        <w:ind w:firstLine="480"/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</w:rPr>
        <w:t>关于增聘浙商智选先锋一年持有期混合型证券投资基金基</w:t>
      </w:r>
      <w:r>
        <w:rPr>
          <w:rFonts w:hint="eastAsia"/>
          <w:b/>
          <w:bCs/>
          <w:color w:val="2B2B2B"/>
          <w:kern w:val="0"/>
          <w:szCs w:val="21"/>
        </w:rPr>
        <w:t>金经理的公告</w:t>
      </w:r>
    </w:p>
    <w:p w:rsidR="00D22843" w:rsidRDefault="00366A99">
      <w:pPr>
        <w:widowControl/>
        <w:spacing w:line="345" w:lineRule="atLeast"/>
        <w:ind w:firstLine="480"/>
        <w:jc w:val="center"/>
        <w:rPr>
          <w:b/>
          <w:bCs/>
          <w:color w:val="2B2B2B"/>
          <w:kern w:val="0"/>
          <w:szCs w:val="21"/>
        </w:rPr>
      </w:pPr>
      <w:r>
        <w:rPr>
          <w:rFonts w:hint="eastAsia"/>
          <w:b/>
          <w:bCs/>
          <w:color w:val="2B2B2B"/>
          <w:kern w:val="0"/>
          <w:szCs w:val="21"/>
        </w:rPr>
        <w:t>公告送出日期：</w:t>
      </w:r>
      <w:r>
        <w:rPr>
          <w:rFonts w:hint="eastAsia"/>
          <w:b/>
          <w:bCs/>
          <w:color w:val="2B2B2B"/>
          <w:kern w:val="0"/>
          <w:szCs w:val="21"/>
        </w:rPr>
        <w:t>2026</w:t>
      </w:r>
      <w:r>
        <w:rPr>
          <w:rFonts w:hint="eastAsia"/>
          <w:b/>
          <w:bCs/>
          <w:color w:val="2B2B2B"/>
          <w:kern w:val="0"/>
          <w:szCs w:val="21"/>
        </w:rPr>
        <w:t>年</w:t>
      </w:r>
      <w:r>
        <w:rPr>
          <w:rFonts w:hint="eastAsia"/>
          <w:b/>
          <w:bCs/>
          <w:color w:val="2B2B2B"/>
          <w:kern w:val="0"/>
          <w:szCs w:val="21"/>
        </w:rPr>
        <w:t>02</w:t>
      </w:r>
      <w:r>
        <w:rPr>
          <w:rFonts w:hint="eastAsia"/>
          <w:b/>
          <w:bCs/>
          <w:color w:val="2B2B2B"/>
          <w:kern w:val="0"/>
          <w:szCs w:val="21"/>
        </w:rPr>
        <w:t>月</w:t>
      </w:r>
      <w:r>
        <w:rPr>
          <w:rFonts w:hint="eastAsia"/>
          <w:b/>
          <w:bCs/>
          <w:color w:val="2B2B2B"/>
          <w:kern w:val="0"/>
          <w:szCs w:val="21"/>
        </w:rPr>
        <w:t>14</w:t>
      </w:r>
      <w:r>
        <w:rPr>
          <w:b/>
          <w:bCs/>
          <w:color w:val="2B2B2B"/>
          <w:kern w:val="0"/>
          <w:szCs w:val="21"/>
        </w:rPr>
        <w:t>日</w:t>
      </w:r>
    </w:p>
    <w:p w:rsidR="00D22843" w:rsidRDefault="00366A99">
      <w:pPr>
        <w:widowControl/>
        <w:spacing w:line="345" w:lineRule="atLeast"/>
        <w:ind w:firstLine="480"/>
        <w:jc w:val="left"/>
        <w:rPr>
          <w:rFonts w:ascii="宋体" w:hAnsi="宋体"/>
          <w:color w:val="2B2B2B"/>
          <w:kern w:val="0"/>
          <w:szCs w:val="21"/>
        </w:rPr>
      </w:pPr>
      <w:r>
        <w:rPr>
          <w:b/>
          <w:bCs/>
          <w:color w:val="2B2B2B"/>
          <w:kern w:val="0"/>
          <w:szCs w:val="21"/>
        </w:rPr>
        <w:br/>
      </w:r>
      <w:r>
        <w:rPr>
          <w:rFonts w:hint="eastAsia"/>
          <w:color w:val="2B2B2B"/>
          <w:kern w:val="0"/>
          <w:szCs w:val="21"/>
        </w:rPr>
        <w:t xml:space="preserve">　　</w:t>
      </w:r>
      <w:r>
        <w:rPr>
          <w:color w:val="2B2B2B"/>
          <w:kern w:val="0"/>
          <w:szCs w:val="21"/>
        </w:rPr>
        <w:t>1</w:t>
      </w:r>
      <w:r>
        <w:rPr>
          <w:rFonts w:ascii="宋体" w:hAnsi="宋体" w:hint="eastAsia"/>
          <w:color w:val="2B2B2B"/>
          <w:kern w:val="0"/>
          <w:szCs w:val="21"/>
        </w:rPr>
        <w:t>、公告基本信息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59"/>
        <w:gridCol w:w="4777"/>
      </w:tblGrid>
      <w:tr w:rsidR="00D22843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基金名称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int="eastAsia"/>
              </w:rPr>
              <w:t>浙商智选先锋一年持有期混合型证券投资基金</w:t>
            </w:r>
          </w:p>
        </w:tc>
      </w:tr>
      <w:tr w:rsidR="00D22843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基金简称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hint="eastAsia"/>
              </w:rPr>
              <w:t>浙商智选先锋一年持有期</w:t>
            </w:r>
          </w:p>
        </w:tc>
      </w:tr>
      <w:tr w:rsidR="00D22843">
        <w:trPr>
          <w:trHeight w:val="190"/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基金主代码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  <w:highlight w:val="yellow"/>
              </w:rPr>
            </w:pPr>
            <w:r>
              <w:rPr>
                <w:rFonts w:ascii="宋体" w:hAnsi="宋体"/>
                <w:color w:val="2B2B2B"/>
                <w:kern w:val="0"/>
                <w:szCs w:val="21"/>
              </w:rPr>
              <w:t>010876</w:t>
            </w:r>
          </w:p>
        </w:tc>
      </w:tr>
      <w:tr w:rsidR="00D22843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基金管理人名称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浙商基金管理有限公司</w:t>
            </w:r>
          </w:p>
        </w:tc>
      </w:tr>
      <w:tr w:rsidR="00D22843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公告依据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《公开募集证券投资基金信息披露管理办法》</w:t>
            </w:r>
          </w:p>
        </w:tc>
      </w:tr>
      <w:tr w:rsidR="00D22843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基金经理变更类型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增聘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基金经理</w:t>
            </w:r>
          </w:p>
        </w:tc>
      </w:tr>
      <w:tr w:rsidR="00D22843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增聘基金经理姓名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佘江科</w:t>
            </w:r>
          </w:p>
        </w:tc>
      </w:tr>
      <w:tr w:rsidR="00D22843">
        <w:trPr>
          <w:tblCellSpacing w:w="0" w:type="dxa"/>
        </w:trPr>
        <w:tc>
          <w:tcPr>
            <w:tcW w:w="2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共同管理本基金的其他基金经理姓名</w:t>
            </w:r>
          </w:p>
        </w:tc>
        <w:tc>
          <w:tcPr>
            <w:tcW w:w="28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平舒宇</w:t>
            </w:r>
          </w:p>
        </w:tc>
      </w:tr>
    </w:tbl>
    <w:p w:rsidR="00D22843" w:rsidRDefault="00366A99">
      <w:pPr>
        <w:widowControl/>
        <w:spacing w:line="345" w:lineRule="atLeast"/>
        <w:ind w:firstLine="480"/>
        <w:rPr>
          <w:rFonts w:ascii="宋体" w:hAnsi="宋体"/>
          <w:color w:val="2B2B2B"/>
          <w:kern w:val="0"/>
          <w:szCs w:val="21"/>
        </w:rPr>
      </w:pPr>
      <w:r>
        <w:rPr>
          <w:rFonts w:ascii="宋体" w:hAnsi="宋体"/>
          <w:color w:val="2B2B2B"/>
          <w:kern w:val="0"/>
          <w:szCs w:val="21"/>
        </w:rPr>
        <w:br/>
      </w:r>
      <w:r>
        <w:rPr>
          <w:rFonts w:ascii="宋体" w:hAnsi="宋体" w:hint="eastAsia"/>
          <w:color w:val="2B2B2B"/>
          <w:kern w:val="0"/>
          <w:szCs w:val="21"/>
        </w:rPr>
        <w:t xml:space="preserve">　　</w:t>
      </w:r>
      <w:r>
        <w:rPr>
          <w:rFonts w:ascii="宋体" w:hAnsi="宋体"/>
          <w:color w:val="2B2B2B"/>
          <w:kern w:val="0"/>
          <w:szCs w:val="21"/>
        </w:rPr>
        <w:t>2</w:t>
      </w:r>
      <w:r>
        <w:rPr>
          <w:rFonts w:ascii="宋体" w:hAnsi="宋体" w:hint="eastAsia"/>
          <w:color w:val="2B2B2B"/>
          <w:kern w:val="0"/>
          <w:szCs w:val="21"/>
        </w:rPr>
        <w:t>、增聘基金经理的相关信息</w:t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76"/>
        <w:gridCol w:w="1177"/>
        <w:gridCol w:w="1277"/>
        <w:gridCol w:w="1099"/>
        <w:gridCol w:w="1134"/>
      </w:tblGrid>
      <w:tr w:rsidR="00D22843">
        <w:trPr>
          <w:trHeight w:val="407"/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新任基金经理姓名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佘江科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任职日期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2026</w:t>
            </w:r>
            <w:r>
              <w:rPr>
                <w:rFonts w:ascii="宋体" w:hAnsi="宋体"/>
                <w:color w:val="2B2B2B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02</w:t>
            </w:r>
            <w:r>
              <w:rPr>
                <w:rFonts w:ascii="宋体" w:hAnsi="宋体"/>
                <w:color w:val="2B2B2B"/>
                <w:kern w:val="0"/>
                <w:szCs w:val="21"/>
              </w:rPr>
              <w:t>月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13</w:t>
            </w:r>
            <w:r>
              <w:rPr>
                <w:rFonts w:ascii="宋体" w:hAnsi="宋体"/>
                <w:color w:val="2B2B2B"/>
                <w:kern w:val="0"/>
                <w:szCs w:val="21"/>
              </w:rPr>
              <w:t>日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证券从业年限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6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证券投资管理从业年限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1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过往从业经历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2025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年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7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月加入浙商基金管理有限公司，目前任职于智能权益投资部。历任华宝基金管理有限公司指数研发投资部高级分析师、上海蒙玺投资管理有限公司股票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Alpha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研究员。</w:t>
            </w:r>
          </w:p>
        </w:tc>
      </w:tr>
      <w:tr w:rsidR="00D22843">
        <w:trPr>
          <w:trHeight w:val="527"/>
          <w:jc w:val="center"/>
        </w:trPr>
        <w:tc>
          <w:tcPr>
            <w:tcW w:w="3676" w:type="dxa"/>
            <w:vMerge w:val="restart"/>
            <w:tcBorders>
              <w:top w:val="outset" w:sz="8" w:space="0" w:color="A6A6A6"/>
              <w:left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其中：管理过公募基金的名称及期间</w:t>
            </w:r>
          </w:p>
        </w:tc>
        <w:tc>
          <w:tcPr>
            <w:tcW w:w="1177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基金主代码</w:t>
            </w:r>
          </w:p>
        </w:tc>
        <w:tc>
          <w:tcPr>
            <w:tcW w:w="1277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基金名称</w:t>
            </w:r>
          </w:p>
        </w:tc>
        <w:tc>
          <w:tcPr>
            <w:tcW w:w="1099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任职日期</w:t>
            </w:r>
          </w:p>
        </w:tc>
        <w:tc>
          <w:tcPr>
            <w:tcW w:w="1134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离任日期</w:t>
            </w:r>
          </w:p>
        </w:tc>
      </w:tr>
      <w:tr w:rsidR="00D22843">
        <w:trPr>
          <w:trHeight w:val="527"/>
          <w:jc w:val="center"/>
        </w:trPr>
        <w:tc>
          <w:tcPr>
            <w:tcW w:w="3676" w:type="dxa"/>
            <w:vMerge/>
            <w:tcBorders>
              <w:left w:val="outset" w:sz="8" w:space="0" w:color="A6A6A6"/>
              <w:right w:val="outset" w:sz="8" w:space="0" w:color="A6A6A6"/>
            </w:tcBorders>
          </w:tcPr>
          <w:p w:rsidR="00D22843" w:rsidRDefault="00D22843">
            <w:pPr>
              <w:widowControl/>
              <w:spacing w:before="100" w:beforeAutospacing="1" w:after="100" w:afterAutospacing="1" w:line="345" w:lineRule="atLeast"/>
              <w:rPr>
                <w:rFonts w:ascii="宋体" w:hAnsi="宋体"/>
                <w:color w:val="2B2B2B"/>
                <w:kern w:val="0"/>
                <w:szCs w:val="21"/>
              </w:rPr>
            </w:pPr>
          </w:p>
        </w:tc>
        <w:tc>
          <w:tcPr>
            <w:tcW w:w="1177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-</w:t>
            </w:r>
          </w:p>
        </w:tc>
        <w:tc>
          <w:tcPr>
            <w:tcW w:w="1277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-</w:t>
            </w:r>
          </w:p>
        </w:tc>
        <w:tc>
          <w:tcPr>
            <w:tcW w:w="1099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-</w:t>
            </w:r>
          </w:p>
        </w:tc>
        <w:tc>
          <w:tcPr>
            <w:tcW w:w="1134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-</w:t>
            </w:r>
          </w:p>
        </w:tc>
      </w:tr>
      <w:tr w:rsidR="00D22843">
        <w:trPr>
          <w:trHeight w:val="54"/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是否曾被监管机构予以行政处罚或采取行政监管措施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否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是否已取得基金从业资格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是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取得的其他相关从业资格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否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国籍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新西兰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学历、学位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本科生学历、学士学位</w:t>
            </w:r>
          </w:p>
        </w:tc>
      </w:tr>
      <w:tr w:rsidR="00D22843">
        <w:trPr>
          <w:jc w:val="center"/>
        </w:trPr>
        <w:tc>
          <w:tcPr>
            <w:tcW w:w="3676" w:type="dxa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left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是否已按规定在中国基金业协会注册</w:t>
            </w:r>
            <w:r>
              <w:rPr>
                <w:rFonts w:ascii="宋体" w:hAnsi="宋体"/>
                <w:color w:val="2B2B2B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登记</w:t>
            </w:r>
          </w:p>
        </w:tc>
        <w:tc>
          <w:tcPr>
            <w:tcW w:w="4687" w:type="dxa"/>
            <w:gridSpan w:val="4"/>
            <w:tcBorders>
              <w:top w:val="outset" w:sz="8" w:space="0" w:color="A6A6A6"/>
              <w:left w:val="outset" w:sz="8" w:space="0" w:color="A6A6A6"/>
              <w:bottom w:val="outset" w:sz="8" w:space="0" w:color="A6A6A6"/>
              <w:right w:val="outset" w:sz="8" w:space="0" w:color="A6A6A6"/>
            </w:tcBorders>
            <w:vAlign w:val="center"/>
          </w:tcPr>
          <w:p w:rsidR="00D22843" w:rsidRDefault="00366A99">
            <w:pPr>
              <w:widowControl/>
              <w:spacing w:before="100" w:beforeAutospacing="1" w:after="100" w:afterAutospacing="1" w:line="345" w:lineRule="atLeast"/>
              <w:jc w:val="center"/>
              <w:rPr>
                <w:rFonts w:ascii="宋体" w:hAnsi="宋体"/>
                <w:color w:val="2B2B2B"/>
                <w:kern w:val="0"/>
                <w:szCs w:val="21"/>
              </w:rPr>
            </w:pPr>
            <w:r>
              <w:rPr>
                <w:rFonts w:ascii="宋体" w:hAnsi="宋体" w:hint="eastAsia"/>
                <w:color w:val="2B2B2B"/>
                <w:kern w:val="0"/>
                <w:szCs w:val="21"/>
              </w:rPr>
              <w:t>是</w:t>
            </w:r>
          </w:p>
        </w:tc>
      </w:tr>
    </w:tbl>
    <w:p w:rsidR="00D22843" w:rsidRDefault="00366A99">
      <w:pPr>
        <w:widowControl/>
        <w:spacing w:line="345" w:lineRule="atLeast"/>
        <w:ind w:firstLine="420"/>
        <w:rPr>
          <w:rFonts w:ascii="宋体" w:hAnsi="宋体"/>
          <w:szCs w:val="21"/>
        </w:rPr>
      </w:pPr>
      <w:r>
        <w:rPr>
          <w:rFonts w:ascii="宋体" w:hAnsi="宋体"/>
          <w:color w:val="2B2B2B"/>
          <w:kern w:val="0"/>
          <w:szCs w:val="21"/>
        </w:rPr>
        <w:t>3</w:t>
      </w:r>
      <w:r>
        <w:rPr>
          <w:rFonts w:ascii="宋体" w:hAnsi="宋体" w:hint="eastAsia"/>
          <w:color w:val="2B2B2B"/>
          <w:kern w:val="0"/>
          <w:szCs w:val="21"/>
        </w:rPr>
        <w:t>、其他需要提示的事项</w:t>
      </w:r>
      <w:r>
        <w:rPr>
          <w:rFonts w:ascii="宋体" w:hAnsi="宋体"/>
          <w:color w:val="2B2B2B"/>
          <w:kern w:val="0"/>
          <w:szCs w:val="21"/>
        </w:rPr>
        <w:br/>
      </w:r>
      <w:r>
        <w:rPr>
          <w:rFonts w:ascii="宋体" w:hAnsi="宋体" w:hint="eastAsia"/>
          <w:color w:val="2B2B2B"/>
          <w:kern w:val="0"/>
          <w:szCs w:val="21"/>
        </w:rPr>
        <w:t xml:space="preserve">　　</w:t>
      </w:r>
      <w:r>
        <w:rPr>
          <w:rFonts w:ascii="宋体" w:hAnsi="宋体" w:hint="eastAsia"/>
          <w:szCs w:val="21"/>
        </w:rPr>
        <w:t>上述事项已在中国证券投资基金业协会完成相关手续，并报中国证监会浙江监管局备案。</w:t>
      </w:r>
    </w:p>
    <w:p w:rsidR="00D22843" w:rsidRDefault="00366A99">
      <w:pPr>
        <w:widowControl/>
        <w:spacing w:line="345" w:lineRule="atLeast"/>
        <w:ind w:firstLine="480"/>
        <w:rPr>
          <w:rFonts w:ascii="宋体" w:hAnsi="宋体"/>
          <w:color w:val="2B2B2B"/>
          <w:kern w:val="0"/>
          <w:szCs w:val="21"/>
        </w:rPr>
      </w:pPr>
      <w:r>
        <w:rPr>
          <w:rFonts w:ascii="宋体" w:hAnsi="宋体" w:hint="eastAsia"/>
          <w:color w:val="2B2B2B"/>
          <w:kern w:val="0"/>
          <w:szCs w:val="21"/>
        </w:rPr>
        <w:t>特此公告。</w:t>
      </w:r>
    </w:p>
    <w:p w:rsidR="00D22843" w:rsidRDefault="00366A99">
      <w:pPr>
        <w:widowControl/>
        <w:spacing w:line="345" w:lineRule="atLeast"/>
        <w:ind w:firstLine="480"/>
        <w:rPr>
          <w:rFonts w:ascii="宋体" w:hAnsi="宋体"/>
          <w:color w:val="2B2B2B"/>
          <w:kern w:val="0"/>
          <w:szCs w:val="21"/>
        </w:rPr>
      </w:pPr>
      <w:r>
        <w:rPr>
          <w:rFonts w:ascii="宋体" w:hAnsi="宋体" w:hint="eastAsia"/>
          <w:color w:val="2B2B2B"/>
          <w:kern w:val="0"/>
          <w:szCs w:val="21"/>
        </w:rPr>
        <w:t>（此页无正文）</w:t>
      </w:r>
    </w:p>
    <w:p w:rsidR="00D22843" w:rsidRDefault="00D22843">
      <w:pPr>
        <w:widowControl/>
        <w:spacing w:line="345" w:lineRule="atLeast"/>
        <w:ind w:firstLine="480"/>
        <w:rPr>
          <w:rFonts w:ascii="宋体" w:hAnsi="宋体"/>
          <w:color w:val="2B2B2B"/>
          <w:kern w:val="0"/>
          <w:szCs w:val="21"/>
        </w:rPr>
      </w:pPr>
    </w:p>
    <w:p w:rsidR="00D22843" w:rsidRDefault="00D22843">
      <w:pPr>
        <w:widowControl/>
        <w:spacing w:line="345" w:lineRule="atLeast"/>
        <w:ind w:firstLine="480"/>
        <w:rPr>
          <w:rFonts w:ascii="宋体" w:hAnsi="宋体"/>
          <w:color w:val="2B2B2B"/>
          <w:kern w:val="0"/>
          <w:szCs w:val="21"/>
        </w:rPr>
      </w:pPr>
    </w:p>
    <w:p w:rsidR="00D22843" w:rsidRDefault="00366A99">
      <w:pPr>
        <w:widowControl/>
        <w:spacing w:line="345" w:lineRule="atLeast"/>
        <w:ind w:firstLine="480"/>
        <w:jc w:val="right"/>
        <w:rPr>
          <w:rFonts w:ascii="宋体" w:hAnsi="宋体"/>
          <w:color w:val="2B2B2B"/>
          <w:kern w:val="0"/>
          <w:szCs w:val="21"/>
        </w:rPr>
      </w:pPr>
      <w:r>
        <w:rPr>
          <w:rFonts w:ascii="宋体" w:hAnsi="宋体" w:hint="eastAsia"/>
          <w:color w:val="2B2B2B"/>
          <w:kern w:val="0"/>
          <w:szCs w:val="21"/>
        </w:rPr>
        <w:t xml:space="preserve">　　浙商基金管理有限公司</w:t>
      </w:r>
      <w:r>
        <w:rPr>
          <w:rFonts w:ascii="宋体" w:hAnsi="宋体"/>
          <w:color w:val="2B2B2B"/>
          <w:kern w:val="0"/>
          <w:szCs w:val="21"/>
        </w:rPr>
        <w:br/>
      </w:r>
      <w:r>
        <w:rPr>
          <w:rFonts w:ascii="宋体" w:hAnsi="宋体" w:hint="eastAsia"/>
          <w:color w:val="2B2B2B"/>
          <w:kern w:val="0"/>
          <w:szCs w:val="21"/>
        </w:rPr>
        <w:t xml:space="preserve">　　二〇二六年二月十四</w:t>
      </w:r>
      <w:r>
        <w:rPr>
          <w:rFonts w:ascii="宋体" w:hAnsi="宋体"/>
          <w:color w:val="2B2B2B"/>
          <w:kern w:val="0"/>
          <w:szCs w:val="21"/>
        </w:rPr>
        <w:t>日</w:t>
      </w:r>
    </w:p>
    <w:sectPr w:rsidR="00D22843" w:rsidSect="00D22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Mongolian Baiti">
    <w:charset w:val="00"/>
    <w:family w:val="script"/>
    <w:pitch w:val="default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95B59"/>
    <w:rsid w:val="00002C75"/>
    <w:rsid w:val="000079FC"/>
    <w:rsid w:val="00014122"/>
    <w:rsid w:val="00017E91"/>
    <w:rsid w:val="00030190"/>
    <w:rsid w:val="000356BA"/>
    <w:rsid w:val="000B345F"/>
    <w:rsid w:val="000B7F1A"/>
    <w:rsid w:val="000D3B8C"/>
    <w:rsid w:val="000F0DFF"/>
    <w:rsid w:val="00136C21"/>
    <w:rsid w:val="001721D1"/>
    <w:rsid w:val="0018292B"/>
    <w:rsid w:val="00186922"/>
    <w:rsid w:val="00194A05"/>
    <w:rsid w:val="001B0FBA"/>
    <w:rsid w:val="001D1AD3"/>
    <w:rsid w:val="001E743D"/>
    <w:rsid w:val="001F5201"/>
    <w:rsid w:val="00210129"/>
    <w:rsid w:val="00212108"/>
    <w:rsid w:val="00212EEE"/>
    <w:rsid w:val="0025640F"/>
    <w:rsid w:val="00283E3A"/>
    <w:rsid w:val="002A105D"/>
    <w:rsid w:val="002D4651"/>
    <w:rsid w:val="00334374"/>
    <w:rsid w:val="0034531B"/>
    <w:rsid w:val="00345DA2"/>
    <w:rsid w:val="003463E8"/>
    <w:rsid w:val="00365BAC"/>
    <w:rsid w:val="00366A99"/>
    <w:rsid w:val="00381BE8"/>
    <w:rsid w:val="003A274F"/>
    <w:rsid w:val="003D552B"/>
    <w:rsid w:val="0040183E"/>
    <w:rsid w:val="00404678"/>
    <w:rsid w:val="00415640"/>
    <w:rsid w:val="00431AD7"/>
    <w:rsid w:val="00437DFC"/>
    <w:rsid w:val="00442F9A"/>
    <w:rsid w:val="00470A28"/>
    <w:rsid w:val="0048092C"/>
    <w:rsid w:val="00497AF2"/>
    <w:rsid w:val="004B2C1A"/>
    <w:rsid w:val="004B5F69"/>
    <w:rsid w:val="00505861"/>
    <w:rsid w:val="005210D4"/>
    <w:rsid w:val="0052681E"/>
    <w:rsid w:val="00552953"/>
    <w:rsid w:val="005A3D16"/>
    <w:rsid w:val="005A60C3"/>
    <w:rsid w:val="005E312C"/>
    <w:rsid w:val="005F0A0F"/>
    <w:rsid w:val="005F37A5"/>
    <w:rsid w:val="005F7397"/>
    <w:rsid w:val="0062693A"/>
    <w:rsid w:val="00662428"/>
    <w:rsid w:val="0067178A"/>
    <w:rsid w:val="006840D5"/>
    <w:rsid w:val="006C60B4"/>
    <w:rsid w:val="006C707D"/>
    <w:rsid w:val="006D07EC"/>
    <w:rsid w:val="007102D8"/>
    <w:rsid w:val="00727DFE"/>
    <w:rsid w:val="00740EF7"/>
    <w:rsid w:val="00741CD5"/>
    <w:rsid w:val="00753167"/>
    <w:rsid w:val="00756EE5"/>
    <w:rsid w:val="00781A65"/>
    <w:rsid w:val="00785F83"/>
    <w:rsid w:val="00795B59"/>
    <w:rsid w:val="007A79CB"/>
    <w:rsid w:val="007B0918"/>
    <w:rsid w:val="007B78FE"/>
    <w:rsid w:val="007C6077"/>
    <w:rsid w:val="007C6261"/>
    <w:rsid w:val="007C781D"/>
    <w:rsid w:val="007D61D0"/>
    <w:rsid w:val="00817761"/>
    <w:rsid w:val="00832428"/>
    <w:rsid w:val="00843486"/>
    <w:rsid w:val="00872DA3"/>
    <w:rsid w:val="008C76C9"/>
    <w:rsid w:val="00911E6C"/>
    <w:rsid w:val="0093122D"/>
    <w:rsid w:val="009333E2"/>
    <w:rsid w:val="00954F95"/>
    <w:rsid w:val="009665E3"/>
    <w:rsid w:val="0098280B"/>
    <w:rsid w:val="009C2393"/>
    <w:rsid w:val="00A16584"/>
    <w:rsid w:val="00A3508A"/>
    <w:rsid w:val="00AA69D8"/>
    <w:rsid w:val="00AB35A3"/>
    <w:rsid w:val="00AB413B"/>
    <w:rsid w:val="00AF027A"/>
    <w:rsid w:val="00AF4040"/>
    <w:rsid w:val="00B06C44"/>
    <w:rsid w:val="00B217B3"/>
    <w:rsid w:val="00B304E0"/>
    <w:rsid w:val="00B40521"/>
    <w:rsid w:val="00B434CC"/>
    <w:rsid w:val="00B74F6B"/>
    <w:rsid w:val="00B8238A"/>
    <w:rsid w:val="00B87068"/>
    <w:rsid w:val="00BB26B5"/>
    <w:rsid w:val="00C25FE7"/>
    <w:rsid w:val="00C31529"/>
    <w:rsid w:val="00C328A9"/>
    <w:rsid w:val="00C74071"/>
    <w:rsid w:val="00C81795"/>
    <w:rsid w:val="00C932F3"/>
    <w:rsid w:val="00CB6F4D"/>
    <w:rsid w:val="00CC0D8F"/>
    <w:rsid w:val="00CD0ACA"/>
    <w:rsid w:val="00CD0C32"/>
    <w:rsid w:val="00CD3F16"/>
    <w:rsid w:val="00CE2632"/>
    <w:rsid w:val="00D01B8B"/>
    <w:rsid w:val="00D07841"/>
    <w:rsid w:val="00D105DC"/>
    <w:rsid w:val="00D22843"/>
    <w:rsid w:val="00D67232"/>
    <w:rsid w:val="00D67ED8"/>
    <w:rsid w:val="00D71B30"/>
    <w:rsid w:val="00D81D73"/>
    <w:rsid w:val="00D9144F"/>
    <w:rsid w:val="00DD43B8"/>
    <w:rsid w:val="00E34208"/>
    <w:rsid w:val="00E444D1"/>
    <w:rsid w:val="00E53C95"/>
    <w:rsid w:val="00E60E2B"/>
    <w:rsid w:val="00E92339"/>
    <w:rsid w:val="00EA00A6"/>
    <w:rsid w:val="00EB68BC"/>
    <w:rsid w:val="00EB72AE"/>
    <w:rsid w:val="00EC3D1C"/>
    <w:rsid w:val="00EC51D0"/>
    <w:rsid w:val="00F341CD"/>
    <w:rsid w:val="00F44CFD"/>
    <w:rsid w:val="00F53EE5"/>
    <w:rsid w:val="00FF4953"/>
    <w:rsid w:val="77F3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4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D22843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D2284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28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22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D22843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D22843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D2284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284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D2284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D22843"/>
    <w:rPr>
      <w:rFonts w:ascii="Times New Roman" w:eastAsia="宋体" w:hAnsi="Times New Roman" w:cs="Times New Roman"/>
      <w:szCs w:val="24"/>
    </w:rPr>
  </w:style>
  <w:style w:type="character" w:customStyle="1" w:styleId="Char3">
    <w:name w:val="批注主题 Char"/>
    <w:basedOn w:val="Char"/>
    <w:link w:val="a7"/>
    <w:uiPriority w:val="99"/>
    <w:semiHidden/>
    <w:rsid w:val="00D22843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551</Characters>
  <Application>Microsoft Office Word</Application>
  <DocSecurity>4</DocSecurity>
  <Lines>4</Lines>
  <Paragraphs>1</Paragraphs>
  <ScaleCrop>false</ScaleCrop>
  <Company>CNSTOCK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韩子墨</dc:creator>
  <cp:lastModifiedBy>ZHONGM</cp:lastModifiedBy>
  <cp:revision>2</cp:revision>
  <dcterms:created xsi:type="dcterms:W3CDTF">2026-02-13T16:02:00Z</dcterms:created>
  <dcterms:modified xsi:type="dcterms:W3CDTF">2026-02-13T16:02:00Z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9F44DAAA366F422BA877ACCF89F9616F_13</vt:lpwstr>
  </property>
</Properties>
</file>