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D4" w:rsidRPr="00E54848" w:rsidRDefault="009740D4" w:rsidP="0069701B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中欧基金管理有限公司</w:t>
      </w:r>
      <w:r w:rsidR="00E73B8B" w:rsidRPr="00E73B8B">
        <w:rPr>
          <w:rFonts w:ascii="宋体" w:eastAsia="宋体" w:hAnsi="宋体" w:hint="eastAsia"/>
          <w:b/>
          <w:szCs w:val="21"/>
        </w:rPr>
        <w:t>关于</w:t>
      </w:r>
      <w:r w:rsidR="00E54848" w:rsidRPr="00E54848">
        <w:rPr>
          <w:rFonts w:ascii="宋体" w:eastAsia="宋体" w:hAnsi="宋体"/>
          <w:b/>
          <w:szCs w:val="21"/>
        </w:rPr>
        <w:t>中欧盈欣稳健6个月持有期混合型基金中基金</w:t>
      </w:r>
      <w:r w:rsidR="00E54848">
        <w:rPr>
          <w:rFonts w:ascii="宋体" w:eastAsia="宋体" w:hAnsi="宋体" w:hint="eastAsia"/>
          <w:b/>
          <w:szCs w:val="21"/>
        </w:rPr>
        <w:t>（</w:t>
      </w:r>
      <w:r w:rsidR="00E54848">
        <w:rPr>
          <w:rFonts w:ascii="宋体" w:eastAsia="宋体" w:hAnsi="宋体"/>
          <w:b/>
          <w:szCs w:val="21"/>
        </w:rPr>
        <w:t>FOF</w:t>
      </w:r>
      <w:r w:rsidR="00E54848">
        <w:rPr>
          <w:rFonts w:ascii="宋体" w:eastAsia="宋体" w:hAnsi="宋体" w:hint="eastAsia"/>
          <w:b/>
          <w:szCs w:val="21"/>
        </w:rPr>
        <w:t>）</w:t>
      </w:r>
    </w:p>
    <w:p w:rsidR="002E4635" w:rsidRPr="003D4F84" w:rsidRDefault="00AB4FD6" w:rsidP="0069701B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募集规模上限</w:t>
      </w:r>
      <w:r w:rsidR="00E73B8B" w:rsidRPr="00E73B8B">
        <w:rPr>
          <w:rFonts w:ascii="宋体" w:eastAsia="宋体" w:hAnsi="宋体" w:hint="eastAsia"/>
          <w:b/>
          <w:szCs w:val="21"/>
        </w:rPr>
        <w:t>的公告</w:t>
      </w:r>
    </w:p>
    <w:p w:rsidR="0069701B" w:rsidRPr="003D4F84" w:rsidRDefault="0069701B" w:rsidP="0069701B">
      <w:pPr>
        <w:jc w:val="center"/>
        <w:rPr>
          <w:rFonts w:ascii="宋体" w:eastAsia="宋体" w:hAnsi="宋体"/>
          <w:b/>
          <w:szCs w:val="21"/>
        </w:rPr>
      </w:pPr>
    </w:p>
    <w:p w:rsidR="00475276" w:rsidRDefault="00D1477F" w:rsidP="00475276">
      <w:pPr>
        <w:spacing w:line="360" w:lineRule="auto"/>
        <w:ind w:firstLineChars="200" w:firstLine="420"/>
        <w:rPr>
          <w:rFonts w:ascii="宋体" w:eastAsia="宋体" w:hAnsi="宋体"/>
        </w:rPr>
      </w:pPr>
      <w:r w:rsidRPr="00D1477F">
        <w:rPr>
          <w:rFonts w:ascii="宋体" w:eastAsia="宋体" w:hAnsi="宋体" w:hint="eastAsia"/>
          <w:szCs w:val="21"/>
        </w:rPr>
        <w:t>中欧盈欣稳健</w:t>
      </w:r>
      <w:r w:rsidRPr="00D1477F">
        <w:rPr>
          <w:rFonts w:ascii="宋体" w:eastAsia="宋体" w:hAnsi="宋体"/>
          <w:szCs w:val="21"/>
        </w:rPr>
        <w:t>6个月持有期混合型基金中基金（FOF）</w:t>
      </w:r>
      <w:r w:rsidR="00E73B8B" w:rsidRPr="00E73B8B">
        <w:rPr>
          <w:rFonts w:ascii="宋体" w:eastAsia="宋体" w:hAnsi="宋体" w:hint="eastAsia"/>
          <w:szCs w:val="21"/>
        </w:rPr>
        <w:t>（以下简称“本基金”）的募集已获中国证券监督管理委员会（以下简称“中国证监会”）</w:t>
      </w:r>
      <w:r w:rsidR="00E73B8B" w:rsidRPr="00394BAF">
        <w:rPr>
          <w:rFonts w:ascii="宋体" w:eastAsia="宋体" w:hAnsi="宋体" w:hint="eastAsia"/>
          <w:szCs w:val="21"/>
        </w:rPr>
        <w:t>证监许可</w:t>
      </w:r>
      <w:r>
        <w:rPr>
          <w:rFonts w:ascii="宋体" w:eastAsia="宋体" w:hAnsi="宋体"/>
          <w:szCs w:val="21"/>
        </w:rPr>
        <w:t>[2025]1478</w:t>
      </w:r>
      <w:r w:rsidR="00F4145F" w:rsidRPr="00F4145F">
        <w:rPr>
          <w:rFonts w:ascii="宋体" w:eastAsia="宋体" w:hAnsi="宋体"/>
          <w:szCs w:val="21"/>
        </w:rPr>
        <w:t>号</w:t>
      </w:r>
      <w:r w:rsidR="00E73B8B" w:rsidRPr="00394BAF">
        <w:rPr>
          <w:rFonts w:ascii="宋体" w:eastAsia="宋体" w:hAnsi="宋体"/>
          <w:szCs w:val="21"/>
        </w:rPr>
        <w:t>文准予注册。</w:t>
      </w:r>
      <w:r w:rsidR="004B0381" w:rsidRPr="009D0E62">
        <w:rPr>
          <w:rFonts w:ascii="宋体" w:eastAsia="宋体" w:hAnsi="宋体"/>
        </w:rPr>
        <w:t>根据《</w:t>
      </w:r>
      <w:r w:rsidRPr="00D1477F">
        <w:rPr>
          <w:rFonts w:ascii="宋体" w:eastAsia="宋体" w:hAnsi="宋体" w:hint="eastAsia"/>
        </w:rPr>
        <w:t>中欧盈欣稳健</w:t>
      </w:r>
      <w:r w:rsidRPr="00D1477F">
        <w:rPr>
          <w:rFonts w:ascii="宋体" w:eastAsia="宋体" w:hAnsi="宋体"/>
        </w:rPr>
        <w:t>6个月持有期混合型基金中基金（FOF）</w:t>
      </w:r>
      <w:r w:rsidR="00F4145F">
        <w:rPr>
          <w:rFonts w:ascii="宋体" w:eastAsia="宋体" w:hAnsi="宋体" w:hint="eastAsia"/>
        </w:rPr>
        <w:t>基金</w:t>
      </w:r>
      <w:r w:rsidR="004B0381" w:rsidRPr="009D0E62">
        <w:rPr>
          <w:rFonts w:ascii="宋体" w:eastAsia="宋体" w:hAnsi="宋体"/>
        </w:rPr>
        <w:t>份额发售公告》规定，</w:t>
      </w:r>
      <w:r w:rsidR="004B0381" w:rsidRPr="009D0E62">
        <w:rPr>
          <w:rFonts w:ascii="宋体" w:eastAsia="宋体" w:hAnsi="宋体" w:hint="eastAsia"/>
        </w:rPr>
        <w:t>本</w:t>
      </w:r>
      <w:r w:rsidR="004B0381" w:rsidRPr="009D0E62">
        <w:rPr>
          <w:rFonts w:ascii="宋体" w:eastAsia="宋体" w:hAnsi="宋体"/>
        </w:rPr>
        <w:t>基金（</w:t>
      </w:r>
      <w:r w:rsidR="00CD0473">
        <w:rPr>
          <w:rFonts w:ascii="宋体" w:eastAsia="宋体" w:hAnsi="宋体" w:hint="eastAsia"/>
        </w:rPr>
        <w:t>A类</w:t>
      </w:r>
      <w:r w:rsidR="004B0381" w:rsidRPr="009D0E62">
        <w:rPr>
          <w:rFonts w:ascii="宋体" w:eastAsia="宋体" w:hAnsi="宋体"/>
        </w:rPr>
        <w:t>：</w:t>
      </w:r>
      <w:r w:rsidR="00F4145F" w:rsidRPr="00F4145F">
        <w:rPr>
          <w:rFonts w:ascii="宋体" w:eastAsia="宋体" w:hAnsi="宋体"/>
        </w:rPr>
        <w:t>02</w:t>
      </w:r>
      <w:r w:rsidR="00CD0473">
        <w:rPr>
          <w:rFonts w:ascii="宋体" w:eastAsia="宋体" w:hAnsi="宋体"/>
        </w:rPr>
        <w:t>5218</w:t>
      </w:r>
      <w:r w:rsidR="00CD0473">
        <w:rPr>
          <w:rFonts w:ascii="宋体" w:eastAsia="宋体" w:hAnsi="宋体" w:hint="eastAsia"/>
        </w:rPr>
        <w:t>，C类：0</w:t>
      </w:r>
      <w:r w:rsidR="00CD0473">
        <w:rPr>
          <w:rFonts w:ascii="宋体" w:eastAsia="宋体" w:hAnsi="宋体"/>
        </w:rPr>
        <w:t>25219</w:t>
      </w:r>
      <w:r w:rsidR="00F3452C">
        <w:rPr>
          <w:rFonts w:ascii="宋体" w:eastAsia="宋体" w:hAnsi="宋体"/>
        </w:rPr>
        <w:t>）</w:t>
      </w:r>
      <w:r w:rsidR="004B0381" w:rsidRPr="009D0E62">
        <w:rPr>
          <w:rFonts w:ascii="宋体" w:eastAsia="宋体" w:hAnsi="宋体"/>
        </w:rPr>
        <w:t>于</w:t>
      </w:r>
      <w:r w:rsidR="00F3452C">
        <w:rPr>
          <w:rFonts w:ascii="宋体" w:eastAsia="宋体" w:hAnsi="宋体"/>
        </w:rPr>
        <w:t>2026</w:t>
      </w:r>
      <w:r w:rsidR="004B0381" w:rsidRPr="009D0E62">
        <w:rPr>
          <w:rFonts w:ascii="宋体" w:eastAsia="宋体" w:hAnsi="宋体"/>
        </w:rPr>
        <w:t>年</w:t>
      </w:r>
      <w:r w:rsidR="00F3452C">
        <w:rPr>
          <w:rFonts w:ascii="宋体" w:eastAsia="宋体" w:hAnsi="宋体"/>
        </w:rPr>
        <w:t>1</w:t>
      </w:r>
      <w:r w:rsidR="004B0381" w:rsidRPr="009D0E62">
        <w:rPr>
          <w:rFonts w:ascii="宋体" w:eastAsia="宋体" w:hAnsi="宋体"/>
        </w:rPr>
        <w:t>月</w:t>
      </w:r>
      <w:r w:rsidR="00F3452C">
        <w:rPr>
          <w:rFonts w:ascii="宋体" w:eastAsia="宋体" w:hAnsi="宋体"/>
        </w:rPr>
        <w:t>9</w:t>
      </w:r>
      <w:r w:rsidR="004B0381" w:rsidRPr="009D0E62">
        <w:rPr>
          <w:rFonts w:ascii="宋体" w:eastAsia="宋体" w:hAnsi="宋体"/>
        </w:rPr>
        <w:t>日至</w:t>
      </w:r>
      <w:r w:rsidR="00AB4FD6">
        <w:rPr>
          <w:rFonts w:ascii="宋体" w:eastAsia="宋体" w:hAnsi="宋体"/>
        </w:rPr>
        <w:t xml:space="preserve"> 202</w:t>
      </w:r>
      <w:r w:rsidR="00F3452C">
        <w:rPr>
          <w:rFonts w:ascii="宋体" w:eastAsia="宋体" w:hAnsi="宋体"/>
        </w:rPr>
        <w:t>6</w:t>
      </w:r>
      <w:r w:rsidR="004B0381" w:rsidRPr="009D0E62">
        <w:rPr>
          <w:rFonts w:ascii="宋体" w:eastAsia="宋体" w:hAnsi="宋体"/>
        </w:rPr>
        <w:t>年</w:t>
      </w:r>
      <w:r w:rsidR="00F3452C">
        <w:rPr>
          <w:rFonts w:ascii="宋体" w:eastAsia="宋体" w:hAnsi="宋体"/>
        </w:rPr>
        <w:t>4</w:t>
      </w:r>
      <w:r w:rsidR="004B0381" w:rsidRPr="009D0E62">
        <w:rPr>
          <w:rFonts w:ascii="宋体" w:eastAsia="宋体" w:hAnsi="宋体"/>
        </w:rPr>
        <w:t>月</w:t>
      </w:r>
      <w:r w:rsidR="00F4145F">
        <w:rPr>
          <w:rFonts w:ascii="宋体" w:eastAsia="宋体" w:hAnsi="宋体"/>
        </w:rPr>
        <w:t>8</w:t>
      </w:r>
      <w:r w:rsidR="004B0381" w:rsidRPr="009D0E62">
        <w:rPr>
          <w:rFonts w:ascii="宋体" w:eastAsia="宋体" w:hAnsi="宋体"/>
        </w:rPr>
        <w:t>日公开发售</w:t>
      </w:r>
      <w:r w:rsidR="004B0381">
        <w:rPr>
          <w:rFonts w:ascii="宋体" w:eastAsia="宋体" w:hAnsi="宋体" w:hint="eastAsia"/>
        </w:rPr>
        <w:t>。</w:t>
      </w:r>
    </w:p>
    <w:p w:rsidR="00F4145F" w:rsidRPr="00F4145F" w:rsidRDefault="00F4145F" w:rsidP="00F4145F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73B8B">
        <w:rPr>
          <w:rFonts w:ascii="宋体" w:eastAsia="宋体" w:hAnsi="宋体"/>
          <w:szCs w:val="21"/>
        </w:rPr>
        <w:t>为充分保护基金份额持有人利益，做好投资管理和风险控制工作。</w:t>
      </w:r>
      <w:r w:rsidRPr="00F4145F">
        <w:rPr>
          <w:rFonts w:ascii="宋体" w:eastAsia="宋体" w:hAnsi="宋体" w:hint="eastAsia"/>
          <w:szCs w:val="21"/>
        </w:rPr>
        <w:t>本基金首次募集规模上限为</w:t>
      </w:r>
      <w:r w:rsidR="00F3452C">
        <w:rPr>
          <w:rFonts w:ascii="宋体" w:eastAsia="宋体" w:hAnsi="宋体"/>
          <w:szCs w:val="21"/>
        </w:rPr>
        <w:t>7</w:t>
      </w:r>
      <w:r w:rsidRPr="00F4145F">
        <w:rPr>
          <w:rFonts w:ascii="宋体" w:eastAsia="宋体" w:hAnsi="宋体"/>
          <w:szCs w:val="21"/>
        </w:rPr>
        <w:t>0亿元人民币（不含募集期利息，下同）。基金募集过程中，募集规模达到或超过</w:t>
      </w:r>
      <w:r w:rsidR="008C4523">
        <w:rPr>
          <w:rFonts w:ascii="宋体" w:eastAsia="宋体" w:hAnsi="宋体"/>
          <w:szCs w:val="21"/>
        </w:rPr>
        <w:t>7</w:t>
      </w:r>
      <w:r w:rsidRPr="00F4145F">
        <w:rPr>
          <w:rFonts w:ascii="宋体" w:eastAsia="宋体" w:hAnsi="宋体"/>
          <w:szCs w:val="21"/>
        </w:rPr>
        <w:t>0亿元的，基金</w:t>
      </w:r>
      <w:r w:rsidR="008909B7">
        <w:rPr>
          <w:rFonts w:ascii="宋体" w:eastAsia="宋体" w:hAnsi="宋体" w:hint="eastAsia"/>
          <w:szCs w:val="21"/>
        </w:rPr>
        <w:t>可</w:t>
      </w:r>
      <w:r w:rsidRPr="00F4145F">
        <w:rPr>
          <w:rFonts w:ascii="宋体" w:eastAsia="宋体" w:hAnsi="宋体"/>
          <w:szCs w:val="21"/>
        </w:rPr>
        <w:t>提前结束募集。</w:t>
      </w:r>
      <w:r w:rsidR="005E3D4B">
        <w:rPr>
          <w:rFonts w:ascii="宋体" w:eastAsia="宋体" w:hAnsi="宋体" w:hint="eastAsia"/>
          <w:szCs w:val="21"/>
        </w:rPr>
        <w:t>此外，本基金</w:t>
      </w:r>
      <w:r w:rsidR="00370119" w:rsidRPr="00370119">
        <w:rPr>
          <w:rFonts w:ascii="宋体" w:eastAsia="宋体" w:hAnsi="宋体" w:hint="eastAsia"/>
          <w:szCs w:val="21"/>
        </w:rPr>
        <w:t>基金管理人</w:t>
      </w:r>
      <w:r w:rsidR="005E3D4B">
        <w:rPr>
          <w:rFonts w:ascii="宋体" w:eastAsia="宋体" w:hAnsi="宋体" w:hint="eastAsia"/>
          <w:szCs w:val="21"/>
        </w:rPr>
        <w:t>亦有权</w:t>
      </w:r>
      <w:r w:rsidR="00370119" w:rsidRPr="00370119">
        <w:rPr>
          <w:rFonts w:ascii="宋体" w:eastAsia="宋体" w:hAnsi="宋体" w:hint="eastAsia"/>
          <w:szCs w:val="21"/>
        </w:rPr>
        <w:t>根据</w:t>
      </w:r>
      <w:r w:rsidR="005E3D4B">
        <w:rPr>
          <w:rFonts w:ascii="宋体" w:eastAsia="宋体" w:hAnsi="宋体" w:hint="eastAsia"/>
          <w:szCs w:val="21"/>
        </w:rPr>
        <w:t>市场情况、</w:t>
      </w:r>
      <w:r w:rsidR="00370119" w:rsidRPr="00370119">
        <w:rPr>
          <w:rFonts w:ascii="宋体" w:eastAsia="宋体" w:hAnsi="宋体" w:hint="eastAsia"/>
          <w:szCs w:val="21"/>
        </w:rPr>
        <w:t>基金销售情况</w:t>
      </w:r>
      <w:r w:rsidR="008909B7" w:rsidRPr="008909B7">
        <w:rPr>
          <w:rFonts w:ascii="宋体" w:eastAsia="宋体" w:hAnsi="宋体" w:hint="eastAsia"/>
          <w:szCs w:val="21"/>
        </w:rPr>
        <w:t>在募集规模未达</w:t>
      </w:r>
      <w:r w:rsidR="005E3D4B">
        <w:rPr>
          <w:rFonts w:ascii="宋体" w:eastAsia="宋体" w:hAnsi="宋体" w:hint="eastAsia"/>
          <w:szCs w:val="21"/>
        </w:rPr>
        <w:t>前述</w:t>
      </w:r>
      <w:r w:rsidR="00B36E43">
        <w:rPr>
          <w:rFonts w:ascii="宋体" w:eastAsia="宋体" w:hAnsi="宋体" w:hint="eastAsia"/>
          <w:szCs w:val="21"/>
        </w:rPr>
        <w:t>规模</w:t>
      </w:r>
      <w:r w:rsidR="008909B7" w:rsidRPr="008909B7">
        <w:rPr>
          <w:rFonts w:ascii="宋体" w:eastAsia="宋体" w:hAnsi="宋体"/>
          <w:szCs w:val="21"/>
        </w:rPr>
        <w:t>上限时提前结束本次募集</w:t>
      </w:r>
      <w:r w:rsidR="001F6C13">
        <w:rPr>
          <w:rFonts w:ascii="宋体" w:eastAsia="宋体" w:hAnsi="宋体" w:hint="eastAsia"/>
          <w:szCs w:val="21"/>
        </w:rPr>
        <w:t>，并及时公告</w:t>
      </w:r>
      <w:r w:rsidR="00370119">
        <w:rPr>
          <w:rFonts w:ascii="宋体" w:eastAsia="宋体" w:hAnsi="宋体" w:hint="eastAsia"/>
          <w:szCs w:val="21"/>
        </w:rPr>
        <w:t>。</w:t>
      </w:r>
    </w:p>
    <w:p w:rsidR="00F4145F" w:rsidRPr="00F4145F" w:rsidRDefault="00F4145F" w:rsidP="00F4145F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145F">
        <w:rPr>
          <w:rFonts w:ascii="宋体" w:eastAsia="宋体" w:hAnsi="宋体" w:hint="eastAsia"/>
          <w:szCs w:val="21"/>
        </w:rPr>
        <w:t>在募集期内任何一天（含第一天）当日募集截止时间后累计有效认购申请金额（不包括利息，下同）合计超过</w:t>
      </w:r>
      <w:r w:rsidR="008C4523">
        <w:rPr>
          <w:rFonts w:ascii="宋体" w:eastAsia="宋体" w:hAnsi="宋体"/>
          <w:szCs w:val="21"/>
        </w:rPr>
        <w:t>7</w:t>
      </w:r>
      <w:r w:rsidRPr="00F4145F">
        <w:rPr>
          <w:rFonts w:ascii="宋体" w:eastAsia="宋体" w:hAnsi="宋体"/>
          <w:szCs w:val="21"/>
        </w:rPr>
        <w:t>0亿元，基金管理人将采取末日比例确认的方式实现规模的有效控制。当发生末日比例确认时，基金管理人将及时公告比例确认情况与结果。未确认部分的认购款项将在募集期结束后退还给投资者，由此产生的损失由投资者自行承担。</w:t>
      </w:r>
    </w:p>
    <w:p w:rsidR="00F4145F" w:rsidRDefault="00F4145F" w:rsidP="00F4145F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145F">
        <w:rPr>
          <w:rFonts w:ascii="宋体" w:eastAsia="宋体" w:hAnsi="宋体" w:hint="eastAsia"/>
          <w:szCs w:val="21"/>
        </w:rPr>
        <w:t>当发生部分确认时，当日投资者认购费率按照</w:t>
      </w:r>
      <w:r w:rsidR="001F6C13">
        <w:rPr>
          <w:rFonts w:ascii="宋体" w:eastAsia="宋体" w:hAnsi="宋体" w:hint="eastAsia"/>
          <w:szCs w:val="21"/>
        </w:rPr>
        <w:t>末日比例</w:t>
      </w:r>
      <w:r w:rsidR="000B12F5">
        <w:rPr>
          <w:rFonts w:ascii="宋体" w:eastAsia="宋体" w:hAnsi="宋体" w:hint="eastAsia"/>
          <w:szCs w:val="21"/>
        </w:rPr>
        <w:t>配售</w:t>
      </w:r>
      <w:r w:rsidR="001F6C13">
        <w:rPr>
          <w:rFonts w:ascii="宋体" w:eastAsia="宋体" w:hAnsi="宋体" w:hint="eastAsia"/>
          <w:szCs w:val="21"/>
        </w:rPr>
        <w:t>前</w:t>
      </w:r>
      <w:r w:rsidR="000B12F5">
        <w:rPr>
          <w:rFonts w:ascii="宋体" w:eastAsia="宋体" w:hAnsi="宋体" w:hint="eastAsia"/>
          <w:szCs w:val="21"/>
        </w:rPr>
        <w:t>的</w:t>
      </w:r>
      <w:r w:rsidR="00C22845" w:rsidRPr="00C22845">
        <w:rPr>
          <w:rFonts w:ascii="宋体" w:eastAsia="宋体" w:hAnsi="宋体" w:hint="eastAsia"/>
          <w:szCs w:val="21"/>
        </w:rPr>
        <w:t>单笔认购申请金额</w:t>
      </w:r>
      <w:r w:rsidRPr="00F4145F">
        <w:rPr>
          <w:rFonts w:ascii="宋体" w:eastAsia="宋体" w:hAnsi="宋体" w:hint="eastAsia"/>
          <w:szCs w:val="21"/>
        </w:rPr>
        <w:t>所对应的费率计算，当日投资者认购申请确认金额不受认购最低限额的限制。最终认购申请确认结果以本基金登记机构的计算并确认的结果为准。</w:t>
      </w:r>
    </w:p>
    <w:p w:rsidR="00C86426" w:rsidRPr="00C86426" w:rsidRDefault="00C86426" w:rsidP="00F4145F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C86426">
        <w:rPr>
          <w:rFonts w:ascii="宋体" w:eastAsia="宋体" w:hAnsi="宋体" w:hint="eastAsia"/>
          <w:szCs w:val="21"/>
        </w:rPr>
        <w:t>本基金设置首次募集规模上限，基金合同生效后不受此募集规模的限制。</w:t>
      </w:r>
    </w:p>
    <w:p w:rsidR="00E73B8B" w:rsidRDefault="00E73B8B" w:rsidP="00B602F9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73B8B">
        <w:rPr>
          <w:rFonts w:ascii="宋体" w:eastAsia="宋体" w:hAnsi="宋体"/>
          <w:szCs w:val="21"/>
        </w:rPr>
        <w:t>在募集期间，本基金将通过本公司在官方网站公示的基金销售机构进行公开发售，欢迎广大投资者到本基金的销售网点咨询、认购。销售机构对认购申请的受理并不代表该申请一定成功，而仅代表销售机构确实接收到认购申请。认购的确认以登记机构的确认结果为准。对于认购申请及认购份额的确认情况，投资人应及时查询并妥善行使合法权利，否则，由此产生的投资人任何损失由投资人自行承担。</w:t>
      </w:r>
    </w:p>
    <w:p w:rsidR="007B7C22" w:rsidRDefault="007B7C22" w:rsidP="00B602F9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7B7C22" w:rsidRPr="00E73B8B" w:rsidRDefault="007B7C22" w:rsidP="00B602F9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特此公告。</w:t>
      </w:r>
    </w:p>
    <w:p w:rsidR="00E73B8B" w:rsidRDefault="00E73B8B" w:rsidP="00AF1493">
      <w:pPr>
        <w:spacing w:line="360" w:lineRule="auto"/>
        <w:jc w:val="right"/>
        <w:rPr>
          <w:rFonts w:ascii="宋体" w:eastAsia="宋体" w:hAnsi="宋体"/>
          <w:szCs w:val="21"/>
        </w:rPr>
      </w:pPr>
    </w:p>
    <w:p w:rsidR="00AF1493" w:rsidRPr="003D4F84" w:rsidRDefault="00AF1493" w:rsidP="00AF1493">
      <w:pPr>
        <w:spacing w:line="360" w:lineRule="auto"/>
        <w:jc w:val="right"/>
        <w:rPr>
          <w:rFonts w:ascii="宋体" w:eastAsia="宋体" w:hAnsi="宋体"/>
          <w:szCs w:val="21"/>
        </w:rPr>
      </w:pPr>
      <w:r w:rsidRPr="003D4F84">
        <w:rPr>
          <w:rFonts w:ascii="宋体" w:eastAsia="宋体" w:hAnsi="宋体" w:hint="eastAsia"/>
          <w:szCs w:val="21"/>
        </w:rPr>
        <w:t>中欧</w:t>
      </w:r>
      <w:r w:rsidRPr="003D4F84">
        <w:rPr>
          <w:rFonts w:ascii="宋体" w:eastAsia="宋体" w:hAnsi="宋体"/>
          <w:szCs w:val="21"/>
        </w:rPr>
        <w:t>基金管理有限公司</w:t>
      </w:r>
    </w:p>
    <w:p w:rsidR="00AF1493" w:rsidRPr="0069701B" w:rsidRDefault="008C4523" w:rsidP="009573EA">
      <w:pPr>
        <w:spacing w:line="360" w:lineRule="auto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2026</w:t>
      </w:r>
      <w:r w:rsidR="00821E52" w:rsidRPr="003D4F84">
        <w:rPr>
          <w:rFonts w:ascii="宋体" w:eastAsia="宋体" w:hAnsi="宋体"/>
          <w:szCs w:val="21"/>
        </w:rPr>
        <w:t>年</w:t>
      </w:r>
      <w:r>
        <w:rPr>
          <w:rFonts w:ascii="宋体" w:eastAsia="宋体" w:hAnsi="宋体"/>
          <w:szCs w:val="21"/>
        </w:rPr>
        <w:t>2</w:t>
      </w:r>
      <w:r w:rsidR="00AF1493" w:rsidRPr="003D4F84">
        <w:rPr>
          <w:rFonts w:ascii="宋体" w:eastAsia="宋体" w:hAnsi="宋体" w:hint="eastAsia"/>
          <w:szCs w:val="21"/>
        </w:rPr>
        <w:t>月</w:t>
      </w:r>
      <w:bookmarkStart w:id="0" w:name="_GoBack"/>
      <w:r w:rsidR="008A208B">
        <w:rPr>
          <w:rFonts w:ascii="宋体" w:eastAsia="宋体" w:hAnsi="宋体"/>
          <w:szCs w:val="21"/>
        </w:rPr>
        <w:t>14</w:t>
      </w:r>
      <w:bookmarkEnd w:id="0"/>
      <w:r w:rsidR="00AF1493" w:rsidRPr="003D4F84">
        <w:rPr>
          <w:rFonts w:ascii="宋体" w:eastAsia="宋体" w:hAnsi="宋体" w:hint="eastAsia"/>
          <w:szCs w:val="21"/>
        </w:rPr>
        <w:t>日</w:t>
      </w:r>
    </w:p>
    <w:sectPr w:rsidR="00AF1493" w:rsidRPr="0069701B" w:rsidSect="00A74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88177" w16cex:dateUtc="2026-02-12T0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7BC4BD" w16cid:durableId="2D386B18"/>
  <w16cid:commentId w16cid:paraId="163FD6A2" w16cid:durableId="2D38817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108" w:rsidRDefault="00DF0108" w:rsidP="008209FA">
      <w:r>
        <w:separator/>
      </w:r>
    </w:p>
  </w:endnote>
  <w:endnote w:type="continuationSeparator" w:id="0">
    <w:p w:rsidR="00DF0108" w:rsidRDefault="00DF0108" w:rsidP="00820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108" w:rsidRDefault="00DF0108" w:rsidP="008209FA">
      <w:r>
        <w:separator/>
      </w:r>
    </w:p>
  </w:footnote>
  <w:footnote w:type="continuationSeparator" w:id="0">
    <w:p w:rsidR="00DF0108" w:rsidRDefault="00DF0108" w:rsidP="008209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748"/>
    <w:rsid w:val="00002DDA"/>
    <w:rsid w:val="00012991"/>
    <w:rsid w:val="00017182"/>
    <w:rsid w:val="00025CC2"/>
    <w:rsid w:val="00076230"/>
    <w:rsid w:val="000800B3"/>
    <w:rsid w:val="00086D77"/>
    <w:rsid w:val="00095930"/>
    <w:rsid w:val="000B12F5"/>
    <w:rsid w:val="000D3711"/>
    <w:rsid w:val="0013379E"/>
    <w:rsid w:val="00135940"/>
    <w:rsid w:val="00152341"/>
    <w:rsid w:val="0016501B"/>
    <w:rsid w:val="00191343"/>
    <w:rsid w:val="00195712"/>
    <w:rsid w:val="001E1498"/>
    <w:rsid w:val="001E2894"/>
    <w:rsid w:val="001F63C2"/>
    <w:rsid w:val="001F6C13"/>
    <w:rsid w:val="002075C6"/>
    <w:rsid w:val="00210091"/>
    <w:rsid w:val="00242713"/>
    <w:rsid w:val="00255279"/>
    <w:rsid w:val="00277290"/>
    <w:rsid w:val="0029012C"/>
    <w:rsid w:val="00291B96"/>
    <w:rsid w:val="00291DAE"/>
    <w:rsid w:val="002A239D"/>
    <w:rsid w:val="002C4351"/>
    <w:rsid w:val="002D78FA"/>
    <w:rsid w:val="002E3CC4"/>
    <w:rsid w:val="002F4CDC"/>
    <w:rsid w:val="003272A0"/>
    <w:rsid w:val="00370119"/>
    <w:rsid w:val="00376E79"/>
    <w:rsid w:val="00394BAF"/>
    <w:rsid w:val="0039715A"/>
    <w:rsid w:val="003A4781"/>
    <w:rsid w:val="003D4F84"/>
    <w:rsid w:val="003F1588"/>
    <w:rsid w:val="003F378F"/>
    <w:rsid w:val="00415AB8"/>
    <w:rsid w:val="0043138B"/>
    <w:rsid w:val="00464C79"/>
    <w:rsid w:val="00475276"/>
    <w:rsid w:val="004772BC"/>
    <w:rsid w:val="004B0381"/>
    <w:rsid w:val="004C2844"/>
    <w:rsid w:val="00505930"/>
    <w:rsid w:val="005253D0"/>
    <w:rsid w:val="00557EC6"/>
    <w:rsid w:val="005838BE"/>
    <w:rsid w:val="00584454"/>
    <w:rsid w:val="0058578C"/>
    <w:rsid w:val="00590303"/>
    <w:rsid w:val="005903B1"/>
    <w:rsid w:val="005B041A"/>
    <w:rsid w:val="005B5DCC"/>
    <w:rsid w:val="005C4C86"/>
    <w:rsid w:val="005D0730"/>
    <w:rsid w:val="005E3D4B"/>
    <w:rsid w:val="005E78D2"/>
    <w:rsid w:val="005F40D5"/>
    <w:rsid w:val="005F647A"/>
    <w:rsid w:val="0064237C"/>
    <w:rsid w:val="006638E6"/>
    <w:rsid w:val="00680223"/>
    <w:rsid w:val="006813E8"/>
    <w:rsid w:val="0069701B"/>
    <w:rsid w:val="006A1997"/>
    <w:rsid w:val="006A446B"/>
    <w:rsid w:val="006B10F2"/>
    <w:rsid w:val="00701873"/>
    <w:rsid w:val="00701B01"/>
    <w:rsid w:val="0073016D"/>
    <w:rsid w:val="007554BB"/>
    <w:rsid w:val="00762AA0"/>
    <w:rsid w:val="00770525"/>
    <w:rsid w:val="00774E5E"/>
    <w:rsid w:val="007973CE"/>
    <w:rsid w:val="007B7C22"/>
    <w:rsid w:val="007D244C"/>
    <w:rsid w:val="008207ED"/>
    <w:rsid w:val="008209FA"/>
    <w:rsid w:val="00821E52"/>
    <w:rsid w:val="00823108"/>
    <w:rsid w:val="008309B0"/>
    <w:rsid w:val="00851CB3"/>
    <w:rsid w:val="00864239"/>
    <w:rsid w:val="00870A53"/>
    <w:rsid w:val="0088305E"/>
    <w:rsid w:val="008909B7"/>
    <w:rsid w:val="008A208B"/>
    <w:rsid w:val="008B6748"/>
    <w:rsid w:val="008C4523"/>
    <w:rsid w:val="008D3C91"/>
    <w:rsid w:val="00902650"/>
    <w:rsid w:val="0092719B"/>
    <w:rsid w:val="009573EA"/>
    <w:rsid w:val="00960428"/>
    <w:rsid w:val="00965F53"/>
    <w:rsid w:val="00967712"/>
    <w:rsid w:val="009740D4"/>
    <w:rsid w:val="009A2F27"/>
    <w:rsid w:val="009C0464"/>
    <w:rsid w:val="009D0E62"/>
    <w:rsid w:val="009D53E5"/>
    <w:rsid w:val="00A0239F"/>
    <w:rsid w:val="00A74646"/>
    <w:rsid w:val="00A775D8"/>
    <w:rsid w:val="00AA0D6D"/>
    <w:rsid w:val="00AA75BE"/>
    <w:rsid w:val="00AB3B8E"/>
    <w:rsid w:val="00AB4FD6"/>
    <w:rsid w:val="00AD2551"/>
    <w:rsid w:val="00AF1493"/>
    <w:rsid w:val="00AF2857"/>
    <w:rsid w:val="00AF6A1C"/>
    <w:rsid w:val="00B14FE8"/>
    <w:rsid w:val="00B36E43"/>
    <w:rsid w:val="00B602F9"/>
    <w:rsid w:val="00B62FB8"/>
    <w:rsid w:val="00B6574B"/>
    <w:rsid w:val="00B73C68"/>
    <w:rsid w:val="00C0427D"/>
    <w:rsid w:val="00C22845"/>
    <w:rsid w:val="00C26700"/>
    <w:rsid w:val="00C52E6B"/>
    <w:rsid w:val="00C64ED9"/>
    <w:rsid w:val="00C66D06"/>
    <w:rsid w:val="00C81F2A"/>
    <w:rsid w:val="00C86426"/>
    <w:rsid w:val="00CA3E89"/>
    <w:rsid w:val="00CB333B"/>
    <w:rsid w:val="00CC6BAC"/>
    <w:rsid w:val="00CD0473"/>
    <w:rsid w:val="00D13471"/>
    <w:rsid w:val="00D1477F"/>
    <w:rsid w:val="00D16DF8"/>
    <w:rsid w:val="00D43491"/>
    <w:rsid w:val="00D44D91"/>
    <w:rsid w:val="00D9202B"/>
    <w:rsid w:val="00DC296B"/>
    <w:rsid w:val="00DC577B"/>
    <w:rsid w:val="00DD141F"/>
    <w:rsid w:val="00DE0F5F"/>
    <w:rsid w:val="00DE5624"/>
    <w:rsid w:val="00DF0108"/>
    <w:rsid w:val="00DF389F"/>
    <w:rsid w:val="00E14760"/>
    <w:rsid w:val="00E43FAA"/>
    <w:rsid w:val="00E5272B"/>
    <w:rsid w:val="00E54848"/>
    <w:rsid w:val="00E66378"/>
    <w:rsid w:val="00E73B8B"/>
    <w:rsid w:val="00E812A1"/>
    <w:rsid w:val="00EF25AD"/>
    <w:rsid w:val="00F16391"/>
    <w:rsid w:val="00F2747B"/>
    <w:rsid w:val="00F33412"/>
    <w:rsid w:val="00F3452C"/>
    <w:rsid w:val="00F40D20"/>
    <w:rsid w:val="00F40FB8"/>
    <w:rsid w:val="00F4145F"/>
    <w:rsid w:val="00F454CF"/>
    <w:rsid w:val="00F6566E"/>
    <w:rsid w:val="00FA41A7"/>
    <w:rsid w:val="00FD7051"/>
    <w:rsid w:val="00FE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9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9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8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84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74E5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774E5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774E5E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774E5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774E5E"/>
    <w:rPr>
      <w:b/>
      <w:bCs/>
    </w:rPr>
  </w:style>
  <w:style w:type="paragraph" w:customStyle="1" w:styleId="Default">
    <w:name w:val="Default"/>
    <w:rsid w:val="00774E5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25527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4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沈轶超（业务发展部）</dc:creator>
  <cp:lastModifiedBy>ZHONGM</cp:lastModifiedBy>
  <cp:revision>2</cp:revision>
  <cp:lastPrinted>2019-03-27T02:33:00Z</cp:lastPrinted>
  <dcterms:created xsi:type="dcterms:W3CDTF">2026-02-13T16:00:00Z</dcterms:created>
  <dcterms:modified xsi:type="dcterms:W3CDTF">2026-02-13T16:00:00Z</dcterms:modified>
</cp:coreProperties>
</file>