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6C" w:rsidRPr="0088661B" w:rsidRDefault="00F04656">
      <w:pPr>
        <w:widowControl/>
        <w:jc w:val="center"/>
        <w:rPr>
          <w:rFonts w:asciiTheme="minorEastAsia" w:eastAsiaTheme="minorEastAsia" w:hAnsiTheme="minorEastAsia" w:cs="宋体"/>
          <w:b/>
          <w:kern w:val="0"/>
          <w:sz w:val="28"/>
          <w:szCs w:val="28"/>
        </w:rPr>
      </w:pPr>
      <w:r w:rsidRPr="0088661B">
        <w:rPr>
          <w:rFonts w:asciiTheme="minorEastAsia" w:eastAsiaTheme="minorEastAsia" w:hAnsiTheme="minorEastAsia" w:cs="宋体" w:hint="eastAsia"/>
          <w:b/>
          <w:kern w:val="0"/>
          <w:sz w:val="28"/>
          <w:szCs w:val="28"/>
        </w:rPr>
        <w:t>关于国泰富时中国</w:t>
      </w:r>
      <w:r w:rsidRPr="0088661B">
        <w:rPr>
          <w:rFonts w:asciiTheme="minorEastAsia" w:eastAsiaTheme="minorEastAsia" w:hAnsiTheme="minorEastAsia" w:cs="宋体"/>
          <w:b/>
          <w:kern w:val="0"/>
          <w:sz w:val="28"/>
          <w:szCs w:val="28"/>
        </w:rPr>
        <w:t>A股自由现金流聚焦交易型开放式指数证券投资基金发起式联接基金暂停大额申购、定期定额</w:t>
      </w:r>
      <w:r w:rsidRPr="0088661B">
        <w:rPr>
          <w:rFonts w:asciiTheme="minorEastAsia" w:eastAsiaTheme="minorEastAsia" w:hAnsiTheme="minorEastAsia" w:cs="宋体" w:hint="eastAsia"/>
          <w:b/>
          <w:kern w:val="0"/>
          <w:sz w:val="28"/>
          <w:szCs w:val="28"/>
        </w:rPr>
        <w:t>投资及转换转入业务的公告</w:t>
      </w:r>
    </w:p>
    <w:p w:rsidR="0020796C" w:rsidRPr="0088661B" w:rsidRDefault="00F04656">
      <w:pPr>
        <w:spacing w:line="560" w:lineRule="exact"/>
        <w:jc w:val="cente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公告送出日期：</w:t>
      </w:r>
      <w:r w:rsidR="00CF7AD8">
        <w:rPr>
          <w:rFonts w:asciiTheme="minorEastAsia" w:eastAsiaTheme="minorEastAsia" w:hAnsiTheme="minorEastAsia" w:cs="宋体"/>
          <w:bCs/>
          <w:sz w:val="21"/>
          <w:szCs w:val="21"/>
        </w:rPr>
        <w:t>2026年</w:t>
      </w:r>
      <w:r w:rsidR="00AA30D9">
        <w:rPr>
          <w:rFonts w:asciiTheme="minorEastAsia" w:eastAsiaTheme="minorEastAsia" w:hAnsiTheme="minorEastAsia" w:cs="宋体"/>
          <w:bCs/>
          <w:sz w:val="21"/>
          <w:szCs w:val="21"/>
        </w:rPr>
        <w:t>2</w:t>
      </w:r>
      <w:r w:rsidR="00CF7AD8">
        <w:rPr>
          <w:rFonts w:asciiTheme="minorEastAsia" w:eastAsiaTheme="minorEastAsia" w:hAnsiTheme="minorEastAsia" w:cs="宋体"/>
          <w:bCs/>
          <w:sz w:val="21"/>
          <w:szCs w:val="21"/>
        </w:rPr>
        <w:t>月</w:t>
      </w:r>
      <w:r w:rsidR="00AA30D9">
        <w:rPr>
          <w:rFonts w:asciiTheme="minorEastAsia" w:eastAsiaTheme="minorEastAsia" w:hAnsiTheme="minorEastAsia" w:cs="宋体"/>
          <w:bCs/>
          <w:sz w:val="21"/>
          <w:szCs w:val="21"/>
        </w:rPr>
        <w:t>14</w:t>
      </w:r>
      <w:r w:rsidR="00CF7AD8">
        <w:rPr>
          <w:rFonts w:asciiTheme="minorEastAsia" w:eastAsiaTheme="minorEastAsia" w:hAnsiTheme="minorEastAsia" w:cs="宋体"/>
          <w:bCs/>
          <w:sz w:val="21"/>
          <w:szCs w:val="21"/>
        </w:rPr>
        <w:t>日</w:t>
      </w:r>
    </w:p>
    <w:p w:rsidR="0020796C" w:rsidRPr="0088661B" w:rsidRDefault="00F04656">
      <w:pPr>
        <w:pStyle w:val="2"/>
        <w:spacing w:line="560" w:lineRule="exact"/>
        <w:rPr>
          <w:rFonts w:asciiTheme="minorEastAsia" w:eastAsiaTheme="minorEastAsia" w:hAnsiTheme="minorEastAsia"/>
          <w:bCs w:val="0"/>
          <w:color w:val="000000"/>
          <w:sz w:val="21"/>
          <w:szCs w:val="21"/>
        </w:rPr>
      </w:pPr>
      <w:bookmarkStart w:id="0" w:name="_Toc275961405"/>
      <w:r w:rsidRPr="0088661B">
        <w:rPr>
          <w:rFonts w:asciiTheme="minorEastAsia" w:eastAsiaTheme="minorEastAsia" w:hAnsiTheme="minorEastAsia"/>
          <w:bCs w:val="0"/>
          <w:color w:val="000000"/>
          <w:sz w:val="21"/>
          <w:szCs w:val="21"/>
        </w:rPr>
        <w:t>1 公告基本信息</w:t>
      </w:r>
      <w:bookmarkEnd w:id="0"/>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3"/>
        <w:gridCol w:w="3312"/>
        <w:gridCol w:w="3354"/>
      </w:tblGrid>
      <w:tr w:rsidR="0020796C" w:rsidTr="0088661B">
        <w:trPr>
          <w:jc w:val="center"/>
        </w:trPr>
        <w:tc>
          <w:tcPr>
            <w:tcW w:w="3063" w:type="dxa"/>
          </w:tcPr>
          <w:p w:rsidR="0020796C" w:rsidRPr="0088661B" w:rsidRDefault="00F04656">
            <w:pPr>
              <w:rPr>
                <w:rFonts w:asciiTheme="minorEastAsia" w:eastAsiaTheme="minorEastAsia" w:hAnsiTheme="minorEastAsia"/>
                <w:color w:val="000000"/>
                <w:sz w:val="21"/>
                <w:szCs w:val="21"/>
                <w:highlight w:val="cyan"/>
              </w:rPr>
            </w:pPr>
            <w:r w:rsidRPr="0088661B">
              <w:rPr>
                <w:rFonts w:asciiTheme="minorEastAsia" w:eastAsiaTheme="minorEastAsia" w:hAnsiTheme="minorEastAsia"/>
                <w:color w:val="000000"/>
                <w:sz w:val="21"/>
                <w:szCs w:val="21"/>
              </w:rPr>
              <w:t>基金名称</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国泰富时中国A股自由现金流聚焦交易型开放式指数证券投资基金发起式联接基金</w:t>
            </w:r>
          </w:p>
        </w:tc>
      </w:tr>
      <w:tr w:rsidR="0020796C" w:rsidTr="0088661B">
        <w:trPr>
          <w:jc w:val="center"/>
        </w:trPr>
        <w:tc>
          <w:tcPr>
            <w:tcW w:w="3063" w:type="dxa"/>
          </w:tcPr>
          <w:p w:rsidR="0020796C" w:rsidRPr="0088661B" w:rsidRDefault="00F04656">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基金简称</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国泰富时中国A股自由现金流聚焦ETF发起联接</w:t>
            </w:r>
          </w:p>
        </w:tc>
      </w:tr>
      <w:tr w:rsidR="0020796C" w:rsidTr="0088661B">
        <w:trPr>
          <w:jc w:val="center"/>
        </w:trPr>
        <w:tc>
          <w:tcPr>
            <w:tcW w:w="3063" w:type="dxa"/>
            <w:vAlign w:val="center"/>
          </w:tcPr>
          <w:p w:rsidR="0020796C" w:rsidRPr="0088661B" w:rsidRDefault="00F04656">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基金主代码</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023919</w:t>
            </w:r>
          </w:p>
        </w:tc>
      </w:tr>
      <w:tr w:rsidR="0020796C" w:rsidTr="0088661B">
        <w:trPr>
          <w:jc w:val="center"/>
        </w:trPr>
        <w:tc>
          <w:tcPr>
            <w:tcW w:w="3063" w:type="dxa"/>
          </w:tcPr>
          <w:p w:rsidR="0020796C" w:rsidRPr="0088661B" w:rsidRDefault="00F04656">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基金管理人名称</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国泰基金管理有限公司</w:t>
            </w:r>
          </w:p>
        </w:tc>
      </w:tr>
      <w:tr w:rsidR="0020796C" w:rsidTr="0088661B">
        <w:trPr>
          <w:jc w:val="center"/>
        </w:trPr>
        <w:tc>
          <w:tcPr>
            <w:tcW w:w="3063" w:type="dxa"/>
          </w:tcPr>
          <w:p w:rsidR="0020796C" w:rsidRPr="0088661B" w:rsidRDefault="00F04656">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公告依据</w:t>
            </w:r>
          </w:p>
        </w:tc>
        <w:tc>
          <w:tcPr>
            <w:tcW w:w="6666" w:type="dxa"/>
            <w:gridSpan w:val="2"/>
            <w:vAlign w:val="center"/>
          </w:tcPr>
          <w:p w:rsidR="0020796C" w:rsidRPr="0088661B" w:rsidRDefault="00F04656">
            <w:pPr>
              <w:rPr>
                <w:rFonts w:asciiTheme="minorEastAsia" w:eastAsiaTheme="minorEastAsia" w:hAnsiTheme="minorEastAsia"/>
                <w:sz w:val="21"/>
                <w:szCs w:val="21"/>
              </w:rPr>
            </w:pPr>
            <w:r w:rsidRPr="0088661B">
              <w:rPr>
                <w:rFonts w:asciiTheme="minorEastAsia" w:eastAsiaTheme="minorEastAsia" w:hAnsiTheme="minorEastAsia"/>
                <w:sz w:val="21"/>
                <w:szCs w:val="21"/>
              </w:rPr>
              <w:t>《公开募集证券投资基金信息披露管理办法》、《国泰富时中国A股自由现金流聚焦交易型开放式指数证券投资基金发起式联接基金基金合同》、《国泰富时中国A股自由现金流聚焦交易型开放式指数证券投资基金发起式联接基金招募说明书》等相关文件的规定。</w:t>
            </w:r>
          </w:p>
        </w:tc>
      </w:tr>
      <w:tr w:rsidR="0020796C" w:rsidTr="0088661B">
        <w:trPr>
          <w:jc w:val="center"/>
        </w:trPr>
        <w:tc>
          <w:tcPr>
            <w:tcW w:w="3063" w:type="dxa"/>
            <w:vMerge w:val="restart"/>
            <w:vAlign w:val="center"/>
          </w:tcPr>
          <w:p w:rsidR="0020796C" w:rsidRPr="0088661B" w:rsidRDefault="00F04656">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暂停相关业务的起始日、金额及原因说明</w:t>
            </w:r>
          </w:p>
        </w:tc>
        <w:tc>
          <w:tcPr>
            <w:tcW w:w="3312" w:type="dxa"/>
          </w:tcPr>
          <w:p w:rsidR="0020796C" w:rsidRPr="0088661B" w:rsidRDefault="00F04656">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暂停大额申购起始日</w:t>
            </w:r>
          </w:p>
        </w:tc>
        <w:tc>
          <w:tcPr>
            <w:tcW w:w="3354" w:type="dxa"/>
            <w:vAlign w:val="center"/>
          </w:tcPr>
          <w:p w:rsidR="0020796C" w:rsidRPr="0088661B" w:rsidRDefault="00AA30D9" w:rsidP="00A627EA">
            <w:pPr>
              <w:rPr>
                <w:rFonts w:asciiTheme="minorEastAsia" w:eastAsiaTheme="minorEastAsia" w:hAnsiTheme="minorEastAsia"/>
                <w:sz w:val="21"/>
                <w:szCs w:val="21"/>
              </w:rPr>
            </w:pPr>
            <w:r>
              <w:rPr>
                <w:rFonts w:asciiTheme="minorEastAsia" w:eastAsiaTheme="minorEastAsia" w:hAnsiTheme="minorEastAsia"/>
                <w:sz w:val="21"/>
                <w:szCs w:val="21"/>
              </w:rPr>
              <w:t>2026年2月24日</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暂停大额转换转入起始日</w:t>
            </w:r>
          </w:p>
        </w:tc>
        <w:tc>
          <w:tcPr>
            <w:tcW w:w="3354" w:type="dxa"/>
            <w:vAlign w:val="center"/>
          </w:tcPr>
          <w:p w:rsidR="00111C6E" w:rsidRPr="0088661B" w:rsidRDefault="00AA30D9" w:rsidP="00111C6E">
            <w:pPr>
              <w:rPr>
                <w:rFonts w:asciiTheme="minorEastAsia" w:eastAsiaTheme="minorEastAsia" w:hAnsiTheme="minorEastAsia"/>
                <w:sz w:val="21"/>
                <w:szCs w:val="21"/>
              </w:rPr>
            </w:pPr>
            <w:r>
              <w:rPr>
                <w:rFonts w:asciiTheme="minorEastAsia" w:eastAsiaTheme="minorEastAsia" w:hAnsiTheme="minorEastAsia"/>
                <w:sz w:val="21"/>
                <w:szCs w:val="21"/>
              </w:rPr>
              <w:t>2026年2月24日</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暂停</w:t>
            </w:r>
            <w:r w:rsidRPr="0088661B">
              <w:rPr>
                <w:rFonts w:asciiTheme="minorEastAsia" w:eastAsiaTheme="minorEastAsia" w:hAnsiTheme="minorEastAsia" w:hint="eastAsia"/>
                <w:color w:val="000000"/>
                <w:sz w:val="21"/>
                <w:szCs w:val="21"/>
              </w:rPr>
              <w:t>大额</w:t>
            </w:r>
            <w:r w:rsidRPr="0088661B">
              <w:rPr>
                <w:rFonts w:asciiTheme="minorEastAsia" w:eastAsiaTheme="minorEastAsia" w:hAnsiTheme="minorEastAsia"/>
                <w:color w:val="000000"/>
                <w:sz w:val="21"/>
                <w:szCs w:val="21"/>
              </w:rPr>
              <w:t>定期定额投资起始日</w:t>
            </w:r>
          </w:p>
        </w:tc>
        <w:tc>
          <w:tcPr>
            <w:tcW w:w="3354" w:type="dxa"/>
            <w:vAlign w:val="center"/>
          </w:tcPr>
          <w:p w:rsidR="00111C6E" w:rsidRPr="0088661B" w:rsidRDefault="00AA30D9" w:rsidP="00111C6E">
            <w:pPr>
              <w:rPr>
                <w:rFonts w:asciiTheme="minorEastAsia" w:eastAsiaTheme="minorEastAsia" w:hAnsiTheme="minorEastAsia"/>
                <w:sz w:val="21"/>
                <w:szCs w:val="21"/>
              </w:rPr>
            </w:pPr>
            <w:r>
              <w:rPr>
                <w:rFonts w:asciiTheme="minorEastAsia" w:eastAsiaTheme="minorEastAsia" w:hAnsiTheme="minorEastAsia"/>
                <w:sz w:val="21"/>
                <w:szCs w:val="21"/>
              </w:rPr>
              <w:t>2026年2月24日</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限制申购金额（单位：</w:t>
            </w:r>
            <w:r w:rsidRPr="0088661B">
              <w:rPr>
                <w:rFonts w:asciiTheme="minorEastAsia" w:eastAsiaTheme="minorEastAsia" w:hAnsiTheme="minorEastAsia" w:hint="eastAsia"/>
                <w:color w:val="000000"/>
                <w:kern w:val="0"/>
                <w:sz w:val="21"/>
                <w:szCs w:val="21"/>
              </w:rPr>
              <w:t>元</w:t>
            </w:r>
            <w:r w:rsidRPr="0088661B">
              <w:rPr>
                <w:rFonts w:asciiTheme="minorEastAsia" w:eastAsiaTheme="minorEastAsia" w:hAnsiTheme="minorEastAsia"/>
                <w:color w:val="000000"/>
                <w:sz w:val="21"/>
                <w:szCs w:val="21"/>
              </w:rPr>
              <w:t xml:space="preserve"> ）</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10,000,000.00</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color w:val="000000"/>
                <w:sz w:val="21"/>
                <w:szCs w:val="21"/>
              </w:rPr>
              <w:t>限制转换转入金额（单位：</w:t>
            </w:r>
            <w:r w:rsidRPr="0088661B">
              <w:rPr>
                <w:rFonts w:asciiTheme="minorEastAsia" w:eastAsiaTheme="minorEastAsia" w:hAnsiTheme="minorEastAsia" w:hint="eastAsia"/>
                <w:color w:val="000000"/>
                <w:kern w:val="0"/>
                <w:sz w:val="21"/>
                <w:szCs w:val="21"/>
              </w:rPr>
              <w:t>元</w:t>
            </w:r>
            <w:r w:rsidRPr="0088661B">
              <w:rPr>
                <w:rFonts w:asciiTheme="minorEastAsia" w:eastAsiaTheme="minorEastAsia" w:hAnsiTheme="minorEastAsia"/>
                <w:color w:val="000000"/>
                <w:sz w:val="21"/>
                <w:szCs w:val="21"/>
              </w:rPr>
              <w:t xml:space="preserve"> ）</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10,000,000.00</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vAlign w:val="center"/>
          </w:tcPr>
          <w:p w:rsidR="00111C6E" w:rsidRPr="0088661B" w:rsidRDefault="00111C6E" w:rsidP="00111C6E">
            <w:pPr>
              <w:jc w:val="left"/>
              <w:rPr>
                <w:rFonts w:asciiTheme="minorEastAsia" w:eastAsiaTheme="minorEastAsia" w:hAnsiTheme="minorEastAsia"/>
                <w:color w:val="000000"/>
                <w:sz w:val="21"/>
                <w:szCs w:val="21"/>
              </w:rPr>
            </w:pPr>
            <w:r w:rsidRPr="0088661B">
              <w:rPr>
                <w:rFonts w:asciiTheme="minorEastAsia" w:eastAsiaTheme="minorEastAsia" w:hAnsiTheme="minorEastAsia"/>
                <w:sz w:val="21"/>
                <w:szCs w:val="21"/>
              </w:rPr>
              <w:t>限制定期定额投资金额（单位：元）</w:t>
            </w:r>
          </w:p>
        </w:tc>
        <w:tc>
          <w:tcPr>
            <w:tcW w:w="3354" w:type="dxa"/>
            <w:vAlign w:val="center"/>
          </w:tcPr>
          <w:p w:rsidR="00111C6E" w:rsidRPr="0088661B" w:rsidRDefault="00111C6E" w:rsidP="00111C6E">
            <w:pPr>
              <w:jc w:val="left"/>
              <w:rPr>
                <w:rFonts w:asciiTheme="minorEastAsia" w:eastAsiaTheme="minorEastAsia" w:hAnsiTheme="minorEastAsia"/>
                <w:sz w:val="21"/>
                <w:szCs w:val="21"/>
              </w:rPr>
            </w:pPr>
            <w:r w:rsidRPr="0088661B">
              <w:rPr>
                <w:rFonts w:asciiTheme="minorEastAsia" w:eastAsiaTheme="minorEastAsia" w:hAnsiTheme="minorEastAsia"/>
                <w:sz w:val="21"/>
                <w:szCs w:val="21"/>
              </w:rPr>
              <w:t>10,000,000.00</w:t>
            </w:r>
          </w:p>
        </w:tc>
      </w:tr>
      <w:tr w:rsidR="00111C6E" w:rsidTr="0088661B">
        <w:trPr>
          <w:jc w:val="center"/>
        </w:trPr>
        <w:tc>
          <w:tcPr>
            <w:tcW w:w="3063" w:type="dxa"/>
            <w:vMerge/>
          </w:tcPr>
          <w:p w:rsidR="00111C6E" w:rsidRPr="0088661B" w:rsidRDefault="00111C6E" w:rsidP="00111C6E">
            <w:pPr>
              <w:rPr>
                <w:rFonts w:asciiTheme="minorEastAsia" w:eastAsiaTheme="minorEastAsia" w:hAnsiTheme="minorEastAsia"/>
                <w:color w:val="000000"/>
                <w:sz w:val="21"/>
                <w:szCs w:val="21"/>
              </w:rPr>
            </w:pPr>
          </w:p>
        </w:tc>
        <w:tc>
          <w:tcPr>
            <w:tcW w:w="3312" w:type="dxa"/>
          </w:tcPr>
          <w:p w:rsidR="00111C6E" w:rsidRPr="0088661B" w:rsidRDefault="00111C6E" w:rsidP="00111C6E">
            <w:pPr>
              <w:rPr>
                <w:rFonts w:asciiTheme="minorEastAsia" w:eastAsiaTheme="minorEastAsia" w:hAnsiTheme="minorEastAsia"/>
                <w:color w:val="000000"/>
                <w:sz w:val="21"/>
                <w:szCs w:val="21"/>
              </w:rPr>
            </w:pPr>
            <w:r w:rsidRPr="0088661B">
              <w:rPr>
                <w:rFonts w:asciiTheme="minorEastAsia" w:eastAsiaTheme="minorEastAsia" w:hAnsiTheme="minorEastAsia" w:hint="eastAsia"/>
                <w:color w:val="000000"/>
                <w:sz w:val="21"/>
                <w:szCs w:val="21"/>
              </w:rPr>
              <w:t>暂停大额申购、定期定额投资及转换转入业务</w:t>
            </w:r>
            <w:r w:rsidRPr="0088661B">
              <w:rPr>
                <w:rFonts w:asciiTheme="minorEastAsia" w:eastAsiaTheme="minorEastAsia" w:hAnsiTheme="minorEastAsia"/>
                <w:color w:val="000000"/>
                <w:sz w:val="21"/>
                <w:szCs w:val="21"/>
              </w:rPr>
              <w:t>的原因说明</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维护基金份额持有人利益</w:t>
            </w:r>
          </w:p>
        </w:tc>
      </w:tr>
      <w:tr w:rsidR="00111C6E" w:rsidTr="0088661B">
        <w:trPr>
          <w:trHeight w:val="90"/>
          <w:jc w:val="center"/>
        </w:trPr>
        <w:tc>
          <w:tcPr>
            <w:tcW w:w="3063" w:type="dxa"/>
            <w:vAlign w:val="center"/>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下属分级基金的基金简称</w:t>
            </w:r>
          </w:p>
        </w:tc>
        <w:tc>
          <w:tcPr>
            <w:tcW w:w="3312"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国泰富时中国A股自由现金流聚焦ETF发起联接A</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国泰富时中国A股自由现金流聚焦ETF发起联接C</w:t>
            </w:r>
          </w:p>
        </w:tc>
      </w:tr>
      <w:tr w:rsidR="00111C6E" w:rsidTr="0088661B">
        <w:trPr>
          <w:jc w:val="center"/>
        </w:trPr>
        <w:tc>
          <w:tcPr>
            <w:tcW w:w="3063" w:type="dxa"/>
            <w:vAlign w:val="center"/>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color w:val="000000"/>
                <w:sz w:val="21"/>
                <w:szCs w:val="21"/>
              </w:rPr>
              <w:t>下属分级基金的交易代码</w:t>
            </w:r>
          </w:p>
        </w:tc>
        <w:tc>
          <w:tcPr>
            <w:tcW w:w="3312"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023919</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023920</w:t>
            </w:r>
          </w:p>
        </w:tc>
      </w:tr>
      <w:tr w:rsidR="00111C6E" w:rsidTr="0088661B">
        <w:trPr>
          <w:jc w:val="center"/>
        </w:trPr>
        <w:tc>
          <w:tcPr>
            <w:tcW w:w="3063" w:type="dxa"/>
          </w:tcPr>
          <w:p w:rsidR="00111C6E" w:rsidRPr="0088661B" w:rsidRDefault="00111C6E" w:rsidP="00111C6E">
            <w:pPr>
              <w:rPr>
                <w:rFonts w:asciiTheme="minorEastAsia" w:eastAsiaTheme="minorEastAsia" w:hAnsiTheme="minorEastAsia"/>
                <w:color w:val="000000"/>
                <w:kern w:val="0"/>
                <w:sz w:val="21"/>
                <w:szCs w:val="21"/>
              </w:rPr>
            </w:pPr>
            <w:r w:rsidRPr="0088661B">
              <w:rPr>
                <w:rFonts w:asciiTheme="minorEastAsia" w:eastAsiaTheme="minorEastAsia" w:hAnsiTheme="minorEastAsia" w:hint="eastAsia"/>
                <w:color w:val="000000"/>
                <w:sz w:val="21"/>
                <w:szCs w:val="21"/>
              </w:rPr>
              <w:t>该分级基金是否暂停大额申购、定期定额投资及转换转入业务</w:t>
            </w:r>
          </w:p>
        </w:tc>
        <w:tc>
          <w:tcPr>
            <w:tcW w:w="3312"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是</w:t>
            </w:r>
          </w:p>
        </w:tc>
        <w:tc>
          <w:tcPr>
            <w:tcW w:w="3354" w:type="dxa"/>
            <w:vAlign w:val="center"/>
          </w:tcPr>
          <w:p w:rsidR="00111C6E" w:rsidRPr="0088661B" w:rsidRDefault="00111C6E" w:rsidP="00111C6E">
            <w:pPr>
              <w:rPr>
                <w:rFonts w:asciiTheme="minorEastAsia" w:eastAsiaTheme="minorEastAsia" w:hAnsiTheme="minorEastAsia"/>
                <w:sz w:val="21"/>
                <w:szCs w:val="21"/>
              </w:rPr>
            </w:pPr>
            <w:r w:rsidRPr="0088661B">
              <w:rPr>
                <w:rFonts w:asciiTheme="minorEastAsia" w:eastAsiaTheme="minorEastAsia" w:hAnsiTheme="minorEastAsia"/>
                <w:sz w:val="21"/>
                <w:szCs w:val="21"/>
              </w:rPr>
              <w:t>是</w:t>
            </w:r>
          </w:p>
        </w:tc>
      </w:tr>
    </w:tbl>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注：自</w:t>
      </w:r>
      <w:r w:rsidR="00AA30D9">
        <w:rPr>
          <w:rFonts w:asciiTheme="minorEastAsia" w:eastAsiaTheme="minorEastAsia" w:hAnsiTheme="minorEastAsia" w:hint="eastAsia"/>
          <w:sz w:val="21"/>
          <w:szCs w:val="21"/>
        </w:rPr>
        <w:t>2026年2月24日</w:t>
      </w:r>
      <w:r w:rsidRPr="0088661B">
        <w:rPr>
          <w:rFonts w:asciiTheme="minorEastAsia" w:eastAsiaTheme="minorEastAsia" w:hAnsiTheme="minorEastAsia"/>
          <w:sz w:val="21"/>
          <w:szCs w:val="21"/>
        </w:rPr>
        <w:t>起，对本基金的申购、定期定额投资及转换转入业务的金额进行限制。单日每个基金账户的累计申购、定期定额投资及转换转入业务的金额不应超过10,000,000.00元</w:t>
      </w:r>
      <w:r w:rsidRPr="0088661B">
        <w:rPr>
          <w:rFonts w:asciiTheme="minorEastAsia" w:eastAsiaTheme="minorEastAsia" w:hAnsiTheme="minorEastAsia" w:hint="eastAsia"/>
          <w:sz w:val="21"/>
          <w:szCs w:val="21"/>
        </w:rPr>
        <w:t>（不同份额类别申购、定期定额投资及转换转入业务的申请金额合并计算）</w:t>
      </w:r>
      <w:r w:rsidRPr="0088661B">
        <w:rPr>
          <w:rFonts w:asciiTheme="minorEastAsia" w:eastAsiaTheme="minorEastAsia" w:hAnsiTheme="minorEastAsia"/>
          <w:sz w:val="21"/>
          <w:szCs w:val="21"/>
        </w:rPr>
        <w:t>，如单日每个基金账户的累计申购、定期定额投资及转换转入业务的金额超过10,000,000.00元，本基金管理人将有权部分或全部确认失败。</w:t>
      </w:r>
    </w:p>
    <w:p w:rsidR="0020796C" w:rsidRPr="0088661B" w:rsidRDefault="00F04656">
      <w:pPr>
        <w:pStyle w:val="2"/>
        <w:spacing w:line="560" w:lineRule="exact"/>
        <w:rPr>
          <w:rFonts w:asciiTheme="minorEastAsia" w:eastAsiaTheme="minorEastAsia" w:hAnsiTheme="minorEastAsia"/>
          <w:bCs w:val="0"/>
          <w:color w:val="000000"/>
          <w:sz w:val="21"/>
          <w:szCs w:val="21"/>
        </w:rPr>
      </w:pPr>
      <w:bookmarkStart w:id="1" w:name="_Toc275961406"/>
      <w:r w:rsidRPr="0088661B">
        <w:rPr>
          <w:rFonts w:asciiTheme="minorEastAsia" w:eastAsiaTheme="minorEastAsia" w:hAnsiTheme="minorEastAsia"/>
          <w:bCs w:val="0"/>
          <w:color w:val="000000"/>
          <w:sz w:val="21"/>
          <w:szCs w:val="21"/>
        </w:rPr>
        <w:lastRenderedPageBreak/>
        <w:t>2其他需要提示的事项</w:t>
      </w:r>
      <w:bookmarkEnd w:id="1"/>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在本基金限制大额申购、定期定额投资及转换转入业务期间，本基金的赎回等业务正常办理。</w:t>
      </w: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本基金管理人自202</w:t>
      </w:r>
      <w:r w:rsidR="00CF7AD8">
        <w:rPr>
          <w:rFonts w:asciiTheme="minorEastAsia" w:eastAsiaTheme="minorEastAsia" w:hAnsiTheme="minorEastAsia" w:hint="eastAsia"/>
          <w:sz w:val="21"/>
          <w:szCs w:val="21"/>
        </w:rPr>
        <w:t>6</w:t>
      </w:r>
      <w:r w:rsidRPr="0088661B">
        <w:rPr>
          <w:rFonts w:asciiTheme="minorEastAsia" w:eastAsiaTheme="minorEastAsia" w:hAnsiTheme="minorEastAsia"/>
          <w:sz w:val="21"/>
          <w:szCs w:val="21"/>
        </w:rPr>
        <w:t>年</w:t>
      </w:r>
      <w:r w:rsidR="00AA30D9">
        <w:rPr>
          <w:rFonts w:asciiTheme="minorEastAsia" w:eastAsiaTheme="minorEastAsia" w:hAnsiTheme="minorEastAsia"/>
          <w:sz w:val="21"/>
          <w:szCs w:val="21"/>
        </w:rPr>
        <w:t>2</w:t>
      </w:r>
      <w:r w:rsidRPr="0088661B">
        <w:rPr>
          <w:rFonts w:asciiTheme="minorEastAsia" w:eastAsiaTheme="minorEastAsia" w:hAnsiTheme="minorEastAsia"/>
          <w:sz w:val="21"/>
          <w:szCs w:val="21"/>
        </w:rPr>
        <w:t>月</w:t>
      </w:r>
      <w:r w:rsidR="00A627EA">
        <w:rPr>
          <w:rFonts w:asciiTheme="minorEastAsia" w:eastAsiaTheme="minorEastAsia" w:hAnsiTheme="minorEastAsia"/>
          <w:sz w:val="21"/>
          <w:szCs w:val="21"/>
        </w:rPr>
        <w:t>2</w:t>
      </w:r>
      <w:r w:rsidR="00AA30D9">
        <w:rPr>
          <w:rFonts w:asciiTheme="minorEastAsia" w:eastAsiaTheme="minorEastAsia" w:hAnsiTheme="minorEastAsia"/>
          <w:sz w:val="21"/>
          <w:szCs w:val="21"/>
        </w:rPr>
        <w:t>7</w:t>
      </w:r>
      <w:r w:rsidRPr="0088661B">
        <w:rPr>
          <w:rFonts w:asciiTheme="minorEastAsia" w:eastAsiaTheme="minorEastAsia" w:hAnsiTheme="minorEastAsia"/>
          <w:sz w:val="21"/>
          <w:szCs w:val="21"/>
        </w:rPr>
        <w:t>日起，恢复接受单个基金账户对本基金的单日累计申购金额10,000,000.00元以上的申购、定期定额投资及转换转入业务申请，届时本基金管理人不再另行公告。</w:t>
      </w: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投资者可登录本公司网站www.gtfund.com，或拨打客户服务电话400-888-8688咨询相关信息。</w:t>
      </w:r>
    </w:p>
    <w:p w:rsidR="0020796C" w:rsidRPr="0088661B" w:rsidRDefault="0020796C" w:rsidP="0088661B">
      <w:pPr>
        <w:spacing w:line="360" w:lineRule="auto"/>
        <w:ind w:firstLine="420"/>
        <w:rPr>
          <w:rFonts w:asciiTheme="minorEastAsia" w:eastAsiaTheme="minorEastAsia" w:hAnsiTheme="minorEastAsia"/>
          <w:sz w:val="21"/>
          <w:szCs w:val="21"/>
        </w:rPr>
      </w:pP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20796C" w:rsidRPr="0088661B" w:rsidRDefault="00F04656" w:rsidP="0088661B">
      <w:pPr>
        <w:spacing w:line="360" w:lineRule="auto"/>
        <w:ind w:firstLine="420"/>
        <w:rPr>
          <w:rFonts w:asciiTheme="minorEastAsia" w:eastAsiaTheme="minorEastAsia" w:hAnsiTheme="minorEastAsia"/>
          <w:sz w:val="21"/>
          <w:szCs w:val="21"/>
        </w:rPr>
      </w:pPr>
      <w:r w:rsidRPr="0088661B">
        <w:rPr>
          <w:rFonts w:asciiTheme="minorEastAsia" w:eastAsiaTheme="minorEastAsia" w:hAnsiTheme="minorEastAsia"/>
          <w:sz w:val="21"/>
          <w:szCs w:val="21"/>
        </w:rPr>
        <w:t>特此公告</w:t>
      </w:r>
    </w:p>
    <w:p w:rsidR="0020796C" w:rsidRPr="0088661B" w:rsidRDefault="0020796C" w:rsidP="0088661B">
      <w:pPr>
        <w:spacing w:line="360" w:lineRule="auto"/>
        <w:ind w:firstLine="420"/>
        <w:rPr>
          <w:rFonts w:asciiTheme="minorEastAsia" w:eastAsiaTheme="minorEastAsia" w:hAnsiTheme="minorEastAsia"/>
          <w:sz w:val="21"/>
          <w:szCs w:val="21"/>
        </w:rPr>
      </w:pPr>
    </w:p>
    <w:p w:rsidR="0020796C" w:rsidRPr="0088661B" w:rsidRDefault="0020796C" w:rsidP="0088661B">
      <w:pPr>
        <w:spacing w:line="360" w:lineRule="auto"/>
        <w:ind w:firstLine="420"/>
        <w:rPr>
          <w:rFonts w:asciiTheme="minorEastAsia" w:eastAsiaTheme="minorEastAsia" w:hAnsiTheme="minorEastAsia"/>
          <w:sz w:val="21"/>
          <w:szCs w:val="21"/>
        </w:rPr>
      </w:pPr>
    </w:p>
    <w:p w:rsidR="0020796C" w:rsidRPr="0088661B" w:rsidRDefault="0020796C">
      <w:pPr>
        <w:spacing w:line="360" w:lineRule="auto"/>
        <w:ind w:firstLineChars="200" w:firstLine="420"/>
        <w:rPr>
          <w:rFonts w:asciiTheme="minorEastAsia" w:eastAsiaTheme="minorEastAsia" w:hAnsiTheme="minorEastAsia"/>
          <w:sz w:val="21"/>
          <w:szCs w:val="21"/>
        </w:rPr>
      </w:pPr>
    </w:p>
    <w:p w:rsidR="0020796C" w:rsidRPr="0088661B" w:rsidRDefault="00F04656" w:rsidP="0088661B">
      <w:pPr>
        <w:widowControl/>
        <w:spacing w:line="360" w:lineRule="auto"/>
        <w:jc w:val="right"/>
        <w:rPr>
          <w:rFonts w:asciiTheme="minorEastAsia" w:eastAsiaTheme="minorEastAsia" w:hAnsiTheme="minorEastAsia"/>
          <w:sz w:val="21"/>
          <w:szCs w:val="21"/>
        </w:rPr>
      </w:pPr>
      <w:r w:rsidRPr="0088661B">
        <w:rPr>
          <w:rFonts w:asciiTheme="minorEastAsia" w:eastAsiaTheme="minorEastAsia" w:hAnsiTheme="minorEastAsia" w:hint="eastAsia"/>
          <w:sz w:val="21"/>
          <w:szCs w:val="21"/>
        </w:rPr>
        <w:t>国泰基金管理有限公司</w:t>
      </w:r>
      <w:r w:rsidRPr="0088661B">
        <w:rPr>
          <w:rFonts w:asciiTheme="minorEastAsia" w:eastAsiaTheme="minorEastAsia" w:hAnsiTheme="minorEastAsia"/>
          <w:sz w:val="21"/>
          <w:szCs w:val="21"/>
        </w:rPr>
        <w:br/>
      </w:r>
      <w:r w:rsidR="00AA30D9">
        <w:rPr>
          <w:rFonts w:asciiTheme="minorEastAsia" w:eastAsiaTheme="minorEastAsia" w:hAnsiTheme="minorEastAsia" w:hint="eastAsia"/>
          <w:sz w:val="21"/>
          <w:szCs w:val="21"/>
        </w:rPr>
        <w:t>2026年</w:t>
      </w:r>
      <w:bookmarkStart w:id="2" w:name="_GoBack"/>
      <w:bookmarkEnd w:id="2"/>
      <w:r w:rsidR="00AA30D9">
        <w:rPr>
          <w:rFonts w:asciiTheme="minorEastAsia" w:eastAsiaTheme="minorEastAsia" w:hAnsiTheme="minorEastAsia" w:hint="eastAsia"/>
          <w:sz w:val="21"/>
          <w:szCs w:val="21"/>
        </w:rPr>
        <w:t>2月</w:t>
      </w:r>
      <w:r w:rsidR="008F6DE6">
        <w:rPr>
          <w:rFonts w:asciiTheme="minorEastAsia" w:eastAsiaTheme="minorEastAsia" w:hAnsiTheme="minorEastAsia"/>
          <w:sz w:val="21"/>
          <w:szCs w:val="21"/>
        </w:rPr>
        <w:t>14</w:t>
      </w:r>
      <w:r w:rsidR="00AA30D9">
        <w:rPr>
          <w:rFonts w:asciiTheme="minorEastAsia" w:eastAsiaTheme="minorEastAsia" w:hAnsiTheme="minorEastAsia" w:hint="eastAsia"/>
          <w:sz w:val="21"/>
          <w:szCs w:val="21"/>
        </w:rPr>
        <w:t>日</w:t>
      </w:r>
    </w:p>
    <w:sectPr w:rsidR="0020796C" w:rsidRPr="0088661B" w:rsidSect="003B0D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C01" w:rsidRDefault="00A63C01" w:rsidP="0088661B">
      <w:r>
        <w:separator/>
      </w:r>
    </w:p>
  </w:endnote>
  <w:endnote w:type="continuationSeparator" w:id="0">
    <w:p w:rsidR="00A63C01" w:rsidRDefault="00A63C01" w:rsidP="008866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A00002BF"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C01" w:rsidRDefault="00A63C01" w:rsidP="0088661B">
      <w:r>
        <w:separator/>
      </w:r>
    </w:p>
  </w:footnote>
  <w:footnote w:type="continuationSeparator" w:id="0">
    <w:p w:rsidR="00A63C01" w:rsidRDefault="00A63C01" w:rsidP="008866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14582"/>
    <w:rsid w:val="00020378"/>
    <w:rsid w:val="000268D4"/>
    <w:rsid w:val="00041353"/>
    <w:rsid w:val="000746EF"/>
    <w:rsid w:val="000E2B3D"/>
    <w:rsid w:val="000E4CBF"/>
    <w:rsid w:val="00111C6E"/>
    <w:rsid w:val="001161A4"/>
    <w:rsid w:val="001169BB"/>
    <w:rsid w:val="00180DA3"/>
    <w:rsid w:val="001A3CA1"/>
    <w:rsid w:val="001B4F9F"/>
    <w:rsid w:val="001E4CD3"/>
    <w:rsid w:val="0020796C"/>
    <w:rsid w:val="00245724"/>
    <w:rsid w:val="00265B63"/>
    <w:rsid w:val="002758E0"/>
    <w:rsid w:val="0028798D"/>
    <w:rsid w:val="002935EF"/>
    <w:rsid w:val="00297148"/>
    <w:rsid w:val="002C360B"/>
    <w:rsid w:val="002E26DF"/>
    <w:rsid w:val="002F7241"/>
    <w:rsid w:val="003042D6"/>
    <w:rsid w:val="00327DA7"/>
    <w:rsid w:val="0033513C"/>
    <w:rsid w:val="003559C3"/>
    <w:rsid w:val="003612CB"/>
    <w:rsid w:val="0036784E"/>
    <w:rsid w:val="00386A1F"/>
    <w:rsid w:val="003B0D89"/>
    <w:rsid w:val="003D5523"/>
    <w:rsid w:val="0042760A"/>
    <w:rsid w:val="0048692B"/>
    <w:rsid w:val="004966BA"/>
    <w:rsid w:val="004B7D89"/>
    <w:rsid w:val="004D6346"/>
    <w:rsid w:val="004E2421"/>
    <w:rsid w:val="004F0521"/>
    <w:rsid w:val="004F51E8"/>
    <w:rsid w:val="00540343"/>
    <w:rsid w:val="00564298"/>
    <w:rsid w:val="005B60C8"/>
    <w:rsid w:val="005E4E34"/>
    <w:rsid w:val="005F0B47"/>
    <w:rsid w:val="005F1AF0"/>
    <w:rsid w:val="00614995"/>
    <w:rsid w:val="00646522"/>
    <w:rsid w:val="00662F82"/>
    <w:rsid w:val="0069740D"/>
    <w:rsid w:val="00727899"/>
    <w:rsid w:val="00753DDE"/>
    <w:rsid w:val="00770DB7"/>
    <w:rsid w:val="007B1D31"/>
    <w:rsid w:val="007F6C9F"/>
    <w:rsid w:val="0082571C"/>
    <w:rsid w:val="00827D4A"/>
    <w:rsid w:val="0083445C"/>
    <w:rsid w:val="00841AFE"/>
    <w:rsid w:val="008472DB"/>
    <w:rsid w:val="00853A75"/>
    <w:rsid w:val="0085745A"/>
    <w:rsid w:val="00875F57"/>
    <w:rsid w:val="0088661B"/>
    <w:rsid w:val="00892179"/>
    <w:rsid w:val="008B2CAB"/>
    <w:rsid w:val="008D3261"/>
    <w:rsid w:val="008F225D"/>
    <w:rsid w:val="008F6DE6"/>
    <w:rsid w:val="00932FF1"/>
    <w:rsid w:val="00956B0F"/>
    <w:rsid w:val="009967B6"/>
    <w:rsid w:val="009A0533"/>
    <w:rsid w:val="009A0B67"/>
    <w:rsid w:val="009C5858"/>
    <w:rsid w:val="00A34F3D"/>
    <w:rsid w:val="00A516C4"/>
    <w:rsid w:val="00A61086"/>
    <w:rsid w:val="00A627EA"/>
    <w:rsid w:val="00A63C01"/>
    <w:rsid w:val="00AA30D9"/>
    <w:rsid w:val="00B101F7"/>
    <w:rsid w:val="00B13229"/>
    <w:rsid w:val="00B243AE"/>
    <w:rsid w:val="00B40A5A"/>
    <w:rsid w:val="00B43DCA"/>
    <w:rsid w:val="00B5053A"/>
    <w:rsid w:val="00BA6967"/>
    <w:rsid w:val="00BD601B"/>
    <w:rsid w:val="00BD6D93"/>
    <w:rsid w:val="00BE7D34"/>
    <w:rsid w:val="00C50193"/>
    <w:rsid w:val="00CF7AD8"/>
    <w:rsid w:val="00D100C9"/>
    <w:rsid w:val="00D114B7"/>
    <w:rsid w:val="00D327FA"/>
    <w:rsid w:val="00D33E60"/>
    <w:rsid w:val="00D6790C"/>
    <w:rsid w:val="00D82740"/>
    <w:rsid w:val="00D84DB5"/>
    <w:rsid w:val="00DE5E75"/>
    <w:rsid w:val="00E72255"/>
    <w:rsid w:val="00E77D74"/>
    <w:rsid w:val="00EE1823"/>
    <w:rsid w:val="00F04656"/>
    <w:rsid w:val="00F14414"/>
    <w:rsid w:val="00F5252D"/>
    <w:rsid w:val="00F64447"/>
    <w:rsid w:val="00F875F9"/>
    <w:rsid w:val="00F95610"/>
    <w:rsid w:val="00FD7428"/>
    <w:rsid w:val="537329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D89"/>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3B0D89"/>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3B0D89"/>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B0D89"/>
    <w:rPr>
      <w:sz w:val="18"/>
      <w:szCs w:val="18"/>
    </w:rPr>
  </w:style>
  <w:style w:type="paragraph" w:styleId="a4">
    <w:name w:val="footer"/>
    <w:basedOn w:val="a"/>
    <w:link w:val="Char0"/>
    <w:uiPriority w:val="99"/>
    <w:unhideWhenUsed/>
    <w:qFormat/>
    <w:rsid w:val="003B0D8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B0D89"/>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3B0D89"/>
    <w:pPr>
      <w:snapToGrid w:val="0"/>
      <w:jc w:val="left"/>
    </w:pPr>
    <w:rPr>
      <w:rFonts w:eastAsia="宋体"/>
      <w:sz w:val="18"/>
    </w:rPr>
  </w:style>
  <w:style w:type="character" w:styleId="a7">
    <w:name w:val="footnote reference"/>
    <w:basedOn w:val="a0"/>
    <w:qFormat/>
    <w:rsid w:val="003B0D89"/>
    <w:rPr>
      <w:vertAlign w:val="superscript"/>
    </w:rPr>
  </w:style>
  <w:style w:type="character" w:customStyle="1" w:styleId="1Char">
    <w:name w:val="标题 1 Char"/>
    <w:basedOn w:val="a0"/>
    <w:link w:val="1"/>
    <w:qFormat/>
    <w:rsid w:val="003B0D89"/>
    <w:rPr>
      <w:rFonts w:ascii="Times New Roman" w:eastAsia="宋体" w:hAnsi="Times New Roman" w:cs="Times New Roman"/>
      <w:b/>
      <w:bCs/>
      <w:kern w:val="44"/>
      <w:sz w:val="44"/>
      <w:szCs w:val="44"/>
    </w:rPr>
  </w:style>
  <w:style w:type="character" w:customStyle="1" w:styleId="2Char">
    <w:name w:val="标题 2 Char"/>
    <w:basedOn w:val="a0"/>
    <w:link w:val="2"/>
    <w:qFormat/>
    <w:rsid w:val="003B0D89"/>
    <w:rPr>
      <w:rFonts w:ascii="Arial" w:eastAsia="黑体" w:hAnsi="Arial" w:cs="Times New Roman"/>
      <w:b/>
      <w:bCs/>
      <w:sz w:val="32"/>
      <w:szCs w:val="32"/>
    </w:rPr>
  </w:style>
  <w:style w:type="character" w:customStyle="1" w:styleId="Char2">
    <w:name w:val="脚注文本 Char"/>
    <w:basedOn w:val="a0"/>
    <w:link w:val="a6"/>
    <w:qFormat/>
    <w:rsid w:val="003B0D89"/>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3B0D89"/>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3B0D89"/>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3B0D89"/>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1058</Characters>
  <Application>Microsoft Office Word</Application>
  <DocSecurity>4</DocSecurity>
  <Lines>8</Lines>
  <Paragraphs>2</Paragraphs>
  <ScaleCrop>false</ScaleCrop>
  <Company>微软中国</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2026-02-13T16:01:00Z</dcterms:created>
  <dcterms:modified xsi:type="dcterms:W3CDTF">2026-02-13T16:01:00Z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eyJoZGlkIjoiM2E2MzE0NjZjYjYyOTVmYTY0ZGU4NDFhMzk1OWM5ZTkiLCJ1c2VySWQiOiIxNjgzMTMzMjk2In0=</vt:lpwstr>
  </property>
  <property fmtid="{D5CDD505-2E9C-101B-9397-08002B2CF9AE}" pid="3" name="KSOProductBuildVer">
    <vt:lpwstr>2052-12.1.0.21541</vt:lpwstr>
  </property>
  <property fmtid="{D5CDD505-2E9C-101B-9397-08002B2CF9AE}" pid="4" name="ICV">
    <vt:lpwstr>9BDBADA8DBB543A4B36E674DF8FE425D_12</vt:lpwstr>
  </property>
</Properties>
</file>