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DDD" w:rsidRDefault="00F130A6">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新华基金管理股份有限公司新华丰利债券型证券投资基金基金经理变更公告</w:t>
      </w:r>
    </w:p>
    <w:p w:rsidR="00ED2DDD" w:rsidRDefault="00F130A6">
      <w:pPr>
        <w:spacing w:line="56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公告送出日期：</w:t>
      </w:r>
      <w:r>
        <w:rPr>
          <w:rFonts w:asciiTheme="minorEastAsia" w:eastAsiaTheme="minorEastAsia" w:hAnsiTheme="minorEastAsia" w:cs="宋体"/>
          <w:bCs/>
          <w:sz w:val="24"/>
          <w:szCs w:val="24"/>
        </w:rPr>
        <w:t>2026</w:t>
      </w:r>
      <w:r>
        <w:rPr>
          <w:rFonts w:asciiTheme="minorEastAsia" w:eastAsiaTheme="minorEastAsia" w:hAnsiTheme="minorEastAsia" w:cs="宋体"/>
          <w:bCs/>
          <w:sz w:val="24"/>
          <w:szCs w:val="24"/>
        </w:rPr>
        <w:t>年</w:t>
      </w:r>
      <w:r>
        <w:rPr>
          <w:rFonts w:asciiTheme="minorEastAsia" w:eastAsiaTheme="minorEastAsia" w:hAnsiTheme="minorEastAsia" w:cs="宋体"/>
          <w:bCs/>
          <w:sz w:val="24"/>
          <w:szCs w:val="24"/>
        </w:rPr>
        <w:t>2</w:t>
      </w:r>
      <w:r>
        <w:rPr>
          <w:rFonts w:asciiTheme="minorEastAsia" w:eastAsiaTheme="minorEastAsia" w:hAnsiTheme="minorEastAsia" w:cs="宋体"/>
          <w:bCs/>
          <w:sz w:val="24"/>
          <w:szCs w:val="24"/>
        </w:rPr>
        <w:t>月</w:t>
      </w:r>
      <w:r>
        <w:rPr>
          <w:rFonts w:asciiTheme="minorEastAsia" w:eastAsiaTheme="minorEastAsia" w:hAnsiTheme="minorEastAsia" w:cs="宋体"/>
          <w:bCs/>
          <w:sz w:val="24"/>
          <w:szCs w:val="24"/>
        </w:rPr>
        <w:t>13</w:t>
      </w:r>
      <w:r>
        <w:rPr>
          <w:rFonts w:asciiTheme="minorEastAsia" w:eastAsiaTheme="minorEastAsia" w:hAnsiTheme="minorEastAsia" w:cs="宋体"/>
          <w:bCs/>
          <w:sz w:val="24"/>
          <w:szCs w:val="24"/>
        </w:rPr>
        <w:t>日</w:t>
      </w:r>
    </w:p>
    <w:p w:rsidR="00ED2DDD" w:rsidRDefault="00F130A6">
      <w:pPr>
        <w:pStyle w:val="2"/>
        <w:spacing w:line="560" w:lineRule="exact"/>
        <w:rPr>
          <w:rFonts w:asciiTheme="minorEastAsia" w:eastAsiaTheme="minorEastAsia" w:hAnsiTheme="minorEastAsia"/>
          <w:bCs w:val="0"/>
          <w:color w:val="000000"/>
          <w:sz w:val="24"/>
          <w:szCs w:val="24"/>
        </w:rPr>
      </w:pPr>
      <w:bookmarkStart w:id="0" w:name="_Toc275961408"/>
      <w:r>
        <w:rPr>
          <w:rFonts w:asciiTheme="minorEastAsia" w:eastAsiaTheme="minorEastAsia" w:hAnsiTheme="minorEastAsia" w:hint="eastAsia"/>
          <w:bCs w:val="0"/>
          <w:color w:val="000000"/>
          <w:sz w:val="24"/>
          <w:szCs w:val="24"/>
        </w:rPr>
        <w:t>1</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ED2DDD">
        <w:trPr>
          <w:jc w:val="center"/>
        </w:trPr>
        <w:tc>
          <w:tcPr>
            <w:tcW w:w="4353"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5286" w:type="dxa"/>
            <w:vAlign w:val="center"/>
          </w:tcPr>
          <w:p w:rsidR="00ED2DDD" w:rsidRDefault="00F130A6">
            <w:pPr>
              <w:rPr>
                <w:rFonts w:asciiTheme="minorEastAsia" w:eastAsiaTheme="minorEastAsia" w:hAnsiTheme="minorEastAsia"/>
                <w:sz w:val="24"/>
                <w:szCs w:val="24"/>
              </w:rPr>
            </w:pPr>
            <w:r>
              <w:rPr>
                <w:rFonts w:asciiTheme="minorEastAsia" w:eastAsiaTheme="minorEastAsia" w:hAnsiTheme="minorEastAsia"/>
                <w:sz w:val="24"/>
                <w:szCs w:val="24"/>
              </w:rPr>
              <w:t>新华丰利债券型证券投资基金</w:t>
            </w:r>
          </w:p>
        </w:tc>
      </w:tr>
      <w:tr w:rsidR="00ED2DDD">
        <w:trPr>
          <w:jc w:val="center"/>
        </w:trPr>
        <w:tc>
          <w:tcPr>
            <w:tcW w:w="4353"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基金简称</w:t>
            </w:r>
          </w:p>
        </w:tc>
        <w:tc>
          <w:tcPr>
            <w:tcW w:w="5286" w:type="dxa"/>
            <w:vAlign w:val="center"/>
          </w:tcPr>
          <w:p w:rsidR="00ED2DDD" w:rsidRDefault="00F130A6">
            <w:pPr>
              <w:rPr>
                <w:rFonts w:asciiTheme="minorEastAsia" w:eastAsiaTheme="minorEastAsia" w:hAnsiTheme="minorEastAsia"/>
                <w:sz w:val="24"/>
                <w:szCs w:val="24"/>
              </w:rPr>
            </w:pPr>
            <w:r>
              <w:rPr>
                <w:rFonts w:asciiTheme="minorEastAsia" w:eastAsiaTheme="minorEastAsia" w:hAnsiTheme="minorEastAsia"/>
                <w:sz w:val="24"/>
                <w:szCs w:val="24"/>
              </w:rPr>
              <w:t>新华丰利债券</w:t>
            </w:r>
          </w:p>
        </w:tc>
      </w:tr>
      <w:tr w:rsidR="00ED2DDD">
        <w:trPr>
          <w:jc w:val="center"/>
        </w:trPr>
        <w:tc>
          <w:tcPr>
            <w:tcW w:w="4353" w:type="dxa"/>
            <w:vAlign w:val="center"/>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5286" w:type="dxa"/>
            <w:vAlign w:val="center"/>
          </w:tcPr>
          <w:p w:rsidR="00ED2DDD" w:rsidRDefault="00F130A6">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003221</w:t>
            </w:r>
          </w:p>
        </w:tc>
      </w:tr>
      <w:tr w:rsidR="00ED2DDD">
        <w:trPr>
          <w:jc w:val="center"/>
        </w:trPr>
        <w:tc>
          <w:tcPr>
            <w:tcW w:w="4353"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基金管理人名称</w:t>
            </w:r>
          </w:p>
        </w:tc>
        <w:tc>
          <w:tcPr>
            <w:tcW w:w="5286" w:type="dxa"/>
            <w:vAlign w:val="center"/>
          </w:tcPr>
          <w:p w:rsidR="00ED2DDD" w:rsidRDefault="00F130A6">
            <w:pPr>
              <w:rPr>
                <w:rFonts w:asciiTheme="minorEastAsia" w:eastAsiaTheme="minorEastAsia" w:hAnsiTheme="minorEastAsia"/>
                <w:sz w:val="24"/>
                <w:szCs w:val="24"/>
              </w:rPr>
            </w:pPr>
            <w:r>
              <w:rPr>
                <w:rFonts w:asciiTheme="minorEastAsia" w:eastAsiaTheme="minorEastAsia" w:hAnsiTheme="minorEastAsia"/>
                <w:sz w:val="24"/>
                <w:szCs w:val="24"/>
              </w:rPr>
              <w:t>新华基金管理股份有限公司</w:t>
            </w:r>
          </w:p>
        </w:tc>
      </w:tr>
      <w:tr w:rsidR="00ED2DDD">
        <w:trPr>
          <w:jc w:val="center"/>
        </w:trPr>
        <w:tc>
          <w:tcPr>
            <w:tcW w:w="4353"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5286" w:type="dxa"/>
            <w:vAlign w:val="center"/>
          </w:tcPr>
          <w:p w:rsidR="00ED2DDD" w:rsidRDefault="00F130A6">
            <w:pPr>
              <w:rPr>
                <w:rFonts w:asciiTheme="minorEastAsia" w:eastAsiaTheme="minorEastAsia" w:hAnsiTheme="minorEastAsia"/>
                <w:sz w:val="24"/>
                <w:szCs w:val="24"/>
              </w:rPr>
            </w:pPr>
            <w:r>
              <w:rPr>
                <w:rFonts w:asciiTheme="minorEastAsia" w:eastAsiaTheme="minorEastAsia" w:hAnsiTheme="minorEastAsia"/>
                <w:sz w:val="24"/>
                <w:szCs w:val="24"/>
              </w:rPr>
              <w:t>公开募集证券投资基金信息披露管理办法</w:t>
            </w:r>
          </w:p>
        </w:tc>
      </w:tr>
      <w:tr w:rsidR="00ED2DDD">
        <w:trPr>
          <w:jc w:val="center"/>
        </w:trPr>
        <w:tc>
          <w:tcPr>
            <w:tcW w:w="4353"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基金经理变更类型</w:t>
            </w:r>
          </w:p>
        </w:tc>
        <w:tc>
          <w:tcPr>
            <w:tcW w:w="5286" w:type="dxa"/>
            <w:vAlign w:val="center"/>
          </w:tcPr>
          <w:p w:rsidR="00ED2DDD" w:rsidRDefault="00F130A6">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增聘基金经理</w:t>
            </w:r>
          </w:p>
        </w:tc>
      </w:tr>
      <w:tr w:rsidR="00ED2DDD">
        <w:trPr>
          <w:trHeight w:val="624"/>
          <w:jc w:val="center"/>
        </w:trPr>
        <w:tc>
          <w:tcPr>
            <w:tcW w:w="4353" w:type="dxa"/>
            <w:vMerge w:val="restart"/>
            <w:vAlign w:val="center"/>
          </w:tcPr>
          <w:p w:rsidR="00ED2DDD" w:rsidRDefault="00F130A6">
            <w:pPr>
              <w:jc w:val="left"/>
            </w:pPr>
            <w:r>
              <w:rPr>
                <w:rFonts w:asciiTheme="minorEastAsia" w:eastAsiaTheme="minorEastAsia" w:hAnsiTheme="minorEastAsia"/>
                <w:sz w:val="24"/>
                <w:szCs w:val="24"/>
              </w:rPr>
              <w:t>新任基金经理姓名</w:t>
            </w:r>
          </w:p>
        </w:tc>
        <w:tc>
          <w:tcPr>
            <w:tcW w:w="5286" w:type="dxa"/>
            <w:vMerge w:val="restart"/>
            <w:vAlign w:val="center"/>
          </w:tcPr>
          <w:p w:rsidR="00ED2DDD" w:rsidRDefault="00F130A6">
            <w:pPr>
              <w:jc w:val="left"/>
            </w:pPr>
            <w:r>
              <w:rPr>
                <w:rFonts w:asciiTheme="minorEastAsia" w:eastAsiaTheme="minorEastAsia" w:hAnsiTheme="minorEastAsia"/>
                <w:sz w:val="24"/>
                <w:szCs w:val="24"/>
              </w:rPr>
              <w:t>于航</w:t>
            </w:r>
          </w:p>
        </w:tc>
      </w:tr>
      <w:tr w:rsidR="00ED2DDD">
        <w:trPr>
          <w:trHeight w:val="537"/>
          <w:jc w:val="center"/>
        </w:trPr>
        <w:tc>
          <w:tcPr>
            <w:tcW w:w="4353" w:type="dxa"/>
            <w:vAlign w:val="center"/>
          </w:tcPr>
          <w:p w:rsidR="00ED2DDD" w:rsidRDefault="00F130A6">
            <w:pPr>
              <w:jc w:val="left"/>
            </w:pPr>
            <w:r>
              <w:rPr>
                <w:rFonts w:asciiTheme="minorEastAsia" w:eastAsiaTheme="minorEastAsia" w:hAnsiTheme="minorEastAsia"/>
                <w:sz w:val="24"/>
                <w:szCs w:val="24"/>
              </w:rPr>
              <w:t>共同管理本基金的其他基金经理姓名</w:t>
            </w:r>
          </w:p>
        </w:tc>
        <w:tc>
          <w:tcPr>
            <w:tcW w:w="5286" w:type="dxa"/>
            <w:vAlign w:val="center"/>
          </w:tcPr>
          <w:p w:rsidR="00ED2DDD" w:rsidRDefault="00F130A6">
            <w:pPr>
              <w:jc w:val="left"/>
            </w:pPr>
            <w:r>
              <w:rPr>
                <w:rFonts w:asciiTheme="minorEastAsia" w:eastAsiaTheme="minorEastAsia" w:hAnsiTheme="minorEastAsia"/>
                <w:sz w:val="24"/>
                <w:szCs w:val="24"/>
              </w:rPr>
              <w:t>王滨</w:t>
            </w:r>
          </w:p>
        </w:tc>
      </w:tr>
    </w:tbl>
    <w:p w:rsidR="00ED2DDD" w:rsidRDefault="00F130A6">
      <w:pPr>
        <w:pStyle w:val="2"/>
        <w:spacing w:line="560" w:lineRule="exact"/>
        <w:rPr>
          <w:rFonts w:asciiTheme="minorEastAsia" w:eastAsiaTheme="minorEastAsia" w:hAnsiTheme="minorEastAsia"/>
          <w:bCs w:val="0"/>
          <w:color w:val="000000"/>
          <w:sz w:val="24"/>
          <w:szCs w:val="24"/>
        </w:rPr>
      </w:pPr>
      <w:bookmarkStart w:id="1" w:name="_Toc275961409"/>
      <w:r>
        <w:rPr>
          <w:rFonts w:asciiTheme="minorEastAsia" w:eastAsiaTheme="minorEastAsia" w:hAnsiTheme="minorEastAsia" w:hint="eastAsia"/>
          <w:bCs w:val="0"/>
          <w:color w:val="000000"/>
          <w:sz w:val="24"/>
          <w:szCs w:val="24"/>
        </w:rPr>
        <w:t>2</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新任基金经理的相关信息</w:t>
      </w:r>
      <w:bookmarkEnd w:id="1"/>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506"/>
        <w:gridCol w:w="1153"/>
        <w:gridCol w:w="3157"/>
        <w:gridCol w:w="1416"/>
        <w:gridCol w:w="1416"/>
      </w:tblGrid>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新任基金经理姓名</w:t>
            </w:r>
          </w:p>
        </w:tc>
        <w:tc>
          <w:tcPr>
            <w:tcW w:w="7142" w:type="dxa"/>
            <w:gridSpan w:val="4"/>
          </w:tcPr>
          <w:p w:rsidR="00ED2DDD" w:rsidRDefault="00F130A6">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于航</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任职日期</w:t>
            </w:r>
          </w:p>
        </w:tc>
        <w:tc>
          <w:tcPr>
            <w:tcW w:w="7142" w:type="dxa"/>
            <w:gridSpan w:val="4"/>
          </w:tcPr>
          <w:p w:rsidR="00ED2DDD" w:rsidRDefault="00F130A6">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2026</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1</w:t>
            </w:r>
            <w:r>
              <w:rPr>
                <w:rFonts w:asciiTheme="minorEastAsia" w:eastAsiaTheme="minorEastAsia" w:hAnsiTheme="minorEastAsia" w:hint="eastAsia"/>
                <w:sz w:val="24"/>
                <w:szCs w:val="24"/>
              </w:rPr>
              <w:t>1</w:t>
            </w:r>
            <w:r>
              <w:rPr>
                <w:rFonts w:asciiTheme="minorEastAsia" w:eastAsiaTheme="minorEastAsia" w:hAnsiTheme="minorEastAsia"/>
                <w:sz w:val="24"/>
                <w:szCs w:val="24"/>
              </w:rPr>
              <w:t>日</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证券从业年限</w:t>
            </w:r>
          </w:p>
        </w:tc>
        <w:tc>
          <w:tcPr>
            <w:tcW w:w="7142" w:type="dxa"/>
            <w:gridSpan w:val="4"/>
          </w:tcPr>
          <w:p w:rsidR="00ED2DDD" w:rsidRDefault="00F130A6">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10</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证券投资管理从业年限</w:t>
            </w:r>
          </w:p>
        </w:tc>
        <w:tc>
          <w:tcPr>
            <w:tcW w:w="7142" w:type="dxa"/>
            <w:gridSpan w:val="4"/>
          </w:tcPr>
          <w:p w:rsidR="00ED2DDD" w:rsidRDefault="00F130A6">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5</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过往从业经历</w:t>
            </w:r>
          </w:p>
        </w:tc>
        <w:tc>
          <w:tcPr>
            <w:tcW w:w="7142" w:type="dxa"/>
            <w:gridSpan w:val="4"/>
          </w:tcPr>
          <w:p w:rsidR="00ED2DDD" w:rsidRDefault="00F130A6">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曾任新华基金固定收益投资部研究员，基金经理助理，基金经理。</w:t>
            </w:r>
          </w:p>
        </w:tc>
      </w:tr>
      <w:tr w:rsidR="00ED2DDD">
        <w:trPr>
          <w:jc w:val="center"/>
        </w:trPr>
        <w:tc>
          <w:tcPr>
            <w:tcW w:w="2506" w:type="dxa"/>
            <w:vMerge w:val="restart"/>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其中：管理过公募基金的名称及期间</w:t>
            </w:r>
          </w:p>
        </w:tc>
        <w:tc>
          <w:tcPr>
            <w:tcW w:w="1153" w:type="dxa"/>
            <w:vAlign w:val="center"/>
          </w:tcPr>
          <w:p w:rsidR="00ED2DDD" w:rsidRDefault="00F130A6">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基金</w:t>
            </w:r>
          </w:p>
          <w:p w:rsidR="00ED2DDD" w:rsidRDefault="00F130A6">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主代码</w:t>
            </w:r>
          </w:p>
        </w:tc>
        <w:tc>
          <w:tcPr>
            <w:tcW w:w="3157" w:type="dxa"/>
            <w:vAlign w:val="center"/>
          </w:tcPr>
          <w:p w:rsidR="00ED2DDD" w:rsidRDefault="00F130A6">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基金名称</w:t>
            </w:r>
          </w:p>
        </w:tc>
        <w:tc>
          <w:tcPr>
            <w:tcW w:w="1416" w:type="dxa"/>
            <w:vAlign w:val="center"/>
          </w:tcPr>
          <w:p w:rsidR="00ED2DDD" w:rsidRDefault="00F130A6">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任职日期</w:t>
            </w:r>
          </w:p>
        </w:tc>
        <w:tc>
          <w:tcPr>
            <w:tcW w:w="1416" w:type="dxa"/>
            <w:vAlign w:val="center"/>
          </w:tcPr>
          <w:p w:rsidR="00ED2DDD" w:rsidRDefault="00F130A6">
            <w:pPr>
              <w:spacing w:line="560" w:lineRule="exact"/>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离任日期</w:t>
            </w:r>
          </w:p>
        </w:tc>
      </w:tr>
      <w:tr w:rsidR="00ED2DDD">
        <w:trPr>
          <w:jc w:val="center"/>
        </w:trPr>
        <w:tc>
          <w:tcPr>
            <w:tcW w:w="0" w:type="auto"/>
            <w:vMerge/>
          </w:tcPr>
          <w:p w:rsidR="00ED2DDD" w:rsidRDefault="00ED2DDD"/>
        </w:tc>
        <w:tc>
          <w:tcPr>
            <w:tcW w:w="1153" w:type="dxa"/>
            <w:vAlign w:val="center"/>
          </w:tcPr>
          <w:p w:rsidR="00ED2DDD" w:rsidRDefault="00F130A6">
            <w:pPr>
              <w:jc w:val="center"/>
            </w:pPr>
            <w:r>
              <w:rPr>
                <w:rFonts w:asciiTheme="minorEastAsia" w:eastAsiaTheme="minorEastAsia" w:hAnsiTheme="minorEastAsia"/>
                <w:color w:val="000000"/>
                <w:sz w:val="24"/>
                <w:szCs w:val="24"/>
              </w:rPr>
              <w:t>004982</w:t>
            </w:r>
          </w:p>
        </w:tc>
        <w:tc>
          <w:tcPr>
            <w:tcW w:w="3157" w:type="dxa"/>
            <w:vAlign w:val="center"/>
          </w:tcPr>
          <w:p w:rsidR="00ED2DDD" w:rsidRDefault="00F130A6">
            <w:pPr>
              <w:jc w:val="center"/>
            </w:pPr>
            <w:r>
              <w:rPr>
                <w:rFonts w:asciiTheme="minorEastAsia" w:eastAsiaTheme="minorEastAsia" w:hAnsiTheme="minorEastAsia"/>
                <w:color w:val="000000"/>
                <w:sz w:val="24"/>
                <w:szCs w:val="24"/>
              </w:rPr>
              <w:t>新华安享多裕定期开放灵活配置混合型证券投资基金</w:t>
            </w:r>
          </w:p>
        </w:tc>
        <w:tc>
          <w:tcPr>
            <w:tcW w:w="0" w:type="auto"/>
            <w:vAlign w:val="center"/>
          </w:tcPr>
          <w:p w:rsidR="00ED2DDD" w:rsidRDefault="00F130A6">
            <w:pPr>
              <w:jc w:val="center"/>
            </w:pPr>
            <w:r>
              <w:rPr>
                <w:rFonts w:asciiTheme="minorEastAsia" w:eastAsiaTheme="minorEastAsia" w:hAnsiTheme="minorEastAsia"/>
                <w:color w:val="000000"/>
                <w:sz w:val="24"/>
                <w:szCs w:val="24"/>
              </w:rPr>
              <w:t>2022-12-12</w:t>
            </w:r>
          </w:p>
        </w:tc>
        <w:tc>
          <w:tcPr>
            <w:tcW w:w="0" w:type="auto"/>
            <w:vAlign w:val="center"/>
          </w:tcPr>
          <w:p w:rsidR="00ED2DDD" w:rsidRDefault="00F130A6">
            <w:pPr>
              <w:jc w:val="center"/>
            </w:pPr>
            <w:r>
              <w:rPr>
                <w:rFonts w:asciiTheme="minorEastAsia" w:eastAsiaTheme="minorEastAsia" w:hAnsiTheme="minorEastAsia"/>
                <w:color w:val="000000"/>
                <w:sz w:val="24"/>
                <w:szCs w:val="24"/>
              </w:rPr>
              <w:t>2024-07-03</w:t>
            </w:r>
          </w:p>
        </w:tc>
      </w:tr>
      <w:tr w:rsidR="00ED2DDD">
        <w:trPr>
          <w:jc w:val="center"/>
        </w:trPr>
        <w:tc>
          <w:tcPr>
            <w:tcW w:w="0" w:type="auto"/>
            <w:vMerge/>
          </w:tcPr>
          <w:p w:rsidR="00ED2DDD" w:rsidRDefault="00ED2DDD"/>
        </w:tc>
        <w:tc>
          <w:tcPr>
            <w:tcW w:w="1153" w:type="dxa"/>
            <w:vAlign w:val="center"/>
          </w:tcPr>
          <w:p w:rsidR="00ED2DDD" w:rsidRDefault="00F130A6">
            <w:pPr>
              <w:jc w:val="center"/>
            </w:pPr>
            <w:r>
              <w:rPr>
                <w:rFonts w:asciiTheme="minorEastAsia" w:eastAsiaTheme="minorEastAsia" w:hAnsiTheme="minorEastAsia"/>
                <w:color w:val="000000"/>
                <w:sz w:val="24"/>
                <w:szCs w:val="24"/>
              </w:rPr>
              <w:t>003221</w:t>
            </w:r>
          </w:p>
        </w:tc>
        <w:tc>
          <w:tcPr>
            <w:tcW w:w="3157" w:type="dxa"/>
            <w:vAlign w:val="center"/>
          </w:tcPr>
          <w:p w:rsidR="00ED2DDD" w:rsidRDefault="00F130A6">
            <w:pPr>
              <w:jc w:val="center"/>
            </w:pPr>
            <w:r>
              <w:rPr>
                <w:rFonts w:asciiTheme="minorEastAsia" w:eastAsiaTheme="minorEastAsia" w:hAnsiTheme="minorEastAsia"/>
                <w:color w:val="000000"/>
                <w:sz w:val="24"/>
                <w:szCs w:val="24"/>
              </w:rPr>
              <w:t>新华丰利债券型证券投资基金</w:t>
            </w:r>
          </w:p>
        </w:tc>
        <w:tc>
          <w:tcPr>
            <w:tcW w:w="0" w:type="auto"/>
            <w:vAlign w:val="center"/>
          </w:tcPr>
          <w:p w:rsidR="00ED2DDD" w:rsidRDefault="00F130A6">
            <w:pPr>
              <w:jc w:val="center"/>
            </w:pPr>
            <w:r>
              <w:rPr>
                <w:rFonts w:asciiTheme="minorEastAsia" w:eastAsiaTheme="minorEastAsia" w:hAnsiTheme="minorEastAsia"/>
                <w:color w:val="000000"/>
                <w:sz w:val="24"/>
                <w:szCs w:val="24"/>
              </w:rPr>
              <w:t>2022-12-12</w:t>
            </w:r>
          </w:p>
        </w:tc>
        <w:tc>
          <w:tcPr>
            <w:tcW w:w="0" w:type="auto"/>
            <w:vAlign w:val="center"/>
          </w:tcPr>
          <w:p w:rsidR="00ED2DDD" w:rsidRDefault="00F130A6">
            <w:pPr>
              <w:jc w:val="center"/>
            </w:pPr>
            <w:r>
              <w:rPr>
                <w:rFonts w:asciiTheme="minorEastAsia" w:eastAsiaTheme="minorEastAsia" w:hAnsiTheme="minorEastAsia"/>
                <w:color w:val="000000"/>
                <w:sz w:val="24"/>
                <w:szCs w:val="24"/>
              </w:rPr>
              <w:t>2024-07-03</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是否曾被监管机构予以行政处罚或采取行政监管措施</w:t>
            </w:r>
          </w:p>
        </w:tc>
        <w:tc>
          <w:tcPr>
            <w:tcW w:w="7142" w:type="dxa"/>
            <w:gridSpan w:val="4"/>
          </w:tcPr>
          <w:p w:rsidR="00ED2DDD" w:rsidRDefault="00F130A6">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否</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是否已取得基金从业资格</w:t>
            </w:r>
          </w:p>
        </w:tc>
        <w:tc>
          <w:tcPr>
            <w:tcW w:w="7142" w:type="dxa"/>
            <w:gridSpan w:val="4"/>
          </w:tcPr>
          <w:p w:rsidR="00ED2DDD" w:rsidRDefault="00F130A6">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是</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取得的其他相关从业资格</w:t>
            </w:r>
          </w:p>
        </w:tc>
        <w:tc>
          <w:tcPr>
            <w:tcW w:w="7142" w:type="dxa"/>
            <w:gridSpan w:val="4"/>
          </w:tcPr>
          <w:p w:rsidR="00ED2DDD" w:rsidRDefault="00F130A6">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国籍</w:t>
            </w:r>
          </w:p>
        </w:tc>
        <w:tc>
          <w:tcPr>
            <w:tcW w:w="7142" w:type="dxa"/>
            <w:gridSpan w:val="4"/>
          </w:tcPr>
          <w:p w:rsidR="00ED2DDD" w:rsidRDefault="00F130A6">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中国</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学历、学位</w:t>
            </w:r>
          </w:p>
        </w:tc>
        <w:tc>
          <w:tcPr>
            <w:tcW w:w="7142" w:type="dxa"/>
            <w:gridSpan w:val="4"/>
          </w:tcPr>
          <w:p w:rsidR="00ED2DDD" w:rsidRDefault="00F130A6">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硕士研究生</w:t>
            </w:r>
          </w:p>
        </w:tc>
      </w:tr>
      <w:tr w:rsidR="00ED2DDD">
        <w:trPr>
          <w:jc w:val="center"/>
        </w:trPr>
        <w:tc>
          <w:tcPr>
            <w:tcW w:w="2506" w:type="dxa"/>
          </w:tcPr>
          <w:p w:rsidR="00ED2DDD" w:rsidRDefault="00F130A6">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是否已按规定在中国</w:t>
            </w:r>
            <w:r>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业协会注册</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登记</w:t>
            </w:r>
          </w:p>
        </w:tc>
        <w:tc>
          <w:tcPr>
            <w:tcW w:w="7142" w:type="dxa"/>
            <w:gridSpan w:val="4"/>
          </w:tcPr>
          <w:p w:rsidR="00ED2DDD" w:rsidRDefault="00F130A6">
            <w:pPr>
              <w:spacing w:line="560" w:lineRule="exact"/>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是</w:t>
            </w:r>
          </w:p>
        </w:tc>
      </w:tr>
    </w:tbl>
    <w:p w:rsidR="00ED2DDD" w:rsidRDefault="00F130A6">
      <w:pPr>
        <w:pStyle w:val="2"/>
        <w:spacing w:line="560" w:lineRule="exact"/>
        <w:rPr>
          <w:rFonts w:asciiTheme="minorEastAsia" w:eastAsiaTheme="minorEastAsia" w:hAnsiTheme="minorEastAsia"/>
          <w:bCs w:val="0"/>
          <w:color w:val="000000"/>
          <w:sz w:val="24"/>
          <w:szCs w:val="24"/>
        </w:rPr>
      </w:pPr>
      <w:bookmarkStart w:id="2" w:name="_Toc275961411"/>
      <w:r>
        <w:rPr>
          <w:rFonts w:asciiTheme="minorEastAsia" w:eastAsiaTheme="minorEastAsia" w:hAnsiTheme="minorEastAsia" w:hint="eastAsia"/>
          <w:bCs w:val="0"/>
          <w:color w:val="000000"/>
          <w:sz w:val="24"/>
          <w:szCs w:val="24"/>
        </w:rPr>
        <w:t>3</w:t>
      </w:r>
      <w:r>
        <w:rPr>
          <w:rFonts w:asciiTheme="minorEastAsia" w:eastAsiaTheme="minorEastAsia" w:hAnsiTheme="minorEastAsia"/>
          <w:bCs w:val="0"/>
          <w:color w:val="000000"/>
          <w:sz w:val="24"/>
          <w:szCs w:val="24"/>
        </w:rPr>
        <w:t>其他需要说明的事项</w:t>
      </w:r>
      <w:bookmarkEnd w:id="2"/>
    </w:p>
    <w:p w:rsidR="00ED2DDD" w:rsidRDefault="00F130A6">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上述事项已经按规定向中国证券投资基金业协会办理相应手续，并向中国证券监督管理委员会重庆监管局报告。</w:t>
      </w:r>
    </w:p>
    <w:sectPr w:rsidR="00ED2DDD" w:rsidSect="00ED2D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111BD0"/>
    <w:rsid w:val="00191AD9"/>
    <w:rsid w:val="001F622D"/>
    <w:rsid w:val="00207AA8"/>
    <w:rsid w:val="002A51E8"/>
    <w:rsid w:val="00306525"/>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F6D1D"/>
    <w:rsid w:val="00803A3A"/>
    <w:rsid w:val="00807FC2"/>
    <w:rsid w:val="00872E95"/>
    <w:rsid w:val="0087717F"/>
    <w:rsid w:val="008F0ACC"/>
    <w:rsid w:val="009D65C6"/>
    <w:rsid w:val="009E3ABA"/>
    <w:rsid w:val="00A522D0"/>
    <w:rsid w:val="00A61621"/>
    <w:rsid w:val="00A63D9B"/>
    <w:rsid w:val="00A66507"/>
    <w:rsid w:val="00B03319"/>
    <w:rsid w:val="00B27750"/>
    <w:rsid w:val="00BE716F"/>
    <w:rsid w:val="00BE7AA2"/>
    <w:rsid w:val="00D047E3"/>
    <w:rsid w:val="00D21C32"/>
    <w:rsid w:val="00D64B1C"/>
    <w:rsid w:val="00DD624E"/>
    <w:rsid w:val="00DE5519"/>
    <w:rsid w:val="00E435FE"/>
    <w:rsid w:val="00E857A8"/>
    <w:rsid w:val="00EC7F0B"/>
    <w:rsid w:val="00ED112A"/>
    <w:rsid w:val="00ED2DDD"/>
    <w:rsid w:val="00F130A6"/>
    <w:rsid w:val="00F70EFB"/>
    <w:rsid w:val="00FC353A"/>
    <w:rsid w:val="1B9D7564"/>
    <w:rsid w:val="2B430BF5"/>
    <w:rsid w:val="56E42C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DDD"/>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ED2DD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ED2DDD"/>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D2DDD"/>
    <w:rPr>
      <w:rFonts w:ascii="宋体" w:eastAsia="宋体"/>
      <w:sz w:val="18"/>
      <w:szCs w:val="18"/>
    </w:rPr>
  </w:style>
  <w:style w:type="paragraph" w:styleId="a4">
    <w:name w:val="Balloon Text"/>
    <w:basedOn w:val="a"/>
    <w:link w:val="Char0"/>
    <w:uiPriority w:val="99"/>
    <w:semiHidden/>
    <w:unhideWhenUsed/>
    <w:qFormat/>
    <w:rsid w:val="00ED2DDD"/>
    <w:rPr>
      <w:sz w:val="18"/>
      <w:szCs w:val="18"/>
    </w:rPr>
  </w:style>
  <w:style w:type="paragraph" w:styleId="a5">
    <w:name w:val="footer"/>
    <w:basedOn w:val="a"/>
    <w:link w:val="Char1"/>
    <w:uiPriority w:val="99"/>
    <w:unhideWhenUsed/>
    <w:qFormat/>
    <w:rsid w:val="00ED2DD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D2DD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ED2DDD"/>
    <w:pPr>
      <w:snapToGrid w:val="0"/>
      <w:jc w:val="left"/>
    </w:pPr>
    <w:rPr>
      <w:rFonts w:eastAsia="宋体"/>
      <w:sz w:val="18"/>
    </w:rPr>
  </w:style>
  <w:style w:type="character" w:styleId="a8">
    <w:name w:val="footnote reference"/>
    <w:basedOn w:val="a0"/>
    <w:qFormat/>
    <w:rsid w:val="00ED2DDD"/>
    <w:rPr>
      <w:vertAlign w:val="superscript"/>
    </w:rPr>
  </w:style>
  <w:style w:type="character" w:customStyle="1" w:styleId="1Char">
    <w:name w:val="标题 1 Char"/>
    <w:basedOn w:val="a0"/>
    <w:link w:val="1"/>
    <w:qFormat/>
    <w:rsid w:val="00ED2DDD"/>
    <w:rPr>
      <w:rFonts w:ascii="Times New Roman" w:eastAsia="宋体" w:hAnsi="Times New Roman" w:cs="Times New Roman"/>
      <w:b/>
      <w:bCs/>
      <w:kern w:val="44"/>
      <w:sz w:val="44"/>
      <w:szCs w:val="44"/>
    </w:rPr>
  </w:style>
  <w:style w:type="character" w:customStyle="1" w:styleId="2Char">
    <w:name w:val="标题 2 Char"/>
    <w:basedOn w:val="a0"/>
    <w:link w:val="2"/>
    <w:qFormat/>
    <w:rsid w:val="00ED2DDD"/>
    <w:rPr>
      <w:rFonts w:ascii="Arial" w:eastAsia="黑体" w:hAnsi="Arial" w:cs="Times New Roman"/>
      <w:b/>
      <w:bCs/>
      <w:sz w:val="32"/>
      <w:szCs w:val="32"/>
    </w:rPr>
  </w:style>
  <w:style w:type="character" w:customStyle="1" w:styleId="Char3">
    <w:name w:val="脚注文本 Char"/>
    <w:basedOn w:val="a0"/>
    <w:link w:val="a7"/>
    <w:qFormat/>
    <w:rsid w:val="00ED2DDD"/>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ED2DDD"/>
    <w:rPr>
      <w:rFonts w:ascii="宋体" w:eastAsia="宋体" w:hAnsi="Times New Roman" w:cs="Times New Roman"/>
      <w:sz w:val="18"/>
      <w:szCs w:val="18"/>
    </w:rPr>
  </w:style>
  <w:style w:type="character" w:customStyle="1" w:styleId="Char2">
    <w:name w:val="页眉 Char"/>
    <w:basedOn w:val="a0"/>
    <w:link w:val="a6"/>
    <w:uiPriority w:val="99"/>
    <w:qFormat/>
    <w:rsid w:val="00ED2DDD"/>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ED2DDD"/>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ED2DDD"/>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523</Characters>
  <Application>Microsoft Office Word</Application>
  <DocSecurity>4</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2026-02-11T06:41:00Z</cp:lastPrinted>
  <dcterms:created xsi:type="dcterms:W3CDTF">2026-02-12T16:00:00Z</dcterms:created>
  <dcterms:modified xsi:type="dcterms:W3CDTF">2026-02-12T16:00:00Z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eyJoZGlkIjoiZDU5MzJlOTE2NDNmMWRmMDBjMjUyNTJiOTY2NjgyOTMiLCJ1c2VySWQiOiI5MTQzMDgxMDUifQ==</vt:lpwstr>
  </property>
  <property fmtid="{D5CDD505-2E9C-101B-9397-08002B2CF9AE}" pid="3" name="KSOProductBuildVer">
    <vt:lpwstr>2052-12.1.0.24031</vt:lpwstr>
  </property>
  <property fmtid="{D5CDD505-2E9C-101B-9397-08002B2CF9AE}" pid="4" name="ICV">
    <vt:lpwstr>B21317227CEF4AB0ADECCA6F677213B9_12</vt:lpwstr>
  </property>
</Properties>
</file>