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鹏安安泰利率债债券型证券投资基金开放日常申购（赎回、定期定额投资）业务公告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2026年02月13日</w:t>
      </w:r>
    </w:p>
    <w:p w:rsidR="00687A37" w:rsidRDefault="00687A37"/>
    <w:p w:rsidR="00687A37" w:rsidRDefault="006C6CB6">
      <w:pPr>
        <w:pStyle w:val="1"/>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1"/>
        <w:gridCol w:w="3156"/>
        <w:gridCol w:w="3272"/>
      </w:tblGrid>
      <w:tr w:rsidR="00687A37">
        <w:tc>
          <w:tcPr>
            <w:tcW w:w="1538" w:type="pct"/>
            <w:vAlign w:val="center"/>
          </w:tcPr>
          <w:p w:rsidR="00687A37" w:rsidRDefault="006C6CB6">
            <w:pPr>
              <w:spacing w:line="240" w:lineRule="auto"/>
              <w:jc w:val="left"/>
            </w:pPr>
            <w:r>
              <w:rPr>
                <w:rFonts w:ascii="宋体" w:hAnsi="宋体" w:cs="宋体"/>
              </w:rPr>
              <w:t>基金名称</w:t>
            </w:r>
          </w:p>
        </w:tc>
        <w:tc>
          <w:tcPr>
            <w:tcW w:w="3462" w:type="pct"/>
            <w:hMerge w:val="restart"/>
            <w:vAlign w:val="center"/>
          </w:tcPr>
          <w:p w:rsidR="00687A37" w:rsidRDefault="006C6CB6">
            <w:pPr>
              <w:spacing w:line="240" w:lineRule="auto"/>
              <w:jc w:val="left"/>
            </w:pPr>
            <w:r>
              <w:rPr>
                <w:rFonts w:ascii="宋体" w:hAnsi="宋体" w:cs="宋体"/>
              </w:rPr>
              <w:t>鹏安安泰利率债债券型证券投资基金</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基金简称</w:t>
            </w:r>
          </w:p>
        </w:tc>
        <w:tc>
          <w:tcPr>
            <w:tcW w:w="0" w:type="auto"/>
            <w:hMerge w:val="restart"/>
            <w:vAlign w:val="center"/>
          </w:tcPr>
          <w:p w:rsidR="00687A37" w:rsidRDefault="006C6CB6">
            <w:pPr>
              <w:spacing w:line="240" w:lineRule="auto"/>
              <w:jc w:val="left"/>
            </w:pPr>
            <w:r>
              <w:rPr>
                <w:rFonts w:ascii="宋体" w:hAnsi="宋体" w:cs="宋体"/>
              </w:rPr>
              <w:t>鹏安安泰利率债</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基金主代码</w:t>
            </w:r>
          </w:p>
        </w:tc>
        <w:tc>
          <w:tcPr>
            <w:tcW w:w="0" w:type="auto"/>
            <w:hMerge w:val="restart"/>
            <w:vAlign w:val="center"/>
          </w:tcPr>
          <w:p w:rsidR="00687A37" w:rsidRDefault="006C6CB6">
            <w:pPr>
              <w:spacing w:line="240" w:lineRule="auto"/>
              <w:jc w:val="left"/>
            </w:pPr>
            <w:r>
              <w:rPr>
                <w:rFonts w:ascii="宋体" w:hAnsi="宋体" w:cs="宋体"/>
              </w:rPr>
              <w:t>026403</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基金运作方式</w:t>
            </w:r>
          </w:p>
        </w:tc>
        <w:tc>
          <w:tcPr>
            <w:tcW w:w="0" w:type="auto"/>
            <w:hMerge w:val="restart"/>
            <w:vAlign w:val="center"/>
          </w:tcPr>
          <w:p w:rsidR="00687A37" w:rsidRDefault="006C6CB6">
            <w:pPr>
              <w:spacing w:line="240" w:lineRule="auto"/>
              <w:jc w:val="left"/>
            </w:pPr>
            <w:r>
              <w:rPr>
                <w:rFonts w:ascii="宋体" w:hAnsi="宋体" w:cs="宋体"/>
              </w:rPr>
              <w:t>契约型开放式</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基金合同生效日</w:t>
            </w:r>
          </w:p>
        </w:tc>
        <w:tc>
          <w:tcPr>
            <w:tcW w:w="0" w:type="auto"/>
            <w:hMerge w:val="restart"/>
            <w:vAlign w:val="center"/>
          </w:tcPr>
          <w:p w:rsidR="00687A37" w:rsidRDefault="006C6CB6">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10</w:t>
            </w:r>
            <w:r>
              <w:rPr>
                <w:rFonts w:ascii="宋体" w:hAnsi="宋体" w:cs="宋体"/>
              </w:rPr>
              <w:t>日</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基金管理人名称</w:t>
            </w:r>
          </w:p>
        </w:tc>
        <w:tc>
          <w:tcPr>
            <w:tcW w:w="0" w:type="auto"/>
            <w:hMerge w:val="restart"/>
            <w:vAlign w:val="center"/>
          </w:tcPr>
          <w:p w:rsidR="00687A37" w:rsidRDefault="006C6CB6">
            <w:pPr>
              <w:spacing w:line="240" w:lineRule="auto"/>
              <w:jc w:val="left"/>
            </w:pPr>
            <w:r>
              <w:rPr>
                <w:rFonts w:ascii="宋体" w:hAnsi="宋体" w:cs="宋体"/>
              </w:rPr>
              <w:t>鹏安基金管理有限公司</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基金托管人名称</w:t>
            </w:r>
          </w:p>
        </w:tc>
        <w:tc>
          <w:tcPr>
            <w:tcW w:w="0" w:type="auto"/>
            <w:hMerge w:val="restart"/>
            <w:vAlign w:val="center"/>
          </w:tcPr>
          <w:p w:rsidR="00687A37" w:rsidRDefault="006C6CB6">
            <w:pPr>
              <w:spacing w:line="240" w:lineRule="auto"/>
              <w:jc w:val="left"/>
            </w:pPr>
            <w:r>
              <w:rPr>
                <w:rFonts w:ascii="宋体" w:hAnsi="宋体" w:cs="宋体"/>
              </w:rPr>
              <w:t>苏州银行股份有限公司</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基金注册登记机构名称</w:t>
            </w:r>
          </w:p>
        </w:tc>
        <w:tc>
          <w:tcPr>
            <w:tcW w:w="0" w:type="auto"/>
            <w:hMerge w:val="restart"/>
            <w:vAlign w:val="center"/>
          </w:tcPr>
          <w:p w:rsidR="00687A37" w:rsidRDefault="006C6CB6">
            <w:pPr>
              <w:spacing w:line="240" w:lineRule="auto"/>
              <w:jc w:val="left"/>
            </w:pPr>
            <w:r>
              <w:rPr>
                <w:rFonts w:ascii="宋体" w:hAnsi="宋体" w:cs="宋体"/>
              </w:rPr>
              <w:t>鹏安基金管理有限公司</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公告依据</w:t>
            </w:r>
          </w:p>
        </w:tc>
        <w:tc>
          <w:tcPr>
            <w:tcW w:w="0" w:type="auto"/>
            <w:hMerge w:val="restart"/>
            <w:vAlign w:val="center"/>
          </w:tcPr>
          <w:p w:rsidR="00687A37" w:rsidRDefault="006C6CB6">
            <w:pPr>
              <w:spacing w:line="240" w:lineRule="auto"/>
              <w:jc w:val="left"/>
            </w:pPr>
            <w:r>
              <w:rPr>
                <w:rFonts w:ascii="宋体" w:hAnsi="宋体" w:cs="宋体"/>
              </w:rPr>
              <w:t>《中华人民共和国证券投资基金法》及其配套法规、《鹏安安泰利率债债券型证券投资基金基金合同》、《鹏安安泰利率债债券型证券投资基金招募说明书》等</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申购起始日</w:t>
            </w:r>
          </w:p>
        </w:tc>
        <w:tc>
          <w:tcPr>
            <w:tcW w:w="0" w:type="auto"/>
            <w:hMerge w:val="restart"/>
            <w:vAlign w:val="center"/>
          </w:tcPr>
          <w:p w:rsidR="00687A37" w:rsidRDefault="006C6CB6">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24</w:t>
            </w:r>
            <w:r>
              <w:rPr>
                <w:rFonts w:ascii="宋体" w:hAnsi="宋体" w:cs="宋体"/>
              </w:rPr>
              <w:t>日</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赎回起始日</w:t>
            </w:r>
          </w:p>
        </w:tc>
        <w:tc>
          <w:tcPr>
            <w:tcW w:w="0" w:type="auto"/>
            <w:hMerge w:val="restart"/>
            <w:vAlign w:val="center"/>
          </w:tcPr>
          <w:p w:rsidR="00687A37" w:rsidRDefault="006C6CB6">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24</w:t>
            </w:r>
            <w:r>
              <w:rPr>
                <w:rFonts w:ascii="宋体" w:hAnsi="宋体" w:cs="宋体"/>
              </w:rPr>
              <w:t>日</w:t>
            </w:r>
          </w:p>
        </w:tc>
        <w:tc>
          <w:tcPr>
            <w:tcW w:w="0" w:type="auto"/>
            <w:gridSpan w:val="2"/>
            <w:hMerge/>
          </w:tcPr>
          <w:p w:rsidR="00687A37" w:rsidRDefault="00687A37"/>
        </w:tc>
      </w:tr>
      <w:tr w:rsidR="00687A37">
        <w:tc>
          <w:tcPr>
            <w:tcW w:w="0" w:type="auto"/>
            <w:vAlign w:val="center"/>
          </w:tcPr>
          <w:p w:rsidR="00687A37" w:rsidRDefault="006C6CB6">
            <w:pPr>
              <w:spacing w:line="240" w:lineRule="auto"/>
              <w:jc w:val="left"/>
            </w:pPr>
            <w:r>
              <w:rPr>
                <w:rFonts w:ascii="宋体" w:hAnsi="宋体" w:cs="宋体"/>
              </w:rPr>
              <w:t>定期定额投资起始日</w:t>
            </w:r>
          </w:p>
        </w:tc>
        <w:tc>
          <w:tcPr>
            <w:tcW w:w="0" w:type="auto"/>
            <w:hMerge w:val="restart"/>
            <w:vAlign w:val="center"/>
          </w:tcPr>
          <w:p w:rsidR="00687A37" w:rsidRDefault="006C6CB6">
            <w:pPr>
              <w:spacing w:line="240" w:lineRule="auto"/>
              <w:jc w:val="lef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24</w:t>
            </w:r>
            <w:r>
              <w:rPr>
                <w:rFonts w:ascii="宋体" w:hAnsi="宋体" w:cs="宋体"/>
              </w:rPr>
              <w:t>日</w:t>
            </w:r>
          </w:p>
        </w:tc>
        <w:tc>
          <w:tcPr>
            <w:tcW w:w="0" w:type="auto"/>
            <w:gridSpan w:val="2"/>
            <w:hMerge/>
          </w:tcPr>
          <w:p w:rsidR="00687A37" w:rsidRDefault="00687A37"/>
        </w:tc>
      </w:tr>
      <w:tr w:rsidR="00687A37">
        <w:tc>
          <w:tcPr>
            <w:tcW w:w="1538" w:type="pct"/>
            <w:vAlign w:val="center"/>
          </w:tcPr>
          <w:p w:rsidR="00687A37" w:rsidRDefault="006C6CB6">
            <w:pPr>
              <w:spacing w:line="240" w:lineRule="auto"/>
              <w:jc w:val="left"/>
            </w:pPr>
            <w:r>
              <w:rPr>
                <w:rFonts w:ascii="宋体" w:hAnsi="宋体" w:cs="宋体"/>
              </w:rPr>
              <w:t>下属分级基金的基金简称</w:t>
            </w:r>
          </w:p>
        </w:tc>
        <w:tc>
          <w:tcPr>
            <w:tcW w:w="1700" w:type="pct"/>
            <w:gridSpan w:val="2"/>
            <w:vAlign w:val="center"/>
          </w:tcPr>
          <w:p w:rsidR="00687A37" w:rsidRDefault="006C6CB6">
            <w:pPr>
              <w:spacing w:line="240" w:lineRule="auto"/>
              <w:jc w:val="left"/>
            </w:pPr>
            <w:r>
              <w:rPr>
                <w:rFonts w:ascii="宋体" w:hAnsi="宋体" w:cs="宋体"/>
              </w:rPr>
              <w:t>鹏安安泰利率债</w:t>
            </w:r>
            <w:r>
              <w:rPr>
                <w:rFonts w:ascii="宋体" w:hAnsi="宋体" w:cs="宋体"/>
              </w:rPr>
              <w:t>A</w:t>
            </w:r>
          </w:p>
        </w:tc>
        <w:tc>
          <w:tcPr>
            <w:tcW w:w="1700" w:type="pct"/>
            <w:vAlign w:val="center"/>
          </w:tcPr>
          <w:p w:rsidR="00687A37" w:rsidRDefault="006C6CB6">
            <w:pPr>
              <w:spacing w:line="240" w:lineRule="auto"/>
              <w:jc w:val="left"/>
            </w:pPr>
            <w:r>
              <w:rPr>
                <w:rFonts w:ascii="宋体" w:hAnsi="宋体" w:cs="宋体"/>
              </w:rPr>
              <w:t>鹏安安泰利率债</w:t>
            </w:r>
            <w:r>
              <w:rPr>
                <w:rFonts w:ascii="宋体" w:hAnsi="宋体" w:cs="宋体"/>
              </w:rPr>
              <w:t>C</w:t>
            </w:r>
          </w:p>
        </w:tc>
      </w:tr>
      <w:tr w:rsidR="00687A37">
        <w:tc>
          <w:tcPr>
            <w:tcW w:w="0" w:type="auto"/>
            <w:vAlign w:val="center"/>
          </w:tcPr>
          <w:p w:rsidR="00687A37" w:rsidRDefault="006C6CB6">
            <w:pPr>
              <w:spacing w:line="240" w:lineRule="auto"/>
              <w:jc w:val="left"/>
            </w:pPr>
            <w:r>
              <w:rPr>
                <w:rFonts w:ascii="宋体" w:hAnsi="宋体" w:cs="宋体"/>
              </w:rPr>
              <w:t>下属分级基金的交易代码</w:t>
            </w:r>
          </w:p>
        </w:tc>
        <w:tc>
          <w:tcPr>
            <w:tcW w:w="1700" w:type="pct"/>
            <w:gridSpan w:val="2"/>
            <w:vAlign w:val="center"/>
          </w:tcPr>
          <w:p w:rsidR="00687A37" w:rsidRDefault="006C6CB6">
            <w:pPr>
              <w:spacing w:line="240" w:lineRule="auto"/>
              <w:jc w:val="left"/>
            </w:pPr>
            <w:r>
              <w:rPr>
                <w:rFonts w:ascii="宋体" w:hAnsi="宋体" w:cs="宋体"/>
              </w:rPr>
              <w:t>026403</w:t>
            </w:r>
          </w:p>
        </w:tc>
        <w:tc>
          <w:tcPr>
            <w:tcW w:w="1700" w:type="pct"/>
            <w:vAlign w:val="center"/>
          </w:tcPr>
          <w:p w:rsidR="00687A37" w:rsidRDefault="006C6CB6">
            <w:pPr>
              <w:spacing w:line="240" w:lineRule="auto"/>
              <w:jc w:val="left"/>
            </w:pPr>
            <w:r>
              <w:rPr>
                <w:rFonts w:ascii="宋体" w:hAnsi="宋体" w:cs="宋体"/>
              </w:rPr>
              <w:t>026404</w:t>
            </w:r>
          </w:p>
        </w:tc>
      </w:tr>
      <w:tr w:rsidR="00687A37">
        <w:tc>
          <w:tcPr>
            <w:tcW w:w="0" w:type="auto"/>
            <w:vAlign w:val="center"/>
          </w:tcPr>
          <w:p w:rsidR="00687A37" w:rsidRDefault="006C6CB6">
            <w:pPr>
              <w:spacing w:line="240" w:lineRule="auto"/>
              <w:jc w:val="left"/>
            </w:pPr>
            <w:r>
              <w:rPr>
                <w:rFonts w:ascii="宋体" w:hAnsi="宋体" w:cs="宋体"/>
              </w:rPr>
              <w:t>该分级基金是否开放申购、赎回、定期定额投资</w:t>
            </w:r>
          </w:p>
        </w:tc>
        <w:tc>
          <w:tcPr>
            <w:tcW w:w="1700" w:type="pct"/>
            <w:gridSpan w:val="2"/>
            <w:vAlign w:val="center"/>
          </w:tcPr>
          <w:p w:rsidR="00687A37" w:rsidRDefault="006C6CB6">
            <w:pPr>
              <w:spacing w:line="240" w:lineRule="auto"/>
              <w:jc w:val="left"/>
            </w:pPr>
            <w:r>
              <w:rPr>
                <w:rFonts w:ascii="宋体" w:hAnsi="宋体" w:cs="宋体"/>
              </w:rPr>
              <w:t>是</w:t>
            </w:r>
          </w:p>
        </w:tc>
        <w:tc>
          <w:tcPr>
            <w:tcW w:w="1700" w:type="pct"/>
            <w:vAlign w:val="center"/>
          </w:tcPr>
          <w:p w:rsidR="00687A37" w:rsidRDefault="006C6CB6">
            <w:pPr>
              <w:spacing w:line="240" w:lineRule="auto"/>
              <w:jc w:val="left"/>
            </w:pPr>
            <w:r>
              <w:rPr>
                <w:rFonts w:ascii="宋体" w:hAnsi="宋体" w:cs="宋体"/>
              </w:rPr>
              <w:t>是</w:t>
            </w:r>
          </w:p>
        </w:tc>
      </w:tr>
    </w:tbl>
    <w:p w:rsidR="00687A37" w:rsidRDefault="006C6CB6">
      <w:pPr>
        <w:pStyle w:val="1"/>
      </w:pPr>
      <w:r>
        <w:rPr>
          <w:rFonts w:ascii="宋体" w:hAnsi="宋体" w:cs="宋体"/>
        </w:rPr>
        <w:t xml:space="preserve">2 </w:t>
      </w:r>
      <w:r>
        <w:rPr>
          <w:rFonts w:ascii="宋体" w:hAnsi="宋体" w:cs="宋体"/>
        </w:rPr>
        <w:t>日常申购、赎回、定期定额投资业务的办理时间</w:t>
      </w:r>
    </w:p>
    <w:p w:rsidR="00687A37" w:rsidRDefault="006C6CB6">
      <w:pPr>
        <w:jc w:val="left"/>
      </w:pPr>
      <w:r>
        <w:rPr>
          <w:rFonts w:ascii="宋体" w:hAnsi="宋体" w:cs="宋体"/>
        </w:rPr>
        <w:t xml:space="preserve">    </w:t>
      </w:r>
      <w:r>
        <w:rPr>
          <w:rFonts w:ascii="宋体" w:hAnsi="宋体" w:cs="宋体"/>
        </w:rPr>
        <w:t>投资者在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ascii="宋体" w:hAnsi="宋体" w:cs="宋体"/>
        </w:rPr>
        <w:cr/>
        <w:t xml:space="preserve">    </w:t>
      </w:r>
      <w:r>
        <w:rPr>
          <w:rFonts w:ascii="宋体" w:hAnsi="宋体" w:cs="宋体"/>
        </w:rPr>
        <w:t>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以下简称</w:t>
      </w:r>
      <w:r>
        <w:rPr>
          <w:rFonts w:ascii="宋体" w:hAnsi="宋体" w:cs="宋体"/>
        </w:rPr>
        <w:t>“</w:t>
      </w:r>
      <w:r>
        <w:rPr>
          <w:rFonts w:ascii="宋体" w:hAnsi="宋体" w:cs="宋体"/>
        </w:rPr>
        <w:t>《信息披露办法》</w:t>
      </w:r>
      <w:r>
        <w:rPr>
          <w:rFonts w:ascii="宋体" w:hAnsi="宋体" w:cs="宋体"/>
        </w:rPr>
        <w:t>”</w:t>
      </w:r>
      <w:r>
        <w:rPr>
          <w:rFonts w:ascii="宋体" w:hAnsi="宋体" w:cs="宋体"/>
        </w:rPr>
        <w:t>）的有关规定在规定媒介上公告。</w:t>
      </w:r>
    </w:p>
    <w:p w:rsidR="00687A37" w:rsidRDefault="006C6CB6">
      <w:pPr>
        <w:pStyle w:val="1"/>
      </w:pPr>
      <w:r>
        <w:rPr>
          <w:rFonts w:ascii="宋体" w:hAnsi="宋体" w:cs="宋体"/>
        </w:rPr>
        <w:t xml:space="preserve">3 </w:t>
      </w:r>
      <w:r>
        <w:rPr>
          <w:rFonts w:ascii="宋体" w:hAnsi="宋体" w:cs="宋体"/>
        </w:rPr>
        <w:t>日常申购业务</w:t>
      </w:r>
    </w:p>
    <w:p w:rsidR="00687A37" w:rsidRDefault="00687A37"/>
    <w:p w:rsidR="00687A37" w:rsidRDefault="006C6CB6">
      <w:pPr>
        <w:pStyle w:val="2"/>
      </w:pPr>
      <w:r>
        <w:rPr>
          <w:rFonts w:ascii="宋体" w:hAnsi="宋体" w:cs="宋体"/>
        </w:rPr>
        <w:t xml:space="preserve">3.1 </w:t>
      </w:r>
      <w:r>
        <w:rPr>
          <w:rFonts w:ascii="宋体" w:hAnsi="宋体" w:cs="宋体"/>
        </w:rPr>
        <w:t>申购金额</w:t>
      </w:r>
      <w:r>
        <w:rPr>
          <w:rFonts w:ascii="宋体" w:hAnsi="宋体" w:cs="宋体"/>
        </w:rPr>
        <w:t>限制</w:t>
      </w:r>
    </w:p>
    <w:p w:rsidR="00687A37" w:rsidRDefault="006C6CB6">
      <w:pPr>
        <w:jc w:val="left"/>
      </w:pPr>
      <w:r>
        <w:rPr>
          <w:rFonts w:ascii="宋体" w:hAnsi="宋体" w:cs="宋体"/>
        </w:rPr>
        <w:t xml:space="preserve">    1</w:t>
      </w:r>
      <w:r>
        <w:rPr>
          <w:rFonts w:ascii="宋体" w:hAnsi="宋体" w:cs="宋体"/>
        </w:rPr>
        <w:t>、本基金其他销售机构的销售网点每个账户单笔首次申购的最低金额为</w:t>
      </w:r>
      <w:r>
        <w:rPr>
          <w:rFonts w:ascii="宋体" w:hAnsi="宋体" w:cs="宋体"/>
        </w:rPr>
        <w:t>0.01</w:t>
      </w:r>
      <w:r>
        <w:rPr>
          <w:rFonts w:ascii="宋体" w:hAnsi="宋体" w:cs="宋体"/>
        </w:rPr>
        <w:t>元（含申购费，下同），单个账户单笔追加最低申购金额为</w:t>
      </w:r>
      <w:r>
        <w:rPr>
          <w:rFonts w:ascii="宋体" w:hAnsi="宋体" w:cs="宋体"/>
        </w:rPr>
        <w:t>0.01</w:t>
      </w:r>
      <w:r>
        <w:rPr>
          <w:rFonts w:ascii="宋体" w:hAnsi="宋体" w:cs="宋体"/>
        </w:rPr>
        <w:t>元。在不违反前述规定的前提下，各销售机构对本</w:t>
      </w:r>
      <w:r>
        <w:rPr>
          <w:rFonts w:ascii="宋体" w:hAnsi="宋体" w:cs="宋体"/>
        </w:rPr>
        <w:lastRenderedPageBreak/>
        <w:t>基金最低申购金额及交易级差有其他规定的，以各销售机构的业务规定为准。直销机构每个账户首次申购的最低金额为单笔</w:t>
      </w:r>
      <w:r>
        <w:rPr>
          <w:rFonts w:ascii="宋体" w:hAnsi="宋体" w:cs="宋体"/>
        </w:rPr>
        <w:t>10</w:t>
      </w:r>
      <w:r>
        <w:rPr>
          <w:rFonts w:ascii="宋体" w:hAnsi="宋体" w:cs="宋体"/>
        </w:rPr>
        <w:t>元，追加申购的最低金额为单笔</w:t>
      </w:r>
      <w:r>
        <w:rPr>
          <w:rFonts w:ascii="宋体" w:hAnsi="宋体" w:cs="宋体"/>
        </w:rPr>
        <w:t>10</w:t>
      </w:r>
      <w:r>
        <w:rPr>
          <w:rFonts w:ascii="宋体" w:hAnsi="宋体" w:cs="宋体"/>
        </w:rPr>
        <w:t>元。投资者当期分配的基金收益转为相应类别的基金份额时，不受最低申购金额的限制。基金管理人可根据市场情况调整本基金首次申购的最低金额和追加申购的单笔最低金额。</w:t>
      </w:r>
      <w:r>
        <w:rPr>
          <w:rFonts w:ascii="宋体" w:hAnsi="宋体" w:cs="宋体"/>
        </w:rPr>
        <w:t xml:space="preserve">   </w:t>
      </w:r>
      <w:r>
        <w:rPr>
          <w:rFonts w:ascii="宋体" w:hAnsi="宋体" w:cs="宋体"/>
        </w:rPr>
        <w:cr/>
        <w:t xml:space="preserve">    2</w:t>
      </w:r>
      <w:r>
        <w:rPr>
          <w:rFonts w:ascii="宋体" w:hAnsi="宋体" w:cs="宋体"/>
        </w:rPr>
        <w:t>、本</w:t>
      </w:r>
      <w:r>
        <w:rPr>
          <w:rFonts w:ascii="宋体" w:hAnsi="宋体" w:cs="宋体"/>
        </w:rPr>
        <w:t>基金对单个投资者的累计持有的基金份额不设上限限制，但单一投资者持有基金份额数不得达到或超过基金份额总数的</w:t>
      </w:r>
      <w:r>
        <w:rPr>
          <w:rFonts w:ascii="宋体" w:hAnsi="宋体" w:cs="宋体"/>
        </w:rPr>
        <w:t>50%</w:t>
      </w:r>
      <w:r>
        <w:rPr>
          <w:rFonts w:ascii="宋体" w:hAnsi="宋体" w:cs="宋体"/>
        </w:rPr>
        <w:t>（在基金运作过程中因基金份额赎回等情形导致被动达到或超过</w:t>
      </w:r>
      <w:r>
        <w:rPr>
          <w:rFonts w:ascii="宋体" w:hAnsi="宋体" w:cs="宋体"/>
        </w:rPr>
        <w:t>50%</w:t>
      </w:r>
      <w:r>
        <w:rPr>
          <w:rFonts w:ascii="宋体" w:hAnsi="宋体" w:cs="宋体"/>
        </w:rPr>
        <w:t>的除外）。法律法规或监管部门另有规定的，从其规定。</w:t>
      </w:r>
      <w:r>
        <w:rPr>
          <w:rFonts w:ascii="宋体" w:hAnsi="宋体" w:cs="宋体"/>
        </w:rPr>
        <w:cr/>
        <w:t xml:space="preserve">    3</w:t>
      </w:r>
      <w:r>
        <w:rPr>
          <w:rFonts w:ascii="宋体" w:hAnsi="宋体" w:cs="宋体"/>
        </w:rPr>
        <w:t>、基金管理人可以规定基金总规模、单日或单笔申购金额上限，具体规定请参见更新的招募说明书或相关公告。</w:t>
      </w:r>
      <w:r>
        <w:rPr>
          <w:rFonts w:ascii="宋体" w:hAnsi="宋体" w:cs="宋体"/>
        </w:rPr>
        <w:cr/>
        <w:t xml:space="preserve">    4</w:t>
      </w:r>
      <w:r>
        <w:rPr>
          <w:rFonts w:ascii="宋体" w:hAnsi="宋体" w:cs="宋体"/>
        </w:rPr>
        <w:t>、当接受申购申请对存量基金份额持有人利益构成潜在重大不利影响时，基金管理人应当采取设定单一投资者申购金额上限或基金单日净申购比例上限、拒绝大额申购、暂停基金申购等措施，</w:t>
      </w:r>
      <w:r>
        <w:rPr>
          <w:rFonts w:ascii="宋体" w:hAnsi="宋体" w:cs="宋体"/>
        </w:rPr>
        <w:t>切实保护存量基金份额持有人的合法权益。基金管理人基于投资运作与风险控制的需要，可采取上述措施对基金规模予以控制。具体见基金管理人相关公告。</w:t>
      </w:r>
      <w:r>
        <w:rPr>
          <w:rFonts w:ascii="宋体" w:hAnsi="宋体" w:cs="宋体"/>
        </w:rPr>
        <w:cr/>
        <w:t xml:space="preserve">    5</w:t>
      </w:r>
      <w:r>
        <w:rPr>
          <w:rFonts w:ascii="宋体" w:hAnsi="宋体" w:cs="宋体"/>
        </w:rPr>
        <w:t>、基金管理人可在法律法规允许的情况下，调整上述规定申购金额等数量限制。基金管理人必须在调整实施前依照《信息披露办法》的有关规定在规定媒介上公告。</w:t>
      </w:r>
    </w:p>
    <w:p w:rsidR="00687A37" w:rsidRDefault="00687A37"/>
    <w:p w:rsidR="00687A37" w:rsidRDefault="006C6CB6">
      <w:pPr>
        <w:pStyle w:val="2"/>
      </w:pPr>
      <w:r>
        <w:rPr>
          <w:rFonts w:ascii="宋体" w:hAnsi="宋体" w:cs="宋体"/>
        </w:rPr>
        <w:t xml:space="preserve">3.2 </w:t>
      </w:r>
      <w:r>
        <w:rPr>
          <w:rFonts w:ascii="宋体" w:hAnsi="宋体" w:cs="宋体"/>
        </w:rPr>
        <w:t>申购费率</w:t>
      </w:r>
    </w:p>
    <w:p w:rsidR="00687A37" w:rsidRDefault="006C6CB6">
      <w:r>
        <w:rPr>
          <w:rFonts w:ascii="宋体" w:hAnsi="宋体" w:cs="宋体"/>
        </w:rPr>
        <w:t xml:space="preserve">    1</w:t>
      </w:r>
      <w:r>
        <w:rPr>
          <w:rFonts w:ascii="宋体" w:hAnsi="宋体" w:cs="宋体"/>
        </w:rPr>
        <w:t>、申购的有效份额为净申购金额除以当日的该类基金份额净值，有效份额单位为份，上述计算结果均按四舍五入方法，保留到小数点后</w:t>
      </w:r>
      <w:r>
        <w:rPr>
          <w:rFonts w:ascii="宋体" w:hAnsi="宋体" w:cs="宋体"/>
        </w:rPr>
        <w:t>2</w:t>
      </w:r>
      <w:r>
        <w:rPr>
          <w:rFonts w:ascii="宋体" w:hAnsi="宋体" w:cs="宋体"/>
        </w:rPr>
        <w:t>位，由此产生的收益或损失由基金财产承担。投资者在一天之内如果有多笔</w:t>
      </w:r>
      <w:r>
        <w:rPr>
          <w:rFonts w:ascii="宋体" w:hAnsi="宋体" w:cs="宋体"/>
        </w:rPr>
        <w:t>申购，适用费率按单笔分别计算。</w:t>
      </w:r>
      <w:r>
        <w:rPr>
          <w:rFonts w:ascii="宋体" w:hAnsi="宋体" w:cs="宋体"/>
        </w:rPr>
        <w:cr/>
        <w:t xml:space="preserve">    2</w:t>
      </w:r>
      <w:r>
        <w:rPr>
          <w:rFonts w:ascii="宋体" w:hAnsi="宋体" w:cs="宋体"/>
        </w:rPr>
        <w:t>、本基金</w:t>
      </w:r>
      <w:r>
        <w:rPr>
          <w:rFonts w:ascii="宋体" w:hAnsi="宋体" w:cs="宋体"/>
        </w:rPr>
        <w:t>A</w:t>
      </w:r>
      <w:r>
        <w:rPr>
          <w:rFonts w:ascii="宋体" w:hAnsi="宋体" w:cs="宋体"/>
        </w:rPr>
        <w:t>类基金份额在投资者申购时收取申购费，</w:t>
      </w:r>
      <w:r>
        <w:rPr>
          <w:rFonts w:ascii="宋体" w:hAnsi="宋体" w:cs="宋体"/>
        </w:rPr>
        <w:t>C</w:t>
      </w:r>
      <w:r>
        <w:rPr>
          <w:rFonts w:ascii="宋体" w:hAnsi="宋体" w:cs="宋体"/>
        </w:rPr>
        <w:t>类基金份额不收取申购费。申购费用不列入基金财产，主要用于本基金的市场推广、销售、登记等各项费用。</w:t>
      </w:r>
    </w:p>
    <w:p w:rsidR="00687A37" w:rsidRDefault="00687A37"/>
    <w:p w:rsidR="00687A37" w:rsidRDefault="006C6CB6">
      <w:r>
        <w:rPr>
          <w:rFonts w:ascii="宋体" w:hAnsi="宋体" w:cs="宋体"/>
          <w:b/>
        </w:rPr>
        <w:t xml:space="preserve">3.2.1 </w:t>
      </w:r>
      <w:r>
        <w:rPr>
          <w:rFonts w:ascii="宋体" w:hAnsi="宋体" w:cs="宋体"/>
          <w:b/>
        </w:rPr>
        <w:t>前端收费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5"/>
        <w:gridCol w:w="3096"/>
      </w:tblGrid>
      <w:tr w:rsidR="00687A37">
        <w:tc>
          <w:tcPr>
            <w:tcW w:w="1538" w:type="pct"/>
            <w:vAlign w:val="center"/>
          </w:tcPr>
          <w:p w:rsidR="00687A37" w:rsidRDefault="006C6CB6">
            <w:pPr>
              <w:spacing w:line="240" w:lineRule="auto"/>
              <w:jc w:val="center"/>
            </w:pPr>
            <w:r>
              <w:rPr>
                <w:rFonts w:ascii="宋体" w:hAnsi="宋体" w:cs="宋体"/>
              </w:rPr>
              <w:t>鹏安安泰利率债</w:t>
            </w:r>
            <w:r>
              <w:rPr>
                <w:rFonts w:ascii="宋体" w:hAnsi="宋体" w:cs="宋体"/>
              </w:rPr>
              <w:t>A</w:t>
            </w:r>
            <w:r>
              <w:rPr>
                <w:rFonts w:ascii="宋体" w:hAnsi="宋体" w:cs="宋体"/>
              </w:rPr>
              <w:t>申购金额（</w:t>
            </w:r>
            <w:r>
              <w:rPr>
                <w:rFonts w:ascii="宋体" w:hAnsi="宋体" w:cs="宋体"/>
              </w:rPr>
              <w:t>M</w:t>
            </w:r>
            <w:r>
              <w:rPr>
                <w:rFonts w:ascii="宋体" w:hAnsi="宋体" w:cs="宋体"/>
              </w:rPr>
              <w:t>）</w:t>
            </w:r>
          </w:p>
        </w:tc>
        <w:tc>
          <w:tcPr>
            <w:tcW w:w="1538" w:type="pct"/>
            <w:vAlign w:val="center"/>
          </w:tcPr>
          <w:p w:rsidR="00687A37" w:rsidRDefault="006C6CB6">
            <w:pPr>
              <w:spacing w:line="240" w:lineRule="auto"/>
              <w:jc w:val="center"/>
            </w:pPr>
            <w:r>
              <w:rPr>
                <w:rFonts w:ascii="宋体" w:hAnsi="宋体" w:cs="宋体"/>
              </w:rPr>
              <w:t>申购费率</w:t>
            </w:r>
          </w:p>
        </w:tc>
        <w:tc>
          <w:tcPr>
            <w:tcW w:w="1538" w:type="pct"/>
            <w:vAlign w:val="center"/>
          </w:tcPr>
          <w:p w:rsidR="00687A37" w:rsidRDefault="006C6CB6">
            <w:pPr>
              <w:spacing w:line="240" w:lineRule="auto"/>
              <w:jc w:val="center"/>
            </w:pPr>
            <w:r>
              <w:rPr>
                <w:rFonts w:ascii="宋体" w:hAnsi="宋体" w:cs="宋体"/>
              </w:rPr>
              <w:t>备注</w:t>
            </w:r>
          </w:p>
        </w:tc>
      </w:tr>
      <w:tr w:rsidR="00687A37">
        <w:tc>
          <w:tcPr>
            <w:tcW w:w="1538" w:type="pct"/>
            <w:vAlign w:val="center"/>
          </w:tcPr>
          <w:p w:rsidR="00687A37" w:rsidRDefault="006C6CB6">
            <w:pPr>
              <w:spacing w:line="240" w:lineRule="auto"/>
              <w:jc w:val="left"/>
            </w:pPr>
            <w:r>
              <w:rPr>
                <w:rFonts w:ascii="宋体" w:hAnsi="宋体" w:cs="宋体"/>
              </w:rPr>
              <w:t>M&lt;100</w:t>
            </w:r>
            <w:r>
              <w:rPr>
                <w:rFonts w:ascii="宋体" w:hAnsi="宋体" w:cs="宋体"/>
              </w:rPr>
              <w:t>万</w:t>
            </w:r>
          </w:p>
        </w:tc>
        <w:tc>
          <w:tcPr>
            <w:tcW w:w="1538" w:type="pct"/>
            <w:vAlign w:val="center"/>
          </w:tcPr>
          <w:p w:rsidR="00687A37" w:rsidRDefault="006C6CB6">
            <w:pPr>
              <w:spacing w:line="240" w:lineRule="auto"/>
              <w:jc w:val="right"/>
            </w:pPr>
            <w:r>
              <w:rPr>
                <w:rFonts w:ascii="宋体" w:hAnsi="宋体" w:cs="宋体"/>
              </w:rPr>
              <w:t>0.4%</w:t>
            </w:r>
          </w:p>
        </w:tc>
        <w:tc>
          <w:tcPr>
            <w:tcW w:w="1538" w:type="pct"/>
            <w:vAlign w:val="center"/>
          </w:tcPr>
          <w:p w:rsidR="00687A37" w:rsidRDefault="006C6CB6">
            <w:pPr>
              <w:spacing w:line="240" w:lineRule="auto"/>
              <w:jc w:val="left"/>
            </w:pPr>
            <w:r>
              <w:rPr>
                <w:rFonts w:ascii="宋体" w:hAnsi="宋体" w:cs="宋体"/>
              </w:rPr>
              <w:t>-</w:t>
            </w:r>
          </w:p>
        </w:tc>
      </w:tr>
      <w:tr w:rsidR="00687A37">
        <w:tc>
          <w:tcPr>
            <w:tcW w:w="1538" w:type="pct"/>
            <w:vAlign w:val="center"/>
          </w:tcPr>
          <w:p w:rsidR="00687A37" w:rsidRDefault="006C6CB6">
            <w:pPr>
              <w:spacing w:line="240" w:lineRule="auto"/>
              <w:jc w:val="left"/>
            </w:pPr>
            <w:r>
              <w:rPr>
                <w:rFonts w:ascii="宋体" w:hAnsi="宋体" w:cs="宋体"/>
              </w:rPr>
              <w:t>100</w:t>
            </w:r>
            <w:r>
              <w:rPr>
                <w:rFonts w:ascii="宋体" w:hAnsi="宋体" w:cs="宋体"/>
              </w:rPr>
              <w:t>万</w:t>
            </w:r>
            <w:r>
              <w:rPr>
                <w:rFonts w:ascii="宋体" w:hAnsi="宋体" w:cs="宋体"/>
              </w:rPr>
              <w:t>≤M&lt;500</w:t>
            </w:r>
            <w:r>
              <w:rPr>
                <w:rFonts w:ascii="宋体" w:hAnsi="宋体" w:cs="宋体"/>
              </w:rPr>
              <w:t>万</w:t>
            </w:r>
          </w:p>
        </w:tc>
        <w:tc>
          <w:tcPr>
            <w:tcW w:w="1538" w:type="pct"/>
            <w:vAlign w:val="center"/>
          </w:tcPr>
          <w:p w:rsidR="00687A37" w:rsidRDefault="006C6CB6">
            <w:pPr>
              <w:spacing w:line="240" w:lineRule="auto"/>
              <w:jc w:val="right"/>
            </w:pPr>
            <w:r>
              <w:rPr>
                <w:rFonts w:ascii="宋体" w:hAnsi="宋体" w:cs="宋体"/>
              </w:rPr>
              <w:t>0.2%</w:t>
            </w:r>
          </w:p>
        </w:tc>
        <w:tc>
          <w:tcPr>
            <w:tcW w:w="1538" w:type="pct"/>
            <w:vAlign w:val="center"/>
          </w:tcPr>
          <w:p w:rsidR="00687A37" w:rsidRDefault="006C6CB6">
            <w:pPr>
              <w:spacing w:line="240" w:lineRule="auto"/>
              <w:jc w:val="left"/>
            </w:pPr>
            <w:r>
              <w:rPr>
                <w:rFonts w:ascii="宋体" w:hAnsi="宋体" w:cs="宋体"/>
              </w:rPr>
              <w:t>-</w:t>
            </w:r>
          </w:p>
        </w:tc>
      </w:tr>
      <w:tr w:rsidR="00687A37">
        <w:tc>
          <w:tcPr>
            <w:tcW w:w="1538" w:type="pct"/>
            <w:vAlign w:val="center"/>
          </w:tcPr>
          <w:p w:rsidR="00687A37" w:rsidRDefault="006C6CB6">
            <w:pPr>
              <w:spacing w:line="240" w:lineRule="auto"/>
              <w:jc w:val="left"/>
            </w:pPr>
            <w:r>
              <w:rPr>
                <w:rFonts w:ascii="宋体" w:hAnsi="宋体" w:cs="宋体"/>
              </w:rPr>
              <w:t>500</w:t>
            </w:r>
            <w:r>
              <w:rPr>
                <w:rFonts w:ascii="宋体" w:hAnsi="宋体" w:cs="宋体"/>
              </w:rPr>
              <w:t>万</w:t>
            </w:r>
            <w:r>
              <w:rPr>
                <w:rFonts w:ascii="宋体" w:hAnsi="宋体" w:cs="宋体"/>
              </w:rPr>
              <w:t>≤M</w:t>
            </w:r>
          </w:p>
        </w:tc>
        <w:tc>
          <w:tcPr>
            <w:tcW w:w="1538" w:type="pct"/>
            <w:vAlign w:val="center"/>
          </w:tcPr>
          <w:p w:rsidR="00687A37" w:rsidRDefault="006C6CB6">
            <w:pPr>
              <w:spacing w:line="240" w:lineRule="auto"/>
              <w:jc w:val="right"/>
            </w:pPr>
            <w:r>
              <w:rPr>
                <w:rFonts w:ascii="宋体" w:hAnsi="宋体" w:cs="宋体"/>
              </w:rPr>
              <w:t>1000.00</w:t>
            </w:r>
            <w:r>
              <w:rPr>
                <w:rFonts w:ascii="宋体" w:hAnsi="宋体" w:cs="宋体"/>
              </w:rPr>
              <w:t>元</w:t>
            </w:r>
            <w:r>
              <w:rPr>
                <w:rFonts w:ascii="宋体" w:hAnsi="宋体" w:cs="宋体"/>
              </w:rPr>
              <w:t>/</w:t>
            </w:r>
            <w:r>
              <w:rPr>
                <w:rFonts w:ascii="宋体" w:hAnsi="宋体" w:cs="宋体"/>
              </w:rPr>
              <w:t>笔</w:t>
            </w:r>
          </w:p>
        </w:tc>
        <w:tc>
          <w:tcPr>
            <w:tcW w:w="1538" w:type="pct"/>
            <w:vAlign w:val="center"/>
          </w:tcPr>
          <w:p w:rsidR="00687A37" w:rsidRDefault="006C6CB6">
            <w:pPr>
              <w:spacing w:line="240" w:lineRule="auto"/>
              <w:jc w:val="left"/>
            </w:pPr>
            <w:r>
              <w:rPr>
                <w:rFonts w:ascii="宋体" w:hAnsi="宋体" w:cs="宋体"/>
              </w:rPr>
              <w:t>-</w:t>
            </w:r>
          </w:p>
        </w:tc>
      </w:tr>
    </w:tbl>
    <w:p w:rsidR="00687A37" w:rsidRDefault="00687A37"/>
    <w:p w:rsidR="00687A37" w:rsidRDefault="006C6CB6">
      <w:pPr>
        <w:pStyle w:val="2"/>
      </w:pPr>
      <w:r>
        <w:rPr>
          <w:rFonts w:ascii="宋体" w:hAnsi="宋体" w:cs="宋体"/>
        </w:rPr>
        <w:t xml:space="preserve">3.3 </w:t>
      </w:r>
      <w:r>
        <w:rPr>
          <w:rFonts w:ascii="宋体" w:hAnsi="宋体" w:cs="宋体"/>
        </w:rPr>
        <w:t>其他与申购相关的事项</w:t>
      </w:r>
    </w:p>
    <w:p w:rsidR="00687A37" w:rsidRDefault="006C6CB6">
      <w:pPr>
        <w:jc w:val="left"/>
      </w:pPr>
      <w:r>
        <w:rPr>
          <w:rFonts w:ascii="宋体" w:hAnsi="宋体" w:cs="宋体"/>
        </w:rPr>
        <w:t xml:space="preserve">    1</w:t>
      </w:r>
      <w:r>
        <w:rPr>
          <w:rFonts w:ascii="宋体" w:hAnsi="宋体" w:cs="宋体"/>
        </w:rPr>
        <w:t>、基金管理人可以在基金合同约定的范围内调整费率或收费方式，并将新的费率或收费方式依照《信息披露办法》的有关规定在规定媒介上公告。</w:t>
      </w:r>
      <w:r>
        <w:rPr>
          <w:rFonts w:ascii="宋体" w:hAnsi="宋体" w:cs="宋体"/>
        </w:rPr>
        <w:cr/>
        <w:t xml:space="preserve">    2</w:t>
      </w:r>
      <w:r>
        <w:rPr>
          <w:rFonts w:ascii="宋体" w:hAnsi="宋体" w:cs="宋体"/>
        </w:rPr>
        <w:t>、遵循</w:t>
      </w:r>
      <w:r>
        <w:rPr>
          <w:rFonts w:ascii="宋体" w:hAnsi="宋体" w:cs="宋体"/>
        </w:rPr>
        <w:t>“</w:t>
      </w:r>
      <w:r>
        <w:rPr>
          <w:rFonts w:ascii="宋体" w:hAnsi="宋体" w:cs="宋体"/>
        </w:rPr>
        <w:t>未知价</w:t>
      </w:r>
      <w:r>
        <w:rPr>
          <w:rFonts w:ascii="宋体" w:hAnsi="宋体" w:cs="宋体"/>
        </w:rPr>
        <w:t>”</w:t>
      </w:r>
      <w:r>
        <w:rPr>
          <w:rFonts w:ascii="宋体" w:hAnsi="宋体" w:cs="宋体"/>
        </w:rPr>
        <w:t>原则，即申购价格以申请当日收市后计算的各类基金份额净值为基准进行计算。</w:t>
      </w:r>
      <w:r>
        <w:rPr>
          <w:rFonts w:ascii="宋体" w:hAnsi="宋体" w:cs="宋体"/>
        </w:rPr>
        <w:cr/>
        <w:t xml:space="preserve">    3</w:t>
      </w:r>
      <w:r>
        <w:rPr>
          <w:rFonts w:ascii="宋体" w:hAnsi="宋体" w:cs="宋体"/>
        </w:rPr>
        <w:t>、</w:t>
      </w:r>
      <w:r>
        <w:rPr>
          <w:rFonts w:ascii="宋体" w:hAnsi="宋体" w:cs="宋体"/>
        </w:rPr>
        <w:t>“</w:t>
      </w:r>
      <w:r>
        <w:rPr>
          <w:rFonts w:ascii="宋体" w:hAnsi="宋体" w:cs="宋体"/>
        </w:rPr>
        <w:t>金额申购</w:t>
      </w:r>
      <w:r>
        <w:rPr>
          <w:rFonts w:ascii="宋体" w:hAnsi="宋体" w:cs="宋体"/>
        </w:rPr>
        <w:t>”</w:t>
      </w:r>
      <w:r>
        <w:rPr>
          <w:rFonts w:ascii="宋体" w:hAnsi="宋体" w:cs="宋体"/>
        </w:rPr>
        <w:t>原则，即申购以金额申请；当日的申购申请可以在基金管理人规定的时间以内</w:t>
      </w:r>
      <w:r>
        <w:rPr>
          <w:rFonts w:ascii="宋体" w:hAnsi="宋体" w:cs="宋体"/>
        </w:rPr>
        <w:lastRenderedPageBreak/>
        <w:t>撤销。</w:t>
      </w:r>
      <w:r>
        <w:rPr>
          <w:rFonts w:ascii="宋体" w:hAnsi="宋体" w:cs="宋体"/>
        </w:rPr>
        <w:cr/>
        <w:t xml:space="preserve">    4</w:t>
      </w:r>
      <w:r>
        <w:rPr>
          <w:rFonts w:ascii="宋体" w:hAnsi="宋体" w:cs="宋体"/>
        </w:rPr>
        <w:t>、当本基金发生大额申购情形时，基金管理人可以采用摆动定价机制，以确保基金估值的公平性。具体处理原则与操作规范遵循相关法律法规以及监管部门、自律规则的规定，具体见基金</w:t>
      </w:r>
      <w:r>
        <w:rPr>
          <w:rFonts w:ascii="宋体" w:hAnsi="宋体" w:cs="宋体"/>
        </w:rPr>
        <w:t>管理人届时的相关公告。</w:t>
      </w:r>
      <w:r>
        <w:rPr>
          <w:rFonts w:ascii="宋体" w:hAnsi="宋体" w:cs="宋体"/>
        </w:rPr>
        <w:cr/>
        <w:t xml:space="preserve">    5</w:t>
      </w:r>
      <w:r>
        <w:rPr>
          <w:rFonts w:ascii="宋体" w:hAnsi="宋体" w:cs="宋体"/>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者适当调低基金销售费用。</w:t>
      </w:r>
      <w:r>
        <w:rPr>
          <w:rFonts w:ascii="宋体" w:hAnsi="宋体" w:cs="宋体"/>
        </w:rPr>
        <w:cr/>
        <w:t xml:space="preserve">    6</w:t>
      </w:r>
      <w:r>
        <w:rPr>
          <w:rFonts w:ascii="宋体" w:hAnsi="宋体" w:cs="宋体"/>
        </w:rPr>
        <w:t>、拒绝或暂停申购的情形</w:t>
      </w:r>
      <w:r>
        <w:rPr>
          <w:rFonts w:ascii="宋体" w:hAnsi="宋体" w:cs="宋体"/>
        </w:rPr>
        <w:cr/>
        <w:t xml:space="preserve">    </w:t>
      </w:r>
      <w:r>
        <w:rPr>
          <w:rFonts w:ascii="宋体" w:hAnsi="宋体" w:cs="宋体"/>
        </w:rPr>
        <w:t>发生下列情况时，基金管理人可拒绝或暂停接受投资者的申购申请：</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）因不可抗力导致基金无法正常运作。</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）发生基金合同规定的暂停基金资产估值情况时，基金</w:t>
      </w:r>
      <w:r>
        <w:rPr>
          <w:rFonts w:ascii="宋体" w:hAnsi="宋体" w:cs="宋体"/>
        </w:rPr>
        <w:t>管理人可暂停接受投资者的申购申请。当前一估值日基金资产净值</w:t>
      </w:r>
      <w:r>
        <w:rPr>
          <w:rFonts w:ascii="宋体" w:hAnsi="宋体" w:cs="宋体"/>
        </w:rPr>
        <w:t>50%</w:t>
      </w:r>
      <w:r>
        <w:rPr>
          <w:rFonts w:ascii="宋体" w:hAnsi="宋体" w:cs="宋体"/>
        </w:rPr>
        <w:t>以上的资产出现无可参考的活跃市场价格且采用估值技术仍导致公允价值存在重大不确定性时，经与基金托管人协商确认后，基金管理人应当暂停接受基金申购申请。</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）证券、期货交易所交易时间非正常停市，导致基金管理人无法计算当日基金资产净值。</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）接受某笔或某些申购申请可能会影响或损害现有基金份额持有人利益时。</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）基金资产规模过大，使基金管理人无法找到合适的投资品种，或其他可能对基金业绩产生负面影响，或发生其他损害现有基金份额</w:t>
      </w:r>
      <w:r>
        <w:rPr>
          <w:rFonts w:ascii="宋体" w:hAnsi="宋体" w:cs="宋体"/>
        </w:rPr>
        <w:t>持有人利益的情形。</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）基金管理人、基金托管人、基金销售机构或登记机构的异常情况导致基金销售系统、基金登记系统或基金会计系统无法正常运行。</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）基金管理人接受某笔或者某些申购申请有可能导致单一投资者持有基金份额的比例达到或者超过</w:t>
      </w:r>
      <w:r>
        <w:rPr>
          <w:rFonts w:ascii="宋体" w:hAnsi="宋体" w:cs="宋体"/>
        </w:rPr>
        <w:t>50%</w:t>
      </w:r>
      <w:r>
        <w:rPr>
          <w:rFonts w:ascii="宋体" w:hAnsi="宋体" w:cs="宋体"/>
        </w:rPr>
        <w:t>，或者变相规避</w:t>
      </w:r>
      <w:r>
        <w:rPr>
          <w:rFonts w:ascii="宋体" w:hAnsi="宋体" w:cs="宋体"/>
        </w:rPr>
        <w:t>50%</w:t>
      </w:r>
      <w:r>
        <w:rPr>
          <w:rFonts w:ascii="宋体" w:hAnsi="宋体" w:cs="宋体"/>
        </w:rPr>
        <w:t>集中度的情形。</w:t>
      </w:r>
      <w:r>
        <w:rPr>
          <w:rFonts w:ascii="宋体" w:hAnsi="宋体" w:cs="宋体"/>
        </w:rPr>
        <w:cr/>
        <w:t xml:space="preserve">    </w:t>
      </w:r>
      <w:r>
        <w:rPr>
          <w:rFonts w:ascii="宋体" w:hAnsi="宋体" w:cs="宋体"/>
        </w:rPr>
        <w:t>（</w:t>
      </w:r>
      <w:r>
        <w:rPr>
          <w:rFonts w:ascii="宋体" w:hAnsi="宋体" w:cs="宋体"/>
        </w:rPr>
        <w:t>8</w:t>
      </w:r>
      <w:r>
        <w:rPr>
          <w:rFonts w:ascii="宋体" w:hAnsi="宋体" w:cs="宋体"/>
        </w:rPr>
        <w:t>）某笔或某些申购申请超过基金管理人设定的基金总规模、单日净申购比例上限、单个投资者单日或单笔申购金额上限的。</w:t>
      </w:r>
      <w:r>
        <w:rPr>
          <w:rFonts w:ascii="宋体" w:hAnsi="宋体" w:cs="宋体"/>
        </w:rPr>
        <w:cr/>
        <w:t xml:space="preserve">    </w:t>
      </w:r>
      <w:r>
        <w:rPr>
          <w:rFonts w:ascii="宋体" w:hAnsi="宋体" w:cs="宋体"/>
        </w:rPr>
        <w:t>（</w:t>
      </w:r>
      <w:r>
        <w:rPr>
          <w:rFonts w:ascii="宋体" w:hAnsi="宋体" w:cs="宋体"/>
        </w:rPr>
        <w:t>9</w:t>
      </w:r>
      <w:r>
        <w:rPr>
          <w:rFonts w:ascii="宋体" w:hAnsi="宋体" w:cs="宋体"/>
        </w:rPr>
        <w:t>）法律法规规定或中国证监会认定的其他情形。</w:t>
      </w:r>
      <w:r>
        <w:rPr>
          <w:rFonts w:ascii="宋体" w:hAnsi="宋体" w:cs="宋体"/>
        </w:rPr>
        <w:cr/>
        <w:t xml:space="preserve">    </w:t>
      </w:r>
      <w:r>
        <w:rPr>
          <w:rFonts w:ascii="宋体" w:hAnsi="宋体" w:cs="宋体"/>
        </w:rPr>
        <w:t>发生上述第（</w:t>
      </w:r>
      <w:r>
        <w:rPr>
          <w:rFonts w:ascii="宋体" w:hAnsi="宋体" w:cs="宋体"/>
        </w:rPr>
        <w:t>1</w:t>
      </w:r>
      <w:r>
        <w:rPr>
          <w:rFonts w:ascii="宋体" w:hAnsi="宋体" w:cs="宋体"/>
        </w:rPr>
        <w:t>）、（</w:t>
      </w:r>
      <w:r>
        <w:rPr>
          <w:rFonts w:ascii="宋体" w:hAnsi="宋体" w:cs="宋体"/>
        </w:rPr>
        <w:t>2</w:t>
      </w:r>
      <w:r>
        <w:rPr>
          <w:rFonts w:ascii="宋体" w:hAnsi="宋体" w:cs="宋体"/>
        </w:rPr>
        <w:t>）、（</w:t>
      </w:r>
      <w:r>
        <w:rPr>
          <w:rFonts w:ascii="宋体" w:hAnsi="宋体" w:cs="宋体"/>
        </w:rPr>
        <w:t>3</w:t>
      </w:r>
      <w:r>
        <w:rPr>
          <w:rFonts w:ascii="宋体" w:hAnsi="宋体" w:cs="宋体"/>
        </w:rPr>
        <w:t>）、（</w:t>
      </w:r>
      <w:r>
        <w:rPr>
          <w:rFonts w:ascii="宋体" w:hAnsi="宋体" w:cs="宋体"/>
        </w:rPr>
        <w:t>5</w:t>
      </w:r>
      <w:r>
        <w:rPr>
          <w:rFonts w:ascii="宋体" w:hAnsi="宋体" w:cs="宋体"/>
        </w:rPr>
        <w:t>）、（</w:t>
      </w:r>
      <w:r>
        <w:rPr>
          <w:rFonts w:ascii="宋体" w:hAnsi="宋体" w:cs="宋体"/>
        </w:rPr>
        <w:t>6</w:t>
      </w:r>
      <w:r>
        <w:rPr>
          <w:rFonts w:ascii="宋体" w:hAnsi="宋体" w:cs="宋体"/>
        </w:rPr>
        <w:t>）、（</w:t>
      </w:r>
      <w:r>
        <w:rPr>
          <w:rFonts w:ascii="宋体" w:hAnsi="宋体" w:cs="宋体"/>
        </w:rPr>
        <w:t>9</w:t>
      </w:r>
      <w:r>
        <w:rPr>
          <w:rFonts w:ascii="宋体" w:hAnsi="宋体" w:cs="宋体"/>
        </w:rPr>
        <w:t>）项暂停申购情形之一且基金管理人决定暂停接受投资者申购申请时，基金管理人应当根据有关规定在规定媒介上刊登暂停申购公告。当发生上述第（</w:t>
      </w:r>
      <w:r>
        <w:rPr>
          <w:rFonts w:ascii="宋体" w:hAnsi="宋体" w:cs="宋体"/>
        </w:rPr>
        <w:t>7</w:t>
      </w:r>
      <w:r>
        <w:rPr>
          <w:rFonts w:ascii="宋体" w:hAnsi="宋体" w:cs="宋体"/>
        </w:rPr>
        <w:t>）、（</w:t>
      </w:r>
      <w:r>
        <w:rPr>
          <w:rFonts w:ascii="宋体" w:hAnsi="宋体" w:cs="宋体"/>
        </w:rPr>
        <w:t>8</w:t>
      </w:r>
      <w:r>
        <w:rPr>
          <w:rFonts w:ascii="宋体" w:hAnsi="宋体" w:cs="宋体"/>
        </w:rPr>
        <w:t>）项情形时，基金管理人可以采取比例确认等方式对该投资者的申购申请进行限制，基金管理人也有权拒绝该等全部或者部分申购申请。如果投资者的申购申请被全部或部分拒绝的，被拒绝的申购款项本金将退还给投资者。在暂停申购的情况消除时，基金管理人应及时恢复申购业务的办理。</w:t>
      </w:r>
    </w:p>
    <w:p w:rsidR="00687A37" w:rsidRDefault="006C6CB6">
      <w:pPr>
        <w:pStyle w:val="1"/>
      </w:pPr>
      <w:r>
        <w:rPr>
          <w:rFonts w:ascii="宋体" w:hAnsi="宋体" w:cs="宋体"/>
        </w:rPr>
        <w:t xml:space="preserve">4 </w:t>
      </w:r>
      <w:r>
        <w:rPr>
          <w:rFonts w:ascii="宋体" w:hAnsi="宋体" w:cs="宋体"/>
        </w:rPr>
        <w:t>日常赎回业务</w:t>
      </w:r>
    </w:p>
    <w:p w:rsidR="00687A37" w:rsidRDefault="00687A37"/>
    <w:p w:rsidR="00687A37" w:rsidRDefault="006C6CB6">
      <w:pPr>
        <w:pStyle w:val="2"/>
      </w:pPr>
      <w:r>
        <w:rPr>
          <w:rFonts w:ascii="宋体" w:hAnsi="宋体" w:cs="宋体"/>
        </w:rPr>
        <w:t xml:space="preserve">4.1 </w:t>
      </w:r>
      <w:r>
        <w:rPr>
          <w:rFonts w:ascii="宋体" w:hAnsi="宋体" w:cs="宋体"/>
        </w:rPr>
        <w:t>赎回份额限制</w:t>
      </w:r>
    </w:p>
    <w:p w:rsidR="00687A37" w:rsidRDefault="006C6CB6">
      <w:pPr>
        <w:jc w:val="left"/>
      </w:pPr>
      <w:r>
        <w:rPr>
          <w:rFonts w:ascii="宋体" w:hAnsi="宋体" w:cs="宋体"/>
        </w:rPr>
        <w:t xml:space="preserve">    1</w:t>
      </w:r>
      <w:r>
        <w:rPr>
          <w:rFonts w:ascii="宋体" w:hAnsi="宋体" w:cs="宋体"/>
        </w:rPr>
        <w:t>、基金份额持有人在销售机构赎回本基金基金份额时，每次赎回申请不得低于</w:t>
      </w:r>
      <w:r>
        <w:rPr>
          <w:rFonts w:ascii="宋体" w:hAnsi="宋体" w:cs="宋体"/>
        </w:rPr>
        <w:t>0.01</w:t>
      </w:r>
      <w:r>
        <w:rPr>
          <w:rFonts w:ascii="宋体" w:hAnsi="宋体" w:cs="宋体"/>
        </w:rPr>
        <w:t>份基金份额。若某笔份额减少类业务导致单个基金交易账户的基金份额余额不足</w:t>
      </w:r>
      <w:r>
        <w:rPr>
          <w:rFonts w:ascii="宋体" w:hAnsi="宋体" w:cs="宋体"/>
        </w:rPr>
        <w:t>0.01</w:t>
      </w:r>
      <w:r>
        <w:rPr>
          <w:rFonts w:ascii="宋体" w:hAnsi="宋体" w:cs="宋体"/>
        </w:rPr>
        <w:t>份的，登记机构有权对该基金份额持有人在该基金交易账户持有的基金份额做全部赎回处理（份额减少类业务指赎回、转换转出、非交易过户等业务，具体种类以相关业务规则为准）。</w:t>
      </w:r>
      <w:r>
        <w:rPr>
          <w:rFonts w:ascii="宋体" w:hAnsi="宋体" w:cs="宋体"/>
        </w:rPr>
        <w:cr/>
        <w:t xml:space="preserve">    2</w:t>
      </w:r>
      <w:r>
        <w:rPr>
          <w:rFonts w:ascii="宋体" w:hAnsi="宋体" w:cs="宋体"/>
        </w:rPr>
        <w:t>、基金管理人可在法律法规允许的情况下，调整上述规定赎回份额的数量限制。基金管理人必须依照《信息披露办法》的有关规定在规定媒介上公告。</w:t>
      </w:r>
    </w:p>
    <w:p w:rsidR="00687A37" w:rsidRDefault="00687A37"/>
    <w:p w:rsidR="00687A37" w:rsidRDefault="006C6CB6">
      <w:pPr>
        <w:pStyle w:val="2"/>
      </w:pPr>
      <w:r>
        <w:rPr>
          <w:rFonts w:ascii="宋体" w:hAnsi="宋体" w:cs="宋体"/>
        </w:rPr>
        <w:t xml:space="preserve">4.2 </w:t>
      </w:r>
      <w:r>
        <w:rPr>
          <w:rFonts w:ascii="宋体" w:hAnsi="宋体" w:cs="宋体"/>
        </w:rPr>
        <w:t>赎回费率</w:t>
      </w:r>
    </w:p>
    <w:p w:rsidR="00687A37" w:rsidRDefault="006C6CB6">
      <w:pPr>
        <w:jc w:val="left"/>
      </w:pPr>
      <w:r>
        <w:rPr>
          <w:rFonts w:ascii="宋体" w:hAnsi="宋体" w:cs="宋体"/>
        </w:rPr>
        <w:t xml:space="preserve">    </w:t>
      </w:r>
      <w:r>
        <w:rPr>
          <w:rFonts w:ascii="宋体" w:hAnsi="宋体" w:cs="宋体"/>
        </w:rPr>
        <w:t>赎回金额为按</w:t>
      </w:r>
      <w:r>
        <w:rPr>
          <w:rFonts w:ascii="宋体" w:hAnsi="宋体" w:cs="宋体"/>
        </w:rPr>
        <w:t>实际确认的有效赎回份额乘以当日该类基金份额净值并扣除相应的费用，赎回金额单位为元。上述计算结果均按四舍五入方法，保留到小数点后</w:t>
      </w:r>
      <w:r>
        <w:rPr>
          <w:rFonts w:ascii="宋体" w:hAnsi="宋体" w:cs="宋体"/>
        </w:rPr>
        <w:t>2</w:t>
      </w:r>
      <w:r>
        <w:rPr>
          <w:rFonts w:ascii="宋体" w:hAnsi="宋体" w:cs="宋体"/>
        </w:rPr>
        <w:t>位，由此产生的收益或损失由基金财产承担。</w:t>
      </w:r>
      <w:r>
        <w:rPr>
          <w:rFonts w:ascii="宋体" w:hAnsi="宋体" w:cs="宋体"/>
        </w:rPr>
        <w:cr/>
        <w:t xml:space="preserve">    </w:t>
      </w:r>
      <w:r>
        <w:rPr>
          <w:rFonts w:ascii="宋体" w:hAnsi="宋体" w:cs="宋体"/>
        </w:rPr>
        <w:t>赎回费率随赎回基金份额持有期限的增加而递减。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687A37">
        <w:tc>
          <w:tcPr>
            <w:tcW w:w="2308" w:type="pct"/>
            <w:vAlign w:val="center"/>
          </w:tcPr>
          <w:p w:rsidR="00687A37" w:rsidRDefault="006C6CB6">
            <w:pPr>
              <w:spacing w:line="240" w:lineRule="auto"/>
              <w:jc w:val="center"/>
            </w:pPr>
            <w:r>
              <w:rPr>
                <w:rFonts w:ascii="宋体" w:hAnsi="宋体" w:cs="宋体"/>
              </w:rPr>
              <w:t>鹏安安泰利率债</w:t>
            </w:r>
            <w:r>
              <w:rPr>
                <w:rFonts w:ascii="宋体" w:hAnsi="宋体" w:cs="宋体"/>
              </w:rPr>
              <w:t>A</w:t>
            </w:r>
            <w:r>
              <w:rPr>
                <w:rFonts w:ascii="宋体" w:hAnsi="宋体" w:cs="宋体"/>
              </w:rPr>
              <w:t>持有期限（</w:t>
            </w:r>
            <w:r>
              <w:rPr>
                <w:rFonts w:ascii="宋体" w:hAnsi="宋体" w:cs="宋体"/>
              </w:rPr>
              <w:t>N</w:t>
            </w:r>
            <w:r>
              <w:rPr>
                <w:rFonts w:ascii="宋体" w:hAnsi="宋体" w:cs="宋体"/>
              </w:rPr>
              <w:t>）</w:t>
            </w:r>
          </w:p>
        </w:tc>
        <w:tc>
          <w:tcPr>
            <w:tcW w:w="2308" w:type="pct"/>
            <w:vAlign w:val="center"/>
          </w:tcPr>
          <w:p w:rsidR="00687A37" w:rsidRDefault="006C6CB6">
            <w:pPr>
              <w:spacing w:line="240" w:lineRule="auto"/>
              <w:jc w:val="center"/>
            </w:pPr>
            <w:r>
              <w:rPr>
                <w:rFonts w:ascii="宋体" w:hAnsi="宋体" w:cs="宋体"/>
              </w:rPr>
              <w:t>赎回费率</w:t>
            </w:r>
          </w:p>
        </w:tc>
      </w:tr>
      <w:tr w:rsidR="00687A37">
        <w:tc>
          <w:tcPr>
            <w:tcW w:w="2308" w:type="pct"/>
            <w:vAlign w:val="center"/>
          </w:tcPr>
          <w:p w:rsidR="00687A37" w:rsidRDefault="006C6CB6">
            <w:pPr>
              <w:spacing w:line="240" w:lineRule="auto"/>
              <w:jc w:val="left"/>
            </w:pPr>
            <w:r>
              <w:rPr>
                <w:rFonts w:ascii="宋体" w:hAnsi="宋体" w:cs="宋体"/>
              </w:rPr>
              <w:t>N&lt;7</w:t>
            </w:r>
            <w:r>
              <w:rPr>
                <w:rFonts w:ascii="宋体" w:hAnsi="宋体" w:cs="宋体"/>
              </w:rPr>
              <w:t>天</w:t>
            </w:r>
          </w:p>
        </w:tc>
        <w:tc>
          <w:tcPr>
            <w:tcW w:w="2308" w:type="pct"/>
            <w:vAlign w:val="center"/>
          </w:tcPr>
          <w:p w:rsidR="00687A37" w:rsidRDefault="006C6CB6">
            <w:pPr>
              <w:spacing w:line="240" w:lineRule="auto"/>
              <w:jc w:val="right"/>
            </w:pPr>
            <w:r>
              <w:rPr>
                <w:rFonts w:ascii="宋体" w:hAnsi="宋体" w:cs="宋体"/>
              </w:rPr>
              <w:t>1.5%</w:t>
            </w:r>
          </w:p>
        </w:tc>
      </w:tr>
      <w:tr w:rsidR="00687A37">
        <w:tc>
          <w:tcPr>
            <w:tcW w:w="2308" w:type="pct"/>
            <w:vAlign w:val="center"/>
          </w:tcPr>
          <w:p w:rsidR="00687A37" w:rsidRDefault="006C6CB6">
            <w:pPr>
              <w:spacing w:line="240" w:lineRule="auto"/>
              <w:jc w:val="left"/>
            </w:pPr>
            <w:r>
              <w:rPr>
                <w:rFonts w:ascii="宋体" w:hAnsi="宋体" w:cs="宋体"/>
              </w:rPr>
              <w:t>7</w:t>
            </w:r>
            <w:r>
              <w:rPr>
                <w:rFonts w:ascii="宋体" w:hAnsi="宋体" w:cs="宋体"/>
              </w:rPr>
              <w:t>天</w:t>
            </w:r>
            <w:r>
              <w:rPr>
                <w:rFonts w:ascii="宋体" w:hAnsi="宋体" w:cs="宋体"/>
              </w:rPr>
              <w:t>≤N</w:t>
            </w:r>
          </w:p>
        </w:tc>
        <w:tc>
          <w:tcPr>
            <w:tcW w:w="2308" w:type="pct"/>
            <w:vAlign w:val="center"/>
          </w:tcPr>
          <w:p w:rsidR="00687A37" w:rsidRDefault="006C6CB6">
            <w:pPr>
              <w:spacing w:line="240" w:lineRule="auto"/>
              <w:jc w:val="right"/>
            </w:pPr>
            <w:r>
              <w:rPr>
                <w:rFonts w:ascii="宋体" w:hAnsi="宋体" w:cs="宋体"/>
              </w:rPr>
              <w:t>0%</w:t>
            </w:r>
          </w:p>
        </w:tc>
      </w:tr>
      <w:tr w:rsidR="00687A37">
        <w:tc>
          <w:tcPr>
            <w:tcW w:w="2308" w:type="pct"/>
            <w:vAlign w:val="center"/>
          </w:tcPr>
          <w:p w:rsidR="00687A37" w:rsidRDefault="006C6CB6">
            <w:pPr>
              <w:spacing w:line="240" w:lineRule="auto"/>
              <w:jc w:val="center"/>
            </w:pPr>
            <w:r>
              <w:rPr>
                <w:rFonts w:ascii="宋体" w:hAnsi="宋体" w:cs="宋体"/>
              </w:rPr>
              <w:t>鹏安安泰利率债</w:t>
            </w:r>
            <w:r>
              <w:rPr>
                <w:rFonts w:ascii="宋体" w:hAnsi="宋体" w:cs="宋体"/>
              </w:rPr>
              <w:t>C</w:t>
            </w:r>
            <w:r>
              <w:rPr>
                <w:rFonts w:ascii="宋体" w:hAnsi="宋体" w:cs="宋体"/>
              </w:rPr>
              <w:t>持有期限（</w:t>
            </w:r>
            <w:r>
              <w:rPr>
                <w:rFonts w:ascii="宋体" w:hAnsi="宋体" w:cs="宋体"/>
              </w:rPr>
              <w:t>N</w:t>
            </w:r>
            <w:r>
              <w:rPr>
                <w:rFonts w:ascii="宋体" w:hAnsi="宋体" w:cs="宋体"/>
              </w:rPr>
              <w:t>）</w:t>
            </w:r>
          </w:p>
        </w:tc>
        <w:tc>
          <w:tcPr>
            <w:tcW w:w="2308" w:type="pct"/>
            <w:vAlign w:val="center"/>
          </w:tcPr>
          <w:p w:rsidR="00687A37" w:rsidRDefault="006C6CB6">
            <w:pPr>
              <w:spacing w:line="240" w:lineRule="auto"/>
              <w:jc w:val="center"/>
            </w:pPr>
            <w:r>
              <w:rPr>
                <w:rFonts w:ascii="宋体" w:hAnsi="宋体" w:cs="宋体"/>
              </w:rPr>
              <w:t>赎回费率</w:t>
            </w:r>
          </w:p>
        </w:tc>
      </w:tr>
      <w:tr w:rsidR="00687A37">
        <w:tc>
          <w:tcPr>
            <w:tcW w:w="2308" w:type="pct"/>
            <w:vAlign w:val="center"/>
          </w:tcPr>
          <w:p w:rsidR="00687A37" w:rsidRDefault="006C6CB6">
            <w:pPr>
              <w:spacing w:line="240" w:lineRule="auto"/>
              <w:jc w:val="left"/>
            </w:pPr>
            <w:r>
              <w:rPr>
                <w:rFonts w:ascii="宋体" w:hAnsi="宋体" w:cs="宋体"/>
              </w:rPr>
              <w:t>N&lt;7</w:t>
            </w:r>
            <w:r>
              <w:rPr>
                <w:rFonts w:ascii="宋体" w:hAnsi="宋体" w:cs="宋体"/>
              </w:rPr>
              <w:t>天</w:t>
            </w:r>
          </w:p>
        </w:tc>
        <w:tc>
          <w:tcPr>
            <w:tcW w:w="2308" w:type="pct"/>
            <w:vAlign w:val="center"/>
          </w:tcPr>
          <w:p w:rsidR="00687A37" w:rsidRDefault="006C6CB6">
            <w:pPr>
              <w:spacing w:line="240" w:lineRule="auto"/>
              <w:jc w:val="right"/>
            </w:pPr>
            <w:r>
              <w:rPr>
                <w:rFonts w:ascii="宋体" w:hAnsi="宋体" w:cs="宋体"/>
              </w:rPr>
              <w:t>1.5%</w:t>
            </w:r>
          </w:p>
        </w:tc>
      </w:tr>
      <w:tr w:rsidR="00687A37">
        <w:tc>
          <w:tcPr>
            <w:tcW w:w="2308" w:type="pct"/>
            <w:vAlign w:val="center"/>
          </w:tcPr>
          <w:p w:rsidR="00687A37" w:rsidRDefault="006C6CB6">
            <w:pPr>
              <w:spacing w:line="240" w:lineRule="auto"/>
              <w:jc w:val="left"/>
            </w:pPr>
            <w:r>
              <w:rPr>
                <w:rFonts w:ascii="宋体" w:hAnsi="宋体" w:cs="宋体"/>
              </w:rPr>
              <w:t>7</w:t>
            </w:r>
            <w:r>
              <w:rPr>
                <w:rFonts w:ascii="宋体" w:hAnsi="宋体" w:cs="宋体"/>
              </w:rPr>
              <w:t>天</w:t>
            </w:r>
            <w:r>
              <w:rPr>
                <w:rFonts w:ascii="宋体" w:hAnsi="宋体" w:cs="宋体"/>
              </w:rPr>
              <w:t>≤N</w:t>
            </w:r>
          </w:p>
        </w:tc>
        <w:tc>
          <w:tcPr>
            <w:tcW w:w="2308" w:type="pct"/>
            <w:vAlign w:val="center"/>
          </w:tcPr>
          <w:p w:rsidR="00687A37" w:rsidRDefault="006C6CB6">
            <w:pPr>
              <w:spacing w:line="240" w:lineRule="auto"/>
              <w:jc w:val="right"/>
            </w:pPr>
            <w:r>
              <w:rPr>
                <w:rFonts w:ascii="宋体" w:hAnsi="宋体" w:cs="宋体"/>
              </w:rPr>
              <w:t>0%</w:t>
            </w:r>
          </w:p>
        </w:tc>
      </w:tr>
    </w:tbl>
    <w:p w:rsidR="00687A37" w:rsidRDefault="006C6CB6">
      <w:pPr>
        <w:jc w:val="left"/>
      </w:pPr>
      <w:r>
        <w:rPr>
          <w:rFonts w:ascii="宋体" w:hAnsi="宋体" w:cs="宋体"/>
        </w:rPr>
        <w:t>注：赎回份额的持有期限，以该基金份额在登记机构的登记日开始计算。赎回费用由赎回该类基金份额的基金份额持有人承担，在基金份额持有人赎回基金份额时收取。对持有期限少于</w:t>
      </w:r>
      <w:r>
        <w:rPr>
          <w:rFonts w:ascii="宋体" w:hAnsi="宋体" w:cs="宋体"/>
        </w:rPr>
        <w:t>7</w:t>
      </w:r>
      <w:r>
        <w:rPr>
          <w:rFonts w:ascii="宋体" w:hAnsi="宋体" w:cs="宋体"/>
        </w:rPr>
        <w:t>日的投资者，赎回费全额计入基金财产。</w:t>
      </w:r>
    </w:p>
    <w:p w:rsidR="00687A37" w:rsidRDefault="00687A37"/>
    <w:p w:rsidR="00687A37" w:rsidRDefault="006C6CB6">
      <w:pPr>
        <w:pStyle w:val="2"/>
      </w:pPr>
      <w:r>
        <w:rPr>
          <w:rFonts w:ascii="宋体" w:hAnsi="宋体" w:cs="宋体"/>
        </w:rPr>
        <w:t xml:space="preserve">4.3 </w:t>
      </w:r>
      <w:r>
        <w:rPr>
          <w:rFonts w:ascii="宋体" w:hAnsi="宋体" w:cs="宋体"/>
        </w:rPr>
        <w:t>其他与赎回相关的事项</w:t>
      </w:r>
    </w:p>
    <w:p w:rsidR="00687A37" w:rsidRDefault="006C6CB6">
      <w:pPr>
        <w:jc w:val="left"/>
      </w:pPr>
      <w:r>
        <w:rPr>
          <w:rFonts w:ascii="宋体" w:hAnsi="宋体" w:cs="宋体"/>
        </w:rPr>
        <w:t xml:space="preserve">    1</w:t>
      </w:r>
      <w:r>
        <w:rPr>
          <w:rFonts w:ascii="宋体" w:hAnsi="宋体" w:cs="宋体"/>
        </w:rPr>
        <w:t>、基金管理人可以在基金合同约定的范围内调整费率或收费方式，并将新的费率或收费方式依照《信息披露办法》的有关规定在规定媒介上公告。</w:t>
      </w:r>
      <w:r>
        <w:rPr>
          <w:rFonts w:ascii="宋体" w:hAnsi="宋体" w:cs="宋体"/>
        </w:rPr>
        <w:cr/>
        <w:t xml:space="preserve">    2</w:t>
      </w:r>
      <w:r>
        <w:rPr>
          <w:rFonts w:ascii="宋体" w:hAnsi="宋体" w:cs="宋体"/>
        </w:rPr>
        <w:t>、</w:t>
      </w:r>
      <w:r>
        <w:rPr>
          <w:rFonts w:ascii="宋体" w:hAnsi="宋体" w:cs="宋体"/>
        </w:rPr>
        <w:t>“</w:t>
      </w:r>
      <w:r>
        <w:rPr>
          <w:rFonts w:ascii="宋体" w:hAnsi="宋体" w:cs="宋体"/>
        </w:rPr>
        <w:t>份额赎回</w:t>
      </w:r>
      <w:r>
        <w:rPr>
          <w:rFonts w:ascii="宋体" w:hAnsi="宋体" w:cs="宋体"/>
        </w:rPr>
        <w:t>”</w:t>
      </w:r>
      <w:r>
        <w:rPr>
          <w:rFonts w:ascii="宋体" w:hAnsi="宋体" w:cs="宋体"/>
        </w:rPr>
        <w:t>原则，即赎回以份额申请。</w:t>
      </w:r>
      <w:r>
        <w:rPr>
          <w:rFonts w:ascii="宋体" w:hAnsi="宋体" w:cs="宋体"/>
        </w:rPr>
        <w:cr/>
        <w:t xml:space="preserve">    3</w:t>
      </w:r>
      <w:r>
        <w:rPr>
          <w:rFonts w:ascii="宋体" w:hAnsi="宋体" w:cs="宋体"/>
        </w:rPr>
        <w:t>、</w:t>
      </w:r>
      <w:r>
        <w:rPr>
          <w:rFonts w:ascii="宋体" w:hAnsi="宋体" w:cs="宋体"/>
        </w:rPr>
        <w:t>“</w:t>
      </w:r>
      <w:r>
        <w:rPr>
          <w:rFonts w:ascii="宋体" w:hAnsi="宋体" w:cs="宋体"/>
        </w:rPr>
        <w:t>未知价</w:t>
      </w:r>
      <w:r>
        <w:rPr>
          <w:rFonts w:ascii="宋体" w:hAnsi="宋体" w:cs="宋体"/>
        </w:rPr>
        <w:t>”</w:t>
      </w:r>
      <w:r>
        <w:rPr>
          <w:rFonts w:ascii="宋体" w:hAnsi="宋体" w:cs="宋体"/>
        </w:rPr>
        <w:t>原则，即赎回价格以申请当日收市后计算的各类基金份额净值为基准进行计</w:t>
      </w:r>
      <w:r>
        <w:rPr>
          <w:rFonts w:ascii="宋体" w:hAnsi="宋体" w:cs="宋体"/>
        </w:rPr>
        <w:t>算；当日的赎回申请可以在基金管理人规定的时间以内撤销；赎回遵循</w:t>
      </w:r>
      <w:r>
        <w:rPr>
          <w:rFonts w:ascii="宋体" w:hAnsi="宋体" w:cs="宋体"/>
        </w:rPr>
        <w:t>“</w:t>
      </w:r>
      <w:r>
        <w:rPr>
          <w:rFonts w:ascii="宋体" w:hAnsi="宋体" w:cs="宋体"/>
        </w:rPr>
        <w:t>先进先出</w:t>
      </w:r>
      <w:r>
        <w:rPr>
          <w:rFonts w:ascii="宋体" w:hAnsi="宋体" w:cs="宋体"/>
        </w:rPr>
        <w:t>”</w:t>
      </w:r>
      <w:r>
        <w:rPr>
          <w:rFonts w:ascii="宋体" w:hAnsi="宋体" w:cs="宋体"/>
        </w:rPr>
        <w:t>原则，即按照投资者认购、申购的先后次序进行顺序赎回。</w:t>
      </w:r>
      <w:r>
        <w:rPr>
          <w:rFonts w:ascii="宋体" w:hAnsi="宋体" w:cs="宋体"/>
        </w:rPr>
        <w:cr/>
        <w:t xml:space="preserve">    4</w:t>
      </w:r>
      <w:r>
        <w:rPr>
          <w:rFonts w:ascii="宋体" w:hAnsi="宋体" w:cs="宋体"/>
        </w:rPr>
        <w:t>、当本基金发生大额赎回情形时，基金管理人可以采用摆动定价机制，以确保基金估值的公平性。具体处理原则与操作规范遵循相关法律法规以及监管部门、自律规则的规定，具体见基金管理人届时的相关公告。</w:t>
      </w:r>
      <w:r>
        <w:rPr>
          <w:rFonts w:ascii="宋体" w:hAnsi="宋体" w:cs="宋体"/>
        </w:rPr>
        <w:cr/>
        <w:t xml:space="preserve">    5</w:t>
      </w:r>
      <w:r>
        <w:rPr>
          <w:rFonts w:ascii="宋体" w:hAnsi="宋体" w:cs="宋体"/>
        </w:rPr>
        <w:t>、基金管理人可以在不违反法律法规规定及基金合同约定的情形下，且对基金份额持有人无实质性不利影响的前提下，根据市场情况制定基金促销计划，定期或不定期地开展基金促销活动。在基金促销</w:t>
      </w:r>
      <w:r>
        <w:rPr>
          <w:rFonts w:ascii="宋体" w:hAnsi="宋体" w:cs="宋体"/>
        </w:rPr>
        <w:t>活动期间，基金管理人可以按相关监管部门要求履行必要手续后，对投资者适当调低基金销售费用。</w:t>
      </w:r>
      <w:r>
        <w:rPr>
          <w:rFonts w:ascii="宋体" w:hAnsi="宋体" w:cs="宋体"/>
        </w:rPr>
        <w:cr/>
        <w:t xml:space="preserve">    6</w:t>
      </w:r>
      <w:r>
        <w:rPr>
          <w:rFonts w:ascii="宋体" w:hAnsi="宋体" w:cs="宋体"/>
        </w:rPr>
        <w:t>、暂停赎回或延缓支付赎回款项的情形</w:t>
      </w:r>
      <w:r>
        <w:rPr>
          <w:rFonts w:ascii="宋体" w:hAnsi="宋体" w:cs="宋体"/>
        </w:rPr>
        <w:cr/>
        <w:t xml:space="preserve">    </w:t>
      </w:r>
      <w:r>
        <w:rPr>
          <w:rFonts w:ascii="宋体" w:hAnsi="宋体" w:cs="宋体"/>
        </w:rPr>
        <w:t>发生下列情形时，基金管理人可暂停接受投资者的赎回申请或延缓支付赎回款项：</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）因不可抗力导致基金管理人不能支付赎回款项。</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）发生基金合同规定的暂停基金资产估值情况时，基金管理人可暂停接受投资者的赎回申请或延缓支付赎回款项。</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）证券、期货交易所交易时间非正常停市，导致基金管理人无法计算当日基金资产净值。</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）连续两个或两个以</w:t>
      </w:r>
      <w:r>
        <w:rPr>
          <w:rFonts w:ascii="宋体" w:hAnsi="宋体" w:cs="宋体"/>
        </w:rPr>
        <w:t>上开放日发生巨额赎回。</w:t>
      </w:r>
      <w:r>
        <w:rPr>
          <w:rFonts w:ascii="宋体" w:hAnsi="宋体" w:cs="宋体"/>
        </w:rPr>
        <w:cr/>
        <w:t xml:space="preserve">    </w:t>
      </w:r>
      <w:r>
        <w:rPr>
          <w:rFonts w:ascii="宋体" w:hAnsi="宋体" w:cs="宋体"/>
        </w:rPr>
        <w:t>（</w:t>
      </w:r>
      <w:r>
        <w:rPr>
          <w:rFonts w:ascii="宋体" w:hAnsi="宋体" w:cs="宋体"/>
        </w:rPr>
        <w:t>5</w:t>
      </w:r>
      <w:r>
        <w:rPr>
          <w:rFonts w:ascii="宋体" w:hAnsi="宋体" w:cs="宋体"/>
        </w:rPr>
        <w:t>）发生继续接受赎回申请将损害现有基金份额持有人利益的情形时，基金管理人可暂停接受基金份额持有人的赎回申请。</w:t>
      </w:r>
      <w:r>
        <w:rPr>
          <w:rFonts w:ascii="宋体" w:hAnsi="宋体" w:cs="宋体"/>
        </w:rPr>
        <w:cr/>
        <w:t xml:space="preserve">    </w:t>
      </w:r>
      <w:r>
        <w:rPr>
          <w:rFonts w:ascii="宋体" w:hAnsi="宋体" w:cs="宋体"/>
        </w:rPr>
        <w:t>（</w:t>
      </w:r>
      <w:r>
        <w:rPr>
          <w:rFonts w:ascii="宋体" w:hAnsi="宋体" w:cs="宋体"/>
        </w:rPr>
        <w:t>6</w:t>
      </w:r>
      <w:r>
        <w:rPr>
          <w:rFonts w:ascii="宋体" w:hAnsi="宋体" w:cs="宋体"/>
        </w:rPr>
        <w:t>）当前一估值日基金资产净值</w:t>
      </w:r>
      <w:r>
        <w:rPr>
          <w:rFonts w:ascii="宋体" w:hAnsi="宋体" w:cs="宋体"/>
        </w:rPr>
        <w:t>50%</w:t>
      </w:r>
      <w:r>
        <w:rPr>
          <w:rFonts w:ascii="宋体" w:hAnsi="宋体" w:cs="宋体"/>
        </w:rPr>
        <w:t>以上的资产出现无可参考的活跃市场价格且采用估值技术仍导致公允价值存在重大不确定性时，经与基金托管人协商确认后，基金管理人应当延缓支付赎回款项或暂停接受基金赎回申请。</w:t>
      </w:r>
      <w:r>
        <w:rPr>
          <w:rFonts w:ascii="宋体" w:hAnsi="宋体" w:cs="宋体"/>
        </w:rPr>
        <w:cr/>
        <w:t xml:space="preserve">    </w:t>
      </w:r>
      <w:r>
        <w:rPr>
          <w:rFonts w:ascii="宋体" w:hAnsi="宋体" w:cs="宋体"/>
        </w:rPr>
        <w:t>（</w:t>
      </w:r>
      <w:r>
        <w:rPr>
          <w:rFonts w:ascii="宋体" w:hAnsi="宋体" w:cs="宋体"/>
        </w:rPr>
        <w:t>7</w:t>
      </w:r>
      <w:r>
        <w:rPr>
          <w:rFonts w:ascii="宋体" w:hAnsi="宋体" w:cs="宋体"/>
        </w:rPr>
        <w:t>）法律法规规定或中国证监会认定的其他情形。</w:t>
      </w:r>
      <w:r>
        <w:rPr>
          <w:rFonts w:ascii="宋体" w:hAnsi="宋体" w:cs="宋体"/>
        </w:rPr>
        <w:t xml:space="preserve">    </w:t>
      </w:r>
      <w:r>
        <w:rPr>
          <w:rFonts w:ascii="宋体" w:hAnsi="宋体" w:cs="宋体"/>
        </w:rPr>
        <w:cr/>
        <w:t xml:space="preserve">    </w:t>
      </w:r>
      <w:r>
        <w:rPr>
          <w:rFonts w:ascii="宋体" w:hAnsi="宋体" w:cs="宋体"/>
        </w:rPr>
        <w:t>发生上述情形之一且基金管理人决定暂停赎回或延缓支付赎回款项时，基金管理人应按规定报中国</w:t>
      </w:r>
      <w:r>
        <w:rPr>
          <w:rFonts w:ascii="宋体" w:hAnsi="宋体" w:cs="宋体"/>
        </w:rPr>
        <w:t>证监会备案，已确认的赎回申请，基金管理人应足额支付；如暂时不能足额支付，应将可支付部分按单个账户申请量占申请总量的比例分配给赎回申请人，未支付部分可延期支付。若出现上述第（</w:t>
      </w:r>
      <w:r>
        <w:rPr>
          <w:rFonts w:ascii="宋体" w:hAnsi="宋体" w:cs="宋体"/>
        </w:rPr>
        <w:t>4</w:t>
      </w:r>
      <w:r>
        <w:rPr>
          <w:rFonts w:ascii="宋体" w:hAnsi="宋体" w:cs="宋体"/>
        </w:rPr>
        <w:t>）项所述情形，按基金合同的相关条款处理。基金份额持有人在申请赎回时可事先选择将当日可能未获受理部分予以撤销。在暂停赎回的情况消除时，基金管理人应及时恢复赎回业务的办理并公告。</w:t>
      </w:r>
    </w:p>
    <w:p w:rsidR="00687A37" w:rsidRDefault="006C6CB6">
      <w:pPr>
        <w:pStyle w:val="1"/>
      </w:pPr>
      <w:r>
        <w:rPr>
          <w:rFonts w:ascii="宋体" w:hAnsi="宋体" w:cs="宋体"/>
        </w:rPr>
        <w:t xml:space="preserve">5 </w:t>
      </w:r>
      <w:r>
        <w:rPr>
          <w:rFonts w:ascii="宋体" w:hAnsi="宋体" w:cs="宋体"/>
        </w:rPr>
        <w:t>定期定额投资业务</w:t>
      </w:r>
    </w:p>
    <w:p w:rsidR="00687A37" w:rsidRDefault="006C6CB6">
      <w:pPr>
        <w:jc w:val="left"/>
      </w:pPr>
      <w:r>
        <w:rPr>
          <w:rFonts w:ascii="宋体" w:hAnsi="宋体" w:cs="宋体"/>
        </w:rPr>
        <w:t xml:space="preserve">    </w:t>
      </w:r>
      <w:r>
        <w:rPr>
          <w:rFonts w:ascii="宋体" w:hAnsi="宋体" w:cs="宋体"/>
        </w:rPr>
        <w:t>投资者通过本基金其他销售机构的销售网点参与</w:t>
      </w:r>
      <w:r>
        <w:rPr>
          <w:rFonts w:ascii="宋体" w:hAnsi="宋体" w:cs="宋体"/>
        </w:rPr>
        <w:t>“</w:t>
      </w:r>
      <w:r>
        <w:rPr>
          <w:rFonts w:ascii="宋体" w:hAnsi="宋体" w:cs="宋体"/>
        </w:rPr>
        <w:t>定期定额投资计划</w:t>
      </w:r>
      <w:r>
        <w:rPr>
          <w:rFonts w:ascii="宋体" w:hAnsi="宋体" w:cs="宋体"/>
        </w:rPr>
        <w:t>”</w:t>
      </w:r>
      <w:r>
        <w:rPr>
          <w:rFonts w:ascii="宋体" w:hAnsi="宋体" w:cs="宋体"/>
        </w:rPr>
        <w:t>，每期扣款金额最低不少于人民币</w:t>
      </w:r>
      <w:r>
        <w:rPr>
          <w:rFonts w:ascii="宋体" w:hAnsi="宋体" w:cs="宋体"/>
        </w:rPr>
        <w:t>0.01</w:t>
      </w:r>
      <w:r>
        <w:rPr>
          <w:rFonts w:ascii="宋体" w:hAnsi="宋体" w:cs="宋体"/>
        </w:rPr>
        <w:t>元（含申购费）。通过直销机构参与</w:t>
      </w:r>
      <w:r>
        <w:rPr>
          <w:rFonts w:ascii="宋体" w:hAnsi="宋体" w:cs="宋体"/>
        </w:rPr>
        <w:t>“</w:t>
      </w:r>
      <w:r>
        <w:rPr>
          <w:rFonts w:ascii="宋体" w:hAnsi="宋体" w:cs="宋体"/>
        </w:rPr>
        <w:t>定期定额投资计划</w:t>
      </w:r>
      <w:r>
        <w:rPr>
          <w:rFonts w:ascii="宋体" w:hAnsi="宋体" w:cs="宋体"/>
        </w:rPr>
        <w:t>”</w:t>
      </w:r>
      <w:r>
        <w:rPr>
          <w:rFonts w:ascii="宋体" w:hAnsi="宋体" w:cs="宋体"/>
        </w:rPr>
        <w:t>，每期扣款金额最低不少于人民币</w:t>
      </w:r>
      <w:r>
        <w:rPr>
          <w:rFonts w:ascii="宋体" w:hAnsi="宋体" w:cs="宋体"/>
        </w:rPr>
        <w:t>10</w:t>
      </w:r>
      <w:r>
        <w:rPr>
          <w:rFonts w:ascii="宋体" w:hAnsi="宋体" w:cs="宋体"/>
        </w:rPr>
        <w:t>元（含申购费）。实际操作中，以各销售机构的具体规定为准。</w:t>
      </w:r>
    </w:p>
    <w:p w:rsidR="00687A37" w:rsidRDefault="006C6CB6">
      <w:pPr>
        <w:pStyle w:val="1"/>
      </w:pPr>
      <w:r>
        <w:rPr>
          <w:rFonts w:ascii="宋体" w:hAnsi="宋体" w:cs="宋体"/>
        </w:rPr>
        <w:t xml:space="preserve">6 </w:t>
      </w:r>
      <w:r>
        <w:rPr>
          <w:rFonts w:ascii="宋体" w:hAnsi="宋体" w:cs="宋体"/>
        </w:rPr>
        <w:t>基金销售机构</w:t>
      </w:r>
    </w:p>
    <w:p w:rsidR="00687A37" w:rsidRDefault="00687A37"/>
    <w:p w:rsidR="00687A37" w:rsidRDefault="006C6CB6">
      <w:pPr>
        <w:pStyle w:val="2"/>
      </w:pPr>
      <w:r>
        <w:rPr>
          <w:rFonts w:ascii="宋体" w:hAnsi="宋体" w:cs="宋体"/>
        </w:rPr>
        <w:t xml:space="preserve">6.1 </w:t>
      </w:r>
      <w:r>
        <w:rPr>
          <w:rFonts w:ascii="宋体" w:hAnsi="宋体" w:cs="宋体"/>
        </w:rPr>
        <w:t>场外销售机构</w:t>
      </w:r>
    </w:p>
    <w:p w:rsidR="00687A37" w:rsidRDefault="006C6CB6">
      <w:r>
        <w:rPr>
          <w:rFonts w:ascii="宋体" w:hAnsi="宋体" w:cs="宋体"/>
          <w:b/>
        </w:rPr>
        <w:t xml:space="preserve">6.1.1 </w:t>
      </w:r>
      <w:r>
        <w:rPr>
          <w:rFonts w:ascii="宋体" w:hAnsi="宋体" w:cs="宋体"/>
          <w:b/>
        </w:rPr>
        <w:t>直销机构</w:t>
      </w:r>
    </w:p>
    <w:p w:rsidR="00687A37" w:rsidRDefault="006C6CB6">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）直销机构</w:t>
      </w:r>
      <w:r>
        <w:rPr>
          <w:rFonts w:ascii="宋体" w:hAnsi="宋体" w:cs="宋体"/>
        </w:rPr>
        <w:cr/>
        <w:t xml:space="preserve">    </w:t>
      </w:r>
      <w:r>
        <w:rPr>
          <w:rFonts w:ascii="宋体" w:hAnsi="宋体" w:cs="宋体"/>
        </w:rPr>
        <w:t>名称：鹏安基金管理有限公司直销中心</w:t>
      </w:r>
      <w:r>
        <w:rPr>
          <w:rFonts w:ascii="宋体" w:hAnsi="宋体" w:cs="宋体"/>
        </w:rPr>
        <w:cr/>
        <w:t xml:space="preserve">    </w:t>
      </w:r>
      <w:r>
        <w:rPr>
          <w:rFonts w:ascii="宋体" w:hAnsi="宋体" w:cs="宋体"/>
        </w:rPr>
        <w:t>住所：海南省海口市江东新区兴洋大道</w:t>
      </w:r>
      <w:r>
        <w:rPr>
          <w:rFonts w:ascii="宋体" w:hAnsi="宋体" w:cs="宋体"/>
        </w:rPr>
        <w:t>81</w:t>
      </w:r>
      <w:r>
        <w:rPr>
          <w:rFonts w:ascii="宋体" w:hAnsi="宋体" w:cs="宋体"/>
        </w:rPr>
        <w:t>号</w:t>
      </w:r>
      <w:r>
        <w:rPr>
          <w:rFonts w:ascii="宋体" w:hAnsi="宋体" w:cs="宋体"/>
        </w:rPr>
        <w:t>205</w:t>
      </w:r>
      <w:r>
        <w:rPr>
          <w:rFonts w:ascii="宋体" w:hAnsi="宋体" w:cs="宋体"/>
        </w:rPr>
        <w:t>室</w:t>
      </w:r>
      <w:r>
        <w:rPr>
          <w:rFonts w:ascii="宋体" w:hAnsi="宋体" w:cs="宋体"/>
        </w:rPr>
        <w:t>-11108</w:t>
      </w:r>
      <w:r>
        <w:rPr>
          <w:rFonts w:ascii="宋体" w:hAnsi="宋体" w:cs="宋体"/>
        </w:rPr>
        <w:cr/>
        <w:t xml:space="preserve">    </w:t>
      </w:r>
      <w:r>
        <w:rPr>
          <w:rFonts w:ascii="宋体" w:hAnsi="宋体" w:cs="宋体"/>
        </w:rPr>
        <w:t>办公地址：海南省海口市美兰区国兴大道</w:t>
      </w:r>
      <w:r>
        <w:rPr>
          <w:rFonts w:ascii="宋体" w:hAnsi="宋体" w:cs="宋体"/>
        </w:rPr>
        <w:t>15A</w:t>
      </w:r>
      <w:r>
        <w:rPr>
          <w:rFonts w:ascii="宋体" w:hAnsi="宋体" w:cs="宋体"/>
        </w:rPr>
        <w:t>号全球贸</w:t>
      </w:r>
      <w:r>
        <w:rPr>
          <w:rFonts w:ascii="宋体" w:hAnsi="宋体" w:cs="宋体"/>
        </w:rPr>
        <w:t>易之窗</w:t>
      </w:r>
      <w:r>
        <w:rPr>
          <w:rFonts w:ascii="宋体" w:hAnsi="宋体" w:cs="宋体"/>
        </w:rPr>
        <w:t>16</w:t>
      </w:r>
      <w:r>
        <w:rPr>
          <w:rFonts w:ascii="宋体" w:hAnsi="宋体" w:cs="宋体"/>
        </w:rPr>
        <w:t>楼</w:t>
      </w:r>
      <w:r>
        <w:rPr>
          <w:rFonts w:ascii="宋体" w:hAnsi="宋体" w:cs="宋体"/>
        </w:rPr>
        <w:cr/>
        <w:t xml:space="preserve">    </w:t>
      </w:r>
      <w:r>
        <w:rPr>
          <w:rFonts w:ascii="宋体" w:hAnsi="宋体" w:cs="宋体"/>
        </w:rPr>
        <w:t>法定代表人：洪正华</w:t>
      </w:r>
      <w:r>
        <w:rPr>
          <w:rFonts w:ascii="宋体" w:hAnsi="宋体" w:cs="宋体"/>
        </w:rPr>
        <w:cr/>
        <w:t xml:space="preserve">    </w:t>
      </w:r>
      <w:r>
        <w:rPr>
          <w:rFonts w:ascii="宋体" w:hAnsi="宋体" w:cs="宋体"/>
        </w:rPr>
        <w:t>联系人：张赟铂</w:t>
      </w:r>
      <w:r>
        <w:rPr>
          <w:rFonts w:ascii="宋体" w:hAnsi="宋体" w:cs="宋体"/>
        </w:rPr>
        <w:cr/>
        <w:t xml:space="preserve">    </w:t>
      </w:r>
      <w:r>
        <w:rPr>
          <w:rFonts w:ascii="宋体" w:hAnsi="宋体" w:cs="宋体"/>
        </w:rPr>
        <w:t>直销柜台电话：</w:t>
      </w:r>
      <w:r>
        <w:rPr>
          <w:rFonts w:ascii="宋体" w:hAnsi="宋体" w:cs="宋体"/>
        </w:rPr>
        <w:t>0898-66116829</w:t>
      </w:r>
      <w:r>
        <w:rPr>
          <w:rFonts w:ascii="宋体" w:hAnsi="宋体" w:cs="宋体"/>
        </w:rPr>
        <w:cr/>
        <w:t xml:space="preserve">    </w:t>
      </w:r>
      <w:r>
        <w:rPr>
          <w:rFonts w:ascii="宋体" w:hAnsi="宋体" w:cs="宋体"/>
        </w:rPr>
        <w:t>客户服务电话：</w:t>
      </w:r>
      <w:r>
        <w:rPr>
          <w:rFonts w:ascii="宋体" w:hAnsi="宋体" w:cs="宋体"/>
        </w:rPr>
        <w:t>400-814-2888</w:t>
      </w:r>
      <w:r>
        <w:rPr>
          <w:rFonts w:ascii="宋体" w:hAnsi="宋体" w:cs="宋体"/>
        </w:rPr>
        <w:t>（免长途话费）</w:t>
      </w:r>
      <w:r>
        <w:rPr>
          <w:rFonts w:ascii="宋体" w:hAnsi="宋体" w:cs="宋体"/>
        </w:rPr>
        <w:cr/>
        <w:t xml:space="preserve">    </w:t>
      </w:r>
      <w:r>
        <w:rPr>
          <w:rFonts w:ascii="宋体" w:hAnsi="宋体" w:cs="宋体"/>
        </w:rPr>
        <w:t>公司网址：</w:t>
      </w:r>
      <w:r>
        <w:rPr>
          <w:rFonts w:ascii="宋体" w:hAnsi="宋体" w:cs="宋体"/>
        </w:rPr>
        <w:t xml:space="preserve">www.penganfunds.com    </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）微信交易平台</w:t>
      </w:r>
      <w:r>
        <w:rPr>
          <w:rFonts w:ascii="宋体" w:hAnsi="宋体" w:cs="宋体"/>
        </w:rPr>
        <w:cr/>
        <w:t xml:space="preserve">    </w:t>
      </w:r>
      <w:r>
        <w:rPr>
          <w:rFonts w:ascii="宋体" w:hAnsi="宋体" w:cs="宋体"/>
        </w:rPr>
        <w:t>鹏安基金管理有限公司网上交易</w:t>
      </w:r>
      <w:r>
        <w:rPr>
          <w:rFonts w:ascii="宋体" w:hAnsi="宋体" w:cs="宋体"/>
        </w:rPr>
        <w:cr/>
        <w:t xml:space="preserve">    </w:t>
      </w:r>
      <w:r>
        <w:rPr>
          <w:rFonts w:ascii="宋体" w:hAnsi="宋体" w:cs="宋体"/>
        </w:rPr>
        <w:t>网址：</w:t>
      </w:r>
      <w:r>
        <w:rPr>
          <w:rFonts w:ascii="宋体" w:hAnsi="宋体" w:cs="宋体"/>
        </w:rPr>
        <w:t>wx.penganfunds.com</w:t>
      </w:r>
      <w:r>
        <w:rPr>
          <w:rFonts w:ascii="宋体" w:hAnsi="宋体" w:cs="宋体"/>
        </w:rPr>
        <w:cr/>
        <w:t xml:space="preserve">    </w:t>
      </w:r>
      <w:r>
        <w:rPr>
          <w:rFonts w:ascii="宋体" w:hAnsi="宋体" w:cs="宋体"/>
        </w:rPr>
        <w:t>联系人：张赟铂</w:t>
      </w:r>
      <w:r>
        <w:rPr>
          <w:rFonts w:ascii="宋体" w:hAnsi="宋体" w:cs="宋体"/>
        </w:rPr>
        <w:cr/>
        <w:t xml:space="preserve">    </w:t>
      </w:r>
      <w:r>
        <w:rPr>
          <w:rFonts w:ascii="宋体" w:hAnsi="宋体" w:cs="宋体"/>
        </w:rPr>
        <w:t>客户服务电话：</w:t>
      </w:r>
      <w:r>
        <w:rPr>
          <w:rFonts w:ascii="宋体" w:hAnsi="宋体" w:cs="宋体"/>
        </w:rPr>
        <w:t>400-814-2888</w:t>
      </w:r>
      <w:r>
        <w:rPr>
          <w:rFonts w:ascii="宋体" w:hAnsi="宋体" w:cs="宋体"/>
        </w:rPr>
        <w:t>（免长途话费）</w:t>
      </w:r>
    </w:p>
    <w:p w:rsidR="00687A37" w:rsidRDefault="00687A37"/>
    <w:p w:rsidR="00687A37" w:rsidRDefault="006C6CB6">
      <w:r>
        <w:rPr>
          <w:rFonts w:ascii="宋体" w:hAnsi="宋体" w:cs="宋体"/>
          <w:b/>
        </w:rPr>
        <w:t xml:space="preserve">6.1.2 </w:t>
      </w:r>
      <w:r>
        <w:rPr>
          <w:rFonts w:ascii="宋体" w:hAnsi="宋体" w:cs="宋体"/>
          <w:b/>
        </w:rPr>
        <w:t>场外非直销机构</w:t>
      </w:r>
    </w:p>
    <w:p w:rsidR="00687A37" w:rsidRDefault="006C6CB6">
      <w:pPr>
        <w:jc w:val="left"/>
      </w:pPr>
      <w:r>
        <w:rPr>
          <w:rFonts w:ascii="宋体" w:hAnsi="宋体" w:cs="宋体"/>
        </w:rPr>
        <w:t xml:space="preserve">    </w:t>
      </w:r>
      <w:r>
        <w:rPr>
          <w:rFonts w:ascii="宋体" w:hAnsi="宋体" w:cs="宋体"/>
        </w:rPr>
        <w:t>本基金其他销售机构信息详见</w:t>
      </w:r>
      <w:r>
        <w:rPr>
          <w:rFonts w:ascii="宋体" w:hAnsi="宋体" w:cs="宋体"/>
        </w:rPr>
        <w:t>基金管理人网站公示，敬请投资者留意。基金管理人可根据有关法律法规的要求，增减或变更基金销售机构，并在基金管理人网站公示基金销售机构名录。投资者在各销售机构办理本基金相关业务时，请遵循各销售机构业务规则与操作流程。</w:t>
      </w:r>
    </w:p>
    <w:p w:rsidR="00687A37" w:rsidRDefault="006C6CB6">
      <w:pPr>
        <w:pStyle w:val="1"/>
      </w:pPr>
      <w:r>
        <w:rPr>
          <w:rFonts w:ascii="宋体" w:hAnsi="宋体" w:cs="宋体"/>
        </w:rPr>
        <w:t xml:space="preserve">7 </w:t>
      </w:r>
      <w:r>
        <w:rPr>
          <w:rFonts w:ascii="宋体" w:hAnsi="宋体" w:cs="宋体"/>
        </w:rPr>
        <w:t>基金份额净值公告</w:t>
      </w:r>
      <w:r>
        <w:rPr>
          <w:rFonts w:ascii="宋体" w:hAnsi="宋体" w:cs="宋体"/>
        </w:rPr>
        <w:t>/</w:t>
      </w:r>
      <w:r>
        <w:rPr>
          <w:rFonts w:ascii="宋体" w:hAnsi="宋体" w:cs="宋体"/>
        </w:rPr>
        <w:t>基金收益公告的披露安排</w:t>
      </w:r>
    </w:p>
    <w:p w:rsidR="00687A37" w:rsidRDefault="006C6CB6">
      <w:pPr>
        <w:jc w:val="left"/>
      </w:pPr>
      <w:r>
        <w:rPr>
          <w:rFonts w:ascii="宋体" w:hAnsi="宋体" w:cs="宋体"/>
        </w:rPr>
        <w:t xml:space="preserve">    </w:t>
      </w:r>
      <w:r>
        <w:rPr>
          <w:rFonts w:ascii="宋体" w:hAnsi="宋体" w:cs="宋体"/>
        </w:rPr>
        <w:t>《基金合同》生效后，在开始办理基金份额申购或者赎回前，基金管理人应当至少每周在规定网站披露一次各类基金份额净值和基金份额累计净值。</w:t>
      </w:r>
      <w:r>
        <w:rPr>
          <w:rFonts w:ascii="宋体" w:hAnsi="宋体" w:cs="宋体"/>
        </w:rPr>
        <w:cr/>
        <w:t xml:space="preserve">    </w:t>
      </w:r>
      <w:r>
        <w:rPr>
          <w:rFonts w:ascii="宋体" w:hAnsi="宋体" w:cs="宋体"/>
        </w:rPr>
        <w:t>在开始办理基金份额申购或者赎回后，基金管理人应当在不晚于每个开放日的次日，通过规定网站、基金销售机构网站</w:t>
      </w:r>
      <w:r>
        <w:rPr>
          <w:rFonts w:ascii="宋体" w:hAnsi="宋体" w:cs="宋体"/>
        </w:rPr>
        <w:t>或者营业网点披露开放日的各类基金份额净值和基金份额累计净值。</w:t>
      </w:r>
      <w:r>
        <w:rPr>
          <w:rFonts w:ascii="宋体" w:hAnsi="宋体" w:cs="宋体"/>
        </w:rPr>
        <w:cr/>
        <w:t xml:space="preserve">    </w:t>
      </w:r>
      <w:r>
        <w:rPr>
          <w:rFonts w:ascii="宋体" w:hAnsi="宋体" w:cs="宋体"/>
        </w:rPr>
        <w:t>基金管理人应当在不晚于半年度和年度最后一日的次日，在规定网站披露半年度和年度最后一日的各类基金份额净值和基金份额累计净值。</w:t>
      </w:r>
    </w:p>
    <w:p w:rsidR="00687A37" w:rsidRDefault="006C6CB6">
      <w:pPr>
        <w:pStyle w:val="1"/>
      </w:pPr>
      <w:r>
        <w:rPr>
          <w:rFonts w:ascii="宋体" w:hAnsi="宋体" w:cs="宋体"/>
        </w:rPr>
        <w:t xml:space="preserve">8 </w:t>
      </w:r>
      <w:r>
        <w:rPr>
          <w:rFonts w:ascii="宋体" w:hAnsi="宋体" w:cs="宋体"/>
        </w:rPr>
        <w:t>其他需要提示的事项</w:t>
      </w:r>
    </w:p>
    <w:p w:rsidR="00687A37" w:rsidRDefault="006C6CB6">
      <w:pPr>
        <w:jc w:val="left"/>
      </w:pPr>
      <w:r>
        <w:rPr>
          <w:rFonts w:ascii="宋体" w:hAnsi="宋体" w:cs="宋体"/>
        </w:rPr>
        <w:t xml:space="preserve">    1</w:t>
      </w:r>
      <w:r>
        <w:rPr>
          <w:rFonts w:ascii="宋体" w:hAnsi="宋体" w:cs="宋体"/>
        </w:rPr>
        <w:t>、申购和赎回的申请方式</w:t>
      </w:r>
      <w:r>
        <w:rPr>
          <w:rFonts w:ascii="宋体" w:hAnsi="宋体" w:cs="宋体"/>
        </w:rPr>
        <w:cr/>
        <w:t xml:space="preserve">    </w:t>
      </w:r>
      <w:r>
        <w:rPr>
          <w:rFonts w:ascii="宋体" w:hAnsi="宋体" w:cs="宋体"/>
        </w:rPr>
        <w:t>投资者必须根据销售机构规定的程序，在开放日的具体业务办理时间内提出申购或赎回的申请。</w:t>
      </w:r>
      <w:r>
        <w:rPr>
          <w:rFonts w:ascii="宋体" w:hAnsi="宋体" w:cs="宋体"/>
        </w:rPr>
        <w:cr/>
        <w:t xml:space="preserve">    2</w:t>
      </w:r>
      <w:r>
        <w:rPr>
          <w:rFonts w:ascii="宋体" w:hAnsi="宋体" w:cs="宋体"/>
        </w:rPr>
        <w:t>、申购和赎回的款项支付</w:t>
      </w:r>
      <w:r>
        <w:rPr>
          <w:rFonts w:ascii="宋体" w:hAnsi="宋体" w:cs="宋体"/>
        </w:rPr>
        <w:cr/>
        <w:t xml:space="preserve">    </w:t>
      </w:r>
      <w:r>
        <w:rPr>
          <w:rFonts w:ascii="宋体" w:hAnsi="宋体" w:cs="宋体"/>
        </w:rPr>
        <w:t>投资者申购基金份额时，必须全额交付申购款项，投资者全额交付申购款项，申购成立；登记机构确认基金份额时，申购生效。</w:t>
      </w:r>
      <w:r>
        <w:rPr>
          <w:rFonts w:ascii="宋体" w:hAnsi="宋体" w:cs="宋体"/>
        </w:rPr>
        <w:cr/>
        <w:t xml:space="preserve">    </w:t>
      </w:r>
      <w:r>
        <w:rPr>
          <w:rFonts w:ascii="宋体" w:hAnsi="宋体" w:cs="宋体"/>
        </w:rPr>
        <w:t>基</w:t>
      </w:r>
      <w:r>
        <w:rPr>
          <w:rFonts w:ascii="宋体" w:hAnsi="宋体" w:cs="宋体"/>
        </w:rPr>
        <w:t>金份额持有人递交赎回申请，赎回成立；登记机构确认赎回时，赎回生效。投资者赎回申请生效后，基金管理人将在</w:t>
      </w:r>
      <w:r>
        <w:rPr>
          <w:rFonts w:ascii="宋体" w:hAnsi="宋体" w:cs="宋体"/>
        </w:rPr>
        <w:t>T+7</w:t>
      </w:r>
      <w:r>
        <w:rPr>
          <w:rFonts w:ascii="宋体" w:hAnsi="宋体" w:cs="宋体"/>
        </w:rPr>
        <w:t>日（包括该日）内支付赎回款项。在发生巨额赎回或基金合同约定的延缓支付赎回款项的情形时，款项的支付办法参照基金合同有关条款处理。遇交易所或交易市场数据传输延迟、通讯系统故障、银行数据交换系统故障或其他非基金管理人及基金托管人所能控制的因素影响业务处理流程，则赎回款项划付时间相应顺延。</w:t>
      </w:r>
      <w:r>
        <w:rPr>
          <w:rFonts w:ascii="宋体" w:hAnsi="宋体" w:cs="宋体"/>
        </w:rPr>
        <w:cr/>
        <w:t xml:space="preserve">    3</w:t>
      </w:r>
      <w:r>
        <w:rPr>
          <w:rFonts w:ascii="宋体" w:hAnsi="宋体" w:cs="宋体"/>
        </w:rPr>
        <w:t>、申购和赎回申请的确认</w:t>
      </w:r>
      <w:r>
        <w:rPr>
          <w:rFonts w:ascii="宋体" w:hAnsi="宋体" w:cs="宋体"/>
        </w:rPr>
        <w:t xml:space="preserve"> </w:t>
      </w:r>
      <w:r>
        <w:rPr>
          <w:rFonts w:ascii="宋体" w:hAnsi="宋体" w:cs="宋体"/>
        </w:rPr>
        <w:cr/>
        <w:t xml:space="preserve">    </w:t>
      </w:r>
      <w:r>
        <w:rPr>
          <w:rFonts w:ascii="宋体" w:hAnsi="宋体" w:cs="宋体"/>
        </w:rPr>
        <w:t>基金管理人应以交易时间结束前受理有效申购和赎回申请的当天作为申购或赎回申请日</w:t>
      </w:r>
      <w:r>
        <w:rPr>
          <w:rFonts w:ascii="宋体" w:hAnsi="宋体" w:cs="宋体"/>
        </w:rPr>
        <w:t>（</w:t>
      </w:r>
      <w:r>
        <w:rPr>
          <w:rFonts w:ascii="宋体" w:hAnsi="宋体" w:cs="宋体"/>
        </w:rPr>
        <w:t>T</w:t>
      </w:r>
      <w:r>
        <w:rPr>
          <w:rFonts w:ascii="宋体" w:hAnsi="宋体" w:cs="宋体"/>
        </w:rPr>
        <w:t>日），在正常情况下，本基金登记机构在</w:t>
      </w:r>
      <w:r>
        <w:rPr>
          <w:rFonts w:ascii="宋体" w:hAnsi="宋体" w:cs="宋体"/>
        </w:rPr>
        <w:t>T+1</w:t>
      </w:r>
      <w:r>
        <w:rPr>
          <w:rFonts w:ascii="宋体" w:hAnsi="宋体" w:cs="宋体"/>
        </w:rPr>
        <w:t>日内对该交易的有效性进行确认。</w:t>
      </w:r>
      <w:r>
        <w:rPr>
          <w:rFonts w:ascii="宋体" w:hAnsi="宋体" w:cs="宋体"/>
        </w:rPr>
        <w:t>T</w:t>
      </w:r>
      <w:r>
        <w:rPr>
          <w:rFonts w:ascii="宋体" w:hAnsi="宋体" w:cs="宋体"/>
        </w:rPr>
        <w:t>日提交的有效申请，投资者可在</w:t>
      </w:r>
      <w:r>
        <w:rPr>
          <w:rFonts w:ascii="宋体" w:hAnsi="宋体" w:cs="宋体"/>
        </w:rPr>
        <w:t>T+2</w:t>
      </w:r>
      <w:r>
        <w:rPr>
          <w:rFonts w:ascii="宋体" w:hAnsi="宋体" w:cs="宋体"/>
        </w:rPr>
        <w:t>日后（包括该日）到销售网点柜台或以销售机构规定的其他方式查询申请的确认情况。若申购不成功或无效，则申购款项本金退还给投资者。基金销售机构对申购、赎回申请的受理并不代表申请一定成功，而仅代表销售机构确实接收到申请。申购、赎回申请的确认以基金份额登记机构的确认结果为准。对于申请的确认情况，投资者应及时查询并妥善行使合法权利，否则，由此产生的任何损失由投资者自行承担。基金管理人可以在不违反法律法规规定和</w:t>
      </w:r>
      <w:r>
        <w:rPr>
          <w:rFonts w:ascii="宋体" w:hAnsi="宋体" w:cs="宋体"/>
        </w:rPr>
        <w:t>基金合同约定的情形下，对上述业务办理规则进行调整，并按照《信息披露办法》的有关规定在规定媒介上公告。本公告仅对本基金开放申购、赎回、定期定额投资业务的有关事项予以说明。投资者欲了解本基金的详细情况，请详细阅读《鹏安安泰利率债债券型证券投资基金基金合同》和《鹏安安泰利率债债券型证券投资基金招募说明书》。投资者亦可拨打本基金管理人的全国统一客户服务电话</w:t>
      </w:r>
      <w:r>
        <w:rPr>
          <w:rFonts w:ascii="宋体" w:hAnsi="宋体" w:cs="宋体"/>
        </w:rPr>
        <w:t>400-814-2888</w:t>
      </w:r>
      <w:r>
        <w:rPr>
          <w:rFonts w:ascii="宋体" w:hAnsi="宋体" w:cs="宋体"/>
        </w:rPr>
        <w:t>（免长途话费）及直销柜台电话</w:t>
      </w:r>
      <w:r>
        <w:rPr>
          <w:rFonts w:ascii="宋体" w:hAnsi="宋体" w:cs="宋体"/>
        </w:rPr>
        <w:t>0898-66116829</w:t>
      </w:r>
      <w:r>
        <w:rPr>
          <w:rFonts w:ascii="宋体" w:hAnsi="宋体" w:cs="宋体"/>
        </w:rPr>
        <w:t>咨询相关事宜。</w:t>
      </w:r>
      <w:r>
        <w:rPr>
          <w:rFonts w:ascii="宋体" w:hAnsi="宋体" w:cs="宋体"/>
        </w:rPr>
        <w:cr/>
        <w:t xml:space="preserve">    </w:t>
      </w:r>
      <w:r>
        <w:rPr>
          <w:rFonts w:ascii="宋体" w:hAnsi="宋体" w:cs="宋体"/>
        </w:rPr>
        <w:cr/>
        <w:t xml:space="preserve">    </w:t>
      </w:r>
      <w:r>
        <w:rPr>
          <w:rFonts w:ascii="宋体" w:hAnsi="宋体" w:cs="宋体"/>
        </w:rPr>
        <w:t>风险提示：</w:t>
      </w:r>
      <w:r>
        <w:rPr>
          <w:rFonts w:ascii="宋体" w:hAnsi="宋体" w:cs="宋体"/>
        </w:rPr>
        <w:cr/>
        <w:t xml:space="preserve">    </w:t>
      </w:r>
      <w:r>
        <w:rPr>
          <w:rFonts w:ascii="宋体" w:hAnsi="宋体" w:cs="宋体"/>
        </w:rPr>
        <w:t>基金管理人依照恪尽职守、诚实信</w:t>
      </w:r>
      <w:r>
        <w:rPr>
          <w:rFonts w:ascii="宋体" w:hAnsi="宋体" w:cs="宋体"/>
        </w:rPr>
        <w:t>用、谨慎勤勉的原则管理和运用基金财产，但不保证基金一定盈利，也不保证最低收益。</w:t>
      </w:r>
      <w:r>
        <w:rPr>
          <w:rFonts w:ascii="宋体" w:hAnsi="宋体" w:cs="宋体"/>
        </w:rPr>
        <w:cr/>
        <w:t xml:space="preserve">    </w:t>
      </w:r>
      <w:r>
        <w:rPr>
          <w:rFonts w:ascii="宋体" w:hAnsi="宋体" w:cs="宋体"/>
        </w:rPr>
        <w:t>投资有风险，敬请投资者在投资基金前认真阅读《鹏安安泰利率债债券型证券投资基金基金合同》、《鹏安安泰利率债债券型证券投资基金招募说明书》等基金法律文件，了解基金的风险收益特征，并根据自身的风险承受能力选择适合自己的基金产品。</w:t>
      </w:r>
    </w:p>
    <w:p w:rsidR="00687A37" w:rsidRDefault="00687A37"/>
    <w:p w:rsidR="00687A37" w:rsidRDefault="006C6CB6">
      <w:pPr>
        <w:jc w:val="right"/>
      </w:pPr>
      <w:r>
        <w:rPr>
          <w:rFonts w:ascii="宋体" w:hAnsi="宋体" w:cs="宋体"/>
        </w:rPr>
        <w:t>鹏安基金管理有限公司</w:t>
      </w:r>
    </w:p>
    <w:p w:rsidR="00687A37" w:rsidRDefault="006C6CB6">
      <w:pPr>
        <w:jc w:val="right"/>
      </w:pPr>
      <w:r>
        <w:rPr>
          <w:rFonts w:ascii="宋体" w:hAnsi="宋体" w:cs="宋体"/>
        </w:rPr>
        <w:t>2026</w:t>
      </w:r>
      <w:r>
        <w:rPr>
          <w:rFonts w:ascii="宋体" w:hAnsi="宋体" w:cs="宋体"/>
        </w:rPr>
        <w:t>年</w:t>
      </w:r>
      <w:r>
        <w:rPr>
          <w:rFonts w:ascii="宋体" w:hAnsi="宋体" w:cs="宋体"/>
        </w:rPr>
        <w:t>02</w:t>
      </w:r>
      <w:r>
        <w:rPr>
          <w:rFonts w:ascii="宋体" w:hAnsi="宋体" w:cs="宋体"/>
        </w:rPr>
        <w:t>月</w:t>
      </w:r>
      <w:r>
        <w:rPr>
          <w:rFonts w:ascii="宋体" w:hAnsi="宋体" w:cs="宋体"/>
        </w:rPr>
        <w:t>13</w:t>
      </w:r>
      <w:r>
        <w:rPr>
          <w:rFonts w:ascii="宋体" w:hAnsi="宋体" w:cs="宋体"/>
        </w:rPr>
        <w:t>日</w:t>
      </w:r>
    </w:p>
    <w:sectPr w:rsidR="00687A37" w:rsidSect="00687A37">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6C6C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687A37" w:rsidRPr="00687A37">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687A37" w:rsidRPr="00687A37">
      <w:rPr>
        <w:rFonts w:ascii="宋体" w:hAnsi="宋体" w:cs="Times New Roman" w:hint="eastAsia"/>
        <w:sz w:val="20"/>
        <w:szCs w:val="20"/>
        <w:lang/>
      </w:rPr>
      <w:fldChar w:fldCharType="separate"/>
    </w:r>
    <w:r w:rsidR="006C6CB6">
      <w:rPr>
        <w:rFonts w:ascii="宋体" w:hAnsi="宋体" w:cs="宋体"/>
        <w:noProof/>
        <w:sz w:val="20"/>
        <w:szCs w:val="20"/>
        <w:lang/>
      </w:rPr>
      <w:t>1</w:t>
    </w:r>
    <w:r w:rsidR="00687A37"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6C6CB6">
        <w:rPr>
          <w:rFonts w:ascii="宋体" w:hAnsi="宋体" w:cs="宋体"/>
          <w:noProof/>
          <w:sz w:val="20"/>
          <w:szCs w:val="20"/>
          <w:lang/>
        </w:rPr>
        <w:t>3</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rsidP="006C6C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鹏安安泰利率债债券型证券投资基金开放日常申购（赎回、定期定额投资）业务公告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87A37"/>
    <w:rsid w:val="006935A0"/>
    <w:rsid w:val="006A6402"/>
    <w:rsid w:val="006B4B3E"/>
    <w:rsid w:val="006C6CB6"/>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5608</Characters>
  <Application>Microsoft Office Word</Application>
  <DocSecurity>4</DocSecurity>
  <Lines>46</Lines>
  <Paragraphs>13</Paragraphs>
  <ScaleCrop>false</ScaleCrop>
  <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2026-02-12T16:00:00Z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