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0C0" w:rsidRDefault="008B7920">
      <w:pPr>
        <w:autoSpaceDE w:val="0"/>
        <w:autoSpaceDN w:val="0"/>
        <w:adjustRightInd w:val="0"/>
        <w:spacing w:before="30" w:line="360" w:lineRule="auto"/>
        <w:ind w:left="15"/>
        <w:jc w:val="center"/>
        <w:rPr>
          <w:rFonts w:ascii="Arial" w:hAnsi="宋体" w:cs="Arial"/>
          <w:b/>
          <w:bCs/>
          <w:color w:val="000000"/>
          <w:sz w:val="30"/>
          <w:szCs w:val="30"/>
        </w:rPr>
      </w:pPr>
      <w:bookmarkStart w:id="0" w:name="_GoBack"/>
      <w:bookmarkEnd w:id="0"/>
      <w:r>
        <w:rPr>
          <w:rFonts w:ascii="Arial" w:hAnsi="宋体" w:cs="Arial" w:hint="eastAsia"/>
          <w:b/>
          <w:bCs/>
          <w:color w:val="000000"/>
          <w:sz w:val="30"/>
          <w:szCs w:val="30"/>
        </w:rPr>
        <w:t>财通资管量化选股股票型发起式证券投资基金</w:t>
      </w:r>
    </w:p>
    <w:p w:rsidR="001530C0" w:rsidRDefault="008B7920">
      <w:pPr>
        <w:autoSpaceDE w:val="0"/>
        <w:autoSpaceDN w:val="0"/>
        <w:adjustRightInd w:val="0"/>
        <w:spacing w:before="30" w:line="360" w:lineRule="auto"/>
        <w:ind w:left="15"/>
        <w:jc w:val="center"/>
        <w:rPr>
          <w:rFonts w:ascii="Arial" w:hAnsi="宋体" w:cs="Arial"/>
          <w:b/>
          <w:bCs/>
          <w:color w:val="000000"/>
          <w:sz w:val="30"/>
          <w:szCs w:val="30"/>
        </w:rPr>
      </w:pPr>
      <w:r>
        <w:rPr>
          <w:rFonts w:ascii="Arial" w:hAnsi="宋体" w:cs="Arial" w:hint="eastAsia"/>
          <w:b/>
          <w:bCs/>
          <w:color w:val="000000"/>
          <w:sz w:val="30"/>
          <w:szCs w:val="30"/>
        </w:rPr>
        <w:t>开放日常申购、赎回、转换和定期定额投资业务公告</w:t>
      </w:r>
    </w:p>
    <w:p w:rsidR="001530C0" w:rsidRDefault="008B7920">
      <w:pPr>
        <w:autoSpaceDE w:val="0"/>
        <w:autoSpaceDN w:val="0"/>
        <w:adjustRightInd w:val="0"/>
        <w:spacing w:before="30" w:line="360" w:lineRule="auto"/>
        <w:ind w:left="15"/>
        <w:jc w:val="center"/>
        <w:rPr>
          <w:rFonts w:ascii="Arial" w:hAnsi="宋体" w:cs="Arial"/>
          <w:b/>
          <w:sz w:val="24"/>
          <w:szCs w:val="24"/>
        </w:rPr>
      </w:pPr>
      <w:r>
        <w:rPr>
          <w:rFonts w:ascii="Arial" w:hAnsi="宋体" w:cs="Arial" w:hint="eastAsia"/>
          <w:b/>
          <w:sz w:val="24"/>
          <w:szCs w:val="24"/>
        </w:rPr>
        <w:t>公告送出日期：</w:t>
      </w:r>
      <w:r>
        <w:rPr>
          <w:rFonts w:ascii="Arial" w:hAnsi="宋体" w:cs="Arial"/>
          <w:b/>
          <w:sz w:val="24"/>
          <w:szCs w:val="24"/>
        </w:rPr>
        <w:t>20</w:t>
      </w:r>
      <w:r>
        <w:rPr>
          <w:rFonts w:ascii="Arial" w:hAnsi="宋体" w:cs="Arial" w:hint="eastAsia"/>
          <w:b/>
          <w:sz w:val="24"/>
          <w:szCs w:val="24"/>
        </w:rPr>
        <w:t>26</w:t>
      </w:r>
      <w:r>
        <w:rPr>
          <w:rFonts w:ascii="Arial" w:hAnsi="宋体" w:cs="Arial" w:hint="eastAsia"/>
          <w:b/>
          <w:sz w:val="24"/>
          <w:szCs w:val="24"/>
        </w:rPr>
        <w:t>年</w:t>
      </w:r>
      <w:r>
        <w:rPr>
          <w:rFonts w:ascii="Arial" w:hAnsi="宋体" w:cs="Arial" w:hint="eastAsia"/>
          <w:b/>
          <w:sz w:val="24"/>
          <w:szCs w:val="24"/>
        </w:rPr>
        <w:t>2</w:t>
      </w:r>
      <w:r>
        <w:rPr>
          <w:rFonts w:ascii="Arial" w:hAnsi="宋体" w:cs="Arial" w:hint="eastAsia"/>
          <w:b/>
          <w:sz w:val="24"/>
          <w:szCs w:val="24"/>
        </w:rPr>
        <w:t>月</w:t>
      </w:r>
      <w:r>
        <w:rPr>
          <w:rFonts w:ascii="Arial" w:hAnsi="宋体" w:cs="Arial" w:hint="eastAsia"/>
          <w:b/>
          <w:sz w:val="24"/>
          <w:szCs w:val="24"/>
        </w:rPr>
        <w:t>13</w:t>
      </w:r>
      <w:r>
        <w:rPr>
          <w:rFonts w:ascii="Arial" w:hAnsi="宋体" w:cs="Arial" w:hint="eastAsia"/>
          <w:b/>
          <w:sz w:val="24"/>
          <w:szCs w:val="24"/>
        </w:rPr>
        <w:t>日</w:t>
      </w:r>
    </w:p>
    <w:p w:rsidR="001530C0" w:rsidRDefault="001530C0">
      <w:pPr>
        <w:autoSpaceDE w:val="0"/>
        <w:autoSpaceDN w:val="0"/>
        <w:adjustRightInd w:val="0"/>
        <w:spacing w:before="30" w:line="360" w:lineRule="auto"/>
        <w:ind w:left="15"/>
        <w:jc w:val="left"/>
        <w:rPr>
          <w:rFonts w:ascii="Times New Roman" w:hAnsi="Times New Roman" w:cs="Times New Roman"/>
          <w:b/>
          <w:bCs/>
          <w:color w:val="000000"/>
          <w:kern w:val="0"/>
        </w:rPr>
      </w:pPr>
    </w:p>
    <w:p w:rsidR="001530C0" w:rsidRDefault="008B7920">
      <w:pPr>
        <w:autoSpaceDE w:val="0"/>
        <w:autoSpaceDN w:val="0"/>
        <w:adjustRightInd w:val="0"/>
        <w:spacing w:before="30"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1 </w:t>
      </w:r>
      <w:r>
        <w:rPr>
          <w:rFonts w:ascii="Times New Roman" w:hAnsi="Times New Roman" w:hint="eastAsia"/>
          <w:b/>
          <w:bCs/>
          <w:color w:val="000000"/>
          <w:kern w:val="0"/>
        </w:rPr>
        <w:t>公告基本信息</w:t>
      </w:r>
    </w:p>
    <w:tbl>
      <w:tblPr>
        <w:tblW w:w="9030" w:type="dxa"/>
        <w:tblInd w:w="108" w:type="dxa"/>
        <w:tblLayout w:type="fixed"/>
        <w:tblLook w:val="04A0"/>
      </w:tblPr>
      <w:tblGrid>
        <w:gridCol w:w="3154"/>
        <w:gridCol w:w="2938"/>
        <w:gridCol w:w="2938"/>
      </w:tblGrid>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基金名称</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财通资管量化选股股票型发起式证券投资基金</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基金简称</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jc w:val="left"/>
              <w:rPr>
                <w:rFonts w:ascii="Times New Roman" w:hAnsi="Times New Roman" w:cs="Times New Roman"/>
                <w:color w:val="000000"/>
                <w:kern w:val="0"/>
              </w:rPr>
            </w:pPr>
            <w:r>
              <w:rPr>
                <w:rFonts w:ascii="Times New Roman" w:hAnsi="Times New Roman" w:cs="Times New Roman" w:hint="eastAsia"/>
                <w:color w:val="000000"/>
                <w:kern w:val="0"/>
              </w:rPr>
              <w:t>财通资管量化选股股票发起式</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基金主代码</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026520</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基金运作方式</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契约型开放式</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基金合同生效日</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2026</w:t>
            </w:r>
            <w:r>
              <w:rPr>
                <w:rFonts w:ascii="Times New Roman" w:hAnsi="Times New Roman" w:cs="Times New Roman" w:hint="eastAsia"/>
                <w:color w:val="000000"/>
                <w:kern w:val="0"/>
              </w:rPr>
              <w:t>年</w:t>
            </w:r>
            <w:r>
              <w:rPr>
                <w:rFonts w:ascii="Times New Roman" w:hAnsi="Times New Roman" w:cs="Times New Roman" w:hint="eastAsia"/>
                <w:color w:val="000000"/>
                <w:kern w:val="0"/>
              </w:rPr>
              <w:t>2</w:t>
            </w:r>
            <w:r>
              <w:rPr>
                <w:rFonts w:ascii="Times New Roman" w:hAnsi="Times New Roman" w:cs="Times New Roman" w:hint="eastAsia"/>
                <w:color w:val="000000"/>
                <w:kern w:val="0"/>
              </w:rPr>
              <w:t>月</w:t>
            </w:r>
            <w:r>
              <w:rPr>
                <w:rFonts w:ascii="Times New Roman" w:hAnsi="Times New Roman" w:cs="Times New Roman" w:hint="eastAsia"/>
                <w:color w:val="000000"/>
                <w:kern w:val="0"/>
              </w:rPr>
              <w:t>5</w:t>
            </w:r>
            <w:r>
              <w:rPr>
                <w:rFonts w:ascii="Times New Roman" w:hAnsi="Times New Roman" w:cs="Times New Roman" w:hint="eastAsia"/>
                <w:color w:val="000000"/>
                <w:kern w:val="0"/>
              </w:rPr>
              <w:t>日</w:t>
            </w:r>
          </w:p>
        </w:tc>
      </w:tr>
      <w:tr w:rsidR="001530C0">
        <w:trPr>
          <w:trHeight w:val="407"/>
        </w:trPr>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基金管理人名称</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财通证券资产管理有限公司</w:t>
            </w:r>
          </w:p>
        </w:tc>
      </w:tr>
      <w:tr w:rsidR="001530C0">
        <w:trPr>
          <w:trHeight w:val="445"/>
        </w:trPr>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基金托管人名称</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中国工商银行股份有限公司</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基金注册登记机构名称</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s="Times New Roman"/>
                <w:color w:val="FF0000"/>
                <w:kern w:val="0"/>
              </w:rPr>
            </w:pPr>
            <w:r>
              <w:rPr>
                <w:rFonts w:ascii="Times New Roman" w:hAnsi="Times New Roman" w:hint="eastAsia"/>
                <w:color w:val="000000"/>
                <w:kern w:val="0"/>
              </w:rPr>
              <w:t>财通证券资产管理有限公司</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公告依据</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s="Times New Roman"/>
                <w:color w:val="000000"/>
                <w:kern w:val="0"/>
              </w:rPr>
            </w:pPr>
            <w:r>
              <w:rPr>
                <w:rFonts w:ascii="Times New Roman" w:hAnsi="Times New Roman" w:hint="eastAsia"/>
                <w:color w:val="000000"/>
                <w:kern w:val="0"/>
              </w:rPr>
              <w:t>《</w:t>
            </w:r>
            <w:r>
              <w:rPr>
                <w:rFonts w:ascii="Times New Roman" w:hAnsi="Times New Roman" w:cs="Times New Roman" w:hint="eastAsia"/>
                <w:color w:val="000000"/>
                <w:kern w:val="0"/>
              </w:rPr>
              <w:t>财通资管量化选股股票型发起式证券投资基金</w:t>
            </w:r>
            <w:r>
              <w:rPr>
                <w:rFonts w:ascii="Times New Roman" w:hAnsi="Times New Roman" w:hint="eastAsia"/>
                <w:color w:val="000000"/>
                <w:kern w:val="0"/>
              </w:rPr>
              <w:t>基金合同》、《</w:t>
            </w:r>
            <w:r>
              <w:rPr>
                <w:rFonts w:ascii="Times New Roman" w:hAnsi="Times New Roman" w:cs="Times New Roman" w:hint="eastAsia"/>
                <w:color w:val="000000"/>
                <w:kern w:val="0"/>
              </w:rPr>
              <w:t>财通资管量化选股股票型发起式证券投资基金</w:t>
            </w:r>
            <w:r>
              <w:rPr>
                <w:rFonts w:ascii="Times New Roman" w:hAnsi="Times New Roman" w:hint="eastAsia"/>
                <w:color w:val="000000"/>
                <w:kern w:val="0"/>
              </w:rPr>
              <w:t>招募说明书》等</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申购起始日</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2026</w:t>
            </w:r>
            <w:r>
              <w:rPr>
                <w:rFonts w:ascii="Times New Roman" w:hAnsi="Times New Roman" w:hint="eastAsia"/>
                <w:color w:val="000000"/>
                <w:kern w:val="0"/>
              </w:rPr>
              <w:t>年</w:t>
            </w:r>
            <w:r>
              <w:rPr>
                <w:rFonts w:ascii="Times New Roman" w:hAnsi="Times New Roman" w:hint="eastAsia"/>
                <w:color w:val="000000"/>
                <w:kern w:val="0"/>
              </w:rPr>
              <w:t>2</w:t>
            </w:r>
            <w:r>
              <w:rPr>
                <w:rFonts w:ascii="Times New Roman" w:hAnsi="Times New Roman" w:hint="eastAsia"/>
                <w:color w:val="000000"/>
                <w:kern w:val="0"/>
              </w:rPr>
              <w:t>月</w:t>
            </w:r>
            <w:r>
              <w:rPr>
                <w:rFonts w:ascii="Times New Roman" w:hAnsi="Times New Roman" w:hint="eastAsia"/>
                <w:color w:val="000000"/>
                <w:kern w:val="0"/>
              </w:rPr>
              <w:t>24</w:t>
            </w:r>
            <w:r>
              <w:rPr>
                <w:rFonts w:ascii="Times New Roman" w:hAnsi="Times New Roman" w:hint="eastAsia"/>
                <w:color w:val="000000"/>
                <w:kern w:val="0"/>
              </w:rPr>
              <w:t>日</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赎回起始日</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2026</w:t>
            </w:r>
            <w:r>
              <w:rPr>
                <w:rFonts w:ascii="Times New Roman" w:hAnsi="Times New Roman" w:hint="eastAsia"/>
                <w:color w:val="000000"/>
                <w:kern w:val="0"/>
              </w:rPr>
              <w:t>年</w:t>
            </w:r>
            <w:r>
              <w:rPr>
                <w:rFonts w:ascii="Times New Roman" w:hAnsi="Times New Roman" w:hint="eastAsia"/>
                <w:color w:val="000000"/>
                <w:kern w:val="0"/>
              </w:rPr>
              <w:t>2</w:t>
            </w:r>
            <w:r>
              <w:rPr>
                <w:rFonts w:ascii="Times New Roman" w:hAnsi="Times New Roman" w:hint="eastAsia"/>
                <w:color w:val="000000"/>
                <w:kern w:val="0"/>
              </w:rPr>
              <w:t>月</w:t>
            </w:r>
            <w:r>
              <w:rPr>
                <w:rFonts w:ascii="Times New Roman" w:hAnsi="Times New Roman" w:hint="eastAsia"/>
                <w:color w:val="000000"/>
                <w:kern w:val="0"/>
              </w:rPr>
              <w:t>24</w:t>
            </w:r>
            <w:r>
              <w:rPr>
                <w:rFonts w:ascii="Times New Roman" w:hAnsi="Times New Roman" w:hint="eastAsia"/>
                <w:color w:val="000000"/>
                <w:kern w:val="0"/>
              </w:rPr>
              <w:t>日</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转换转入起始日</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2026</w:t>
            </w:r>
            <w:r>
              <w:rPr>
                <w:rFonts w:ascii="Times New Roman" w:hAnsi="Times New Roman" w:hint="eastAsia"/>
                <w:color w:val="000000"/>
                <w:kern w:val="0"/>
              </w:rPr>
              <w:t>年</w:t>
            </w:r>
            <w:r>
              <w:rPr>
                <w:rFonts w:ascii="Times New Roman" w:hAnsi="Times New Roman" w:hint="eastAsia"/>
                <w:color w:val="000000"/>
                <w:kern w:val="0"/>
              </w:rPr>
              <w:t>2</w:t>
            </w:r>
            <w:r>
              <w:rPr>
                <w:rFonts w:ascii="Times New Roman" w:hAnsi="Times New Roman" w:hint="eastAsia"/>
                <w:color w:val="000000"/>
                <w:kern w:val="0"/>
              </w:rPr>
              <w:t>月</w:t>
            </w:r>
            <w:r>
              <w:rPr>
                <w:rFonts w:ascii="Times New Roman" w:hAnsi="Times New Roman" w:hint="eastAsia"/>
                <w:color w:val="000000"/>
                <w:kern w:val="0"/>
              </w:rPr>
              <w:t>24</w:t>
            </w:r>
            <w:r>
              <w:rPr>
                <w:rFonts w:ascii="Times New Roman" w:hAnsi="Times New Roman" w:hint="eastAsia"/>
                <w:color w:val="000000"/>
                <w:kern w:val="0"/>
              </w:rPr>
              <w:t>日</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转换转出起始日</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2026</w:t>
            </w:r>
            <w:r>
              <w:rPr>
                <w:rFonts w:ascii="Times New Roman" w:hAnsi="Times New Roman" w:hint="eastAsia"/>
                <w:color w:val="000000"/>
                <w:kern w:val="0"/>
              </w:rPr>
              <w:t>年</w:t>
            </w:r>
            <w:r>
              <w:rPr>
                <w:rFonts w:ascii="Times New Roman" w:hAnsi="Times New Roman" w:hint="eastAsia"/>
                <w:color w:val="000000"/>
                <w:kern w:val="0"/>
              </w:rPr>
              <w:t>2</w:t>
            </w:r>
            <w:r>
              <w:rPr>
                <w:rFonts w:ascii="Times New Roman" w:hAnsi="Times New Roman" w:hint="eastAsia"/>
                <w:color w:val="000000"/>
                <w:kern w:val="0"/>
              </w:rPr>
              <w:t>月</w:t>
            </w:r>
            <w:r>
              <w:rPr>
                <w:rFonts w:ascii="Times New Roman" w:hAnsi="Times New Roman" w:hint="eastAsia"/>
                <w:color w:val="000000"/>
                <w:kern w:val="0"/>
              </w:rPr>
              <w:t>24</w:t>
            </w:r>
            <w:r>
              <w:rPr>
                <w:rFonts w:ascii="Times New Roman" w:hAnsi="Times New Roman" w:hint="eastAsia"/>
                <w:color w:val="000000"/>
                <w:kern w:val="0"/>
              </w:rPr>
              <w:t>日</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定期定额投资起始日</w:t>
            </w:r>
          </w:p>
        </w:tc>
        <w:tc>
          <w:tcPr>
            <w:tcW w:w="5876" w:type="dxa"/>
            <w:gridSpan w:val="2"/>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2026</w:t>
            </w:r>
            <w:r>
              <w:rPr>
                <w:rFonts w:ascii="Times New Roman" w:hAnsi="Times New Roman" w:hint="eastAsia"/>
                <w:color w:val="000000"/>
                <w:kern w:val="0"/>
              </w:rPr>
              <w:t>年</w:t>
            </w:r>
            <w:r>
              <w:rPr>
                <w:rFonts w:ascii="Times New Roman" w:hAnsi="Times New Roman" w:hint="eastAsia"/>
                <w:color w:val="000000"/>
                <w:kern w:val="0"/>
              </w:rPr>
              <w:t>2</w:t>
            </w:r>
            <w:r>
              <w:rPr>
                <w:rFonts w:ascii="Times New Roman" w:hAnsi="Times New Roman" w:hint="eastAsia"/>
                <w:color w:val="000000"/>
                <w:kern w:val="0"/>
              </w:rPr>
              <w:t>月</w:t>
            </w:r>
            <w:r>
              <w:rPr>
                <w:rFonts w:ascii="Times New Roman" w:hAnsi="Times New Roman" w:hint="eastAsia"/>
                <w:color w:val="000000"/>
                <w:kern w:val="0"/>
              </w:rPr>
              <w:t>24</w:t>
            </w:r>
            <w:r>
              <w:rPr>
                <w:rFonts w:ascii="Times New Roman" w:hAnsi="Times New Roman" w:hint="eastAsia"/>
                <w:color w:val="000000"/>
                <w:kern w:val="0"/>
              </w:rPr>
              <w:t>日</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下属分级基金的基金简称</w:t>
            </w:r>
          </w:p>
        </w:tc>
        <w:tc>
          <w:tcPr>
            <w:tcW w:w="2938"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cs="Times New Roman" w:hint="eastAsia"/>
                <w:color w:val="000000"/>
                <w:kern w:val="0"/>
              </w:rPr>
              <w:t>财通资管量化选股股票发起式</w:t>
            </w:r>
            <w:r>
              <w:rPr>
                <w:rFonts w:ascii="Times New Roman" w:hAnsi="Times New Roman" w:cs="Times New Roman" w:hint="eastAsia"/>
                <w:color w:val="000000"/>
                <w:kern w:val="0"/>
              </w:rPr>
              <w:t>A</w:t>
            </w:r>
          </w:p>
        </w:tc>
        <w:tc>
          <w:tcPr>
            <w:tcW w:w="2938"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cs="Times New Roman" w:hint="eastAsia"/>
                <w:color w:val="000000"/>
                <w:kern w:val="0"/>
              </w:rPr>
              <w:t>财通资管量化选股股票发起式</w:t>
            </w:r>
            <w:r>
              <w:rPr>
                <w:rFonts w:ascii="Times New Roman" w:hAnsi="Times New Roman" w:cs="Times New Roman" w:hint="eastAsia"/>
                <w:color w:val="000000"/>
                <w:kern w:val="0"/>
              </w:rPr>
              <w:t>C</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下属分级基金的交易代码</w:t>
            </w:r>
          </w:p>
        </w:tc>
        <w:tc>
          <w:tcPr>
            <w:tcW w:w="2938"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cs="Times New Roman" w:hint="eastAsia"/>
                <w:color w:val="000000"/>
                <w:kern w:val="0"/>
              </w:rPr>
              <w:t>026520</w:t>
            </w:r>
          </w:p>
        </w:tc>
        <w:tc>
          <w:tcPr>
            <w:tcW w:w="2938"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s="Times New Roman"/>
                <w:color w:val="000000"/>
                <w:kern w:val="0"/>
              </w:rPr>
            </w:pPr>
            <w:r>
              <w:rPr>
                <w:rFonts w:ascii="Times New Roman" w:hAnsi="Times New Roman" w:cs="Times New Roman" w:hint="eastAsia"/>
                <w:color w:val="000000"/>
                <w:kern w:val="0"/>
              </w:rPr>
              <w:t>026521</w:t>
            </w:r>
          </w:p>
        </w:tc>
      </w:tr>
      <w:tr w:rsidR="001530C0">
        <w:tc>
          <w:tcPr>
            <w:tcW w:w="3154"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该分级基金是否开放申购、赎回</w:t>
            </w:r>
          </w:p>
        </w:tc>
        <w:tc>
          <w:tcPr>
            <w:tcW w:w="2938"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是</w:t>
            </w:r>
          </w:p>
        </w:tc>
        <w:tc>
          <w:tcPr>
            <w:tcW w:w="2938" w:type="dxa"/>
            <w:tcBorders>
              <w:top w:val="single" w:sz="8" w:space="0" w:color="000000"/>
              <w:left w:val="single" w:sz="8" w:space="0" w:color="000000"/>
              <w:bottom w:val="single" w:sz="8" w:space="0" w:color="000000"/>
              <w:right w:val="single" w:sz="8" w:space="0" w:color="000000"/>
            </w:tcBorders>
            <w:vAlign w:val="center"/>
          </w:tcPr>
          <w:p w:rsidR="001530C0" w:rsidRDefault="008B7920">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是</w:t>
            </w:r>
          </w:p>
        </w:tc>
      </w:tr>
    </w:tbl>
    <w:p w:rsidR="001530C0" w:rsidRDefault="001530C0" w:rsidP="008B7920">
      <w:pPr>
        <w:spacing w:beforeLines="50" w:line="360" w:lineRule="auto"/>
        <w:ind w:firstLineChars="150" w:firstLine="315"/>
      </w:pPr>
    </w:p>
    <w:p w:rsidR="001530C0" w:rsidRDefault="008B7920">
      <w:pPr>
        <w:autoSpaceDE w:val="0"/>
        <w:autoSpaceDN w:val="0"/>
        <w:adjustRightInd w:val="0"/>
        <w:spacing w:before="30"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2 </w:t>
      </w:r>
      <w:r>
        <w:rPr>
          <w:rFonts w:ascii="Times New Roman" w:hAnsi="Times New Roman" w:hint="eastAsia"/>
          <w:b/>
          <w:bCs/>
          <w:color w:val="000000"/>
          <w:kern w:val="0"/>
        </w:rPr>
        <w:t>日常申购、赎回（转换、定期定额投资）业务的办理时间</w:t>
      </w:r>
    </w:p>
    <w:p w:rsidR="001530C0" w:rsidRDefault="008B7920">
      <w:pPr>
        <w:autoSpaceDE w:val="0"/>
        <w:autoSpaceDN w:val="0"/>
        <w:adjustRightInd w:val="0"/>
        <w:spacing w:before="30" w:line="360" w:lineRule="auto"/>
        <w:ind w:firstLineChars="200" w:firstLine="420"/>
        <w:jc w:val="left"/>
        <w:rPr>
          <w:rFonts w:ascii="Arial" w:hAnsi="Arial" w:cs="Arial"/>
        </w:rPr>
      </w:pPr>
      <w:r>
        <w:rPr>
          <w:rFonts w:ascii="Arial" w:hAnsi="Arial" w:cs="Arial" w:hint="eastAsia"/>
        </w:rPr>
        <w:t>投资人在开放日办理基金份额的申购和赎回，具体办理时间为上海证券交易所、深圳证券交易所的正常交易日的交易时间（若本基金参与港股通交易且该工作日为非港股通交易日时，则基金管理人有权根据实际情况决定本基金暂停申购、赎回及转换业务并公告），但基金管理人根据法律法</w:t>
      </w:r>
      <w:r>
        <w:rPr>
          <w:rFonts w:ascii="Arial" w:hAnsi="Arial" w:cs="Arial" w:hint="eastAsia"/>
        </w:rPr>
        <w:lastRenderedPageBreak/>
        <w:t>规、中国证监会的要求或基金合同的规定公告暂停申购、赎回时除外。</w:t>
      </w:r>
    </w:p>
    <w:p w:rsidR="001530C0" w:rsidRDefault="008B7920">
      <w:pPr>
        <w:autoSpaceDE w:val="0"/>
        <w:autoSpaceDN w:val="0"/>
        <w:adjustRightInd w:val="0"/>
        <w:spacing w:before="30" w:line="360" w:lineRule="auto"/>
        <w:ind w:firstLineChars="200" w:firstLine="420"/>
        <w:jc w:val="left"/>
        <w:rPr>
          <w:rFonts w:ascii="Arial" w:hAnsi="Arial" w:cs="Arial"/>
        </w:rPr>
      </w:pPr>
      <w:r>
        <w:rPr>
          <w:rFonts w:ascii="Arial" w:hAnsi="Arial" w:cs="Arial" w:hint="eastAsia"/>
        </w:rPr>
        <w:t>若出现新的证券</w:t>
      </w:r>
      <w:r>
        <w:rPr>
          <w:rFonts w:ascii="Arial" w:hAnsi="Arial" w:cs="Arial"/>
        </w:rPr>
        <w:t>/</w:t>
      </w:r>
      <w:r>
        <w:rPr>
          <w:rFonts w:ascii="Arial" w:hAnsi="Arial" w:cs="Arial" w:hint="eastAsia"/>
        </w:rPr>
        <w:t>期货交易市场、证券</w:t>
      </w:r>
      <w:r>
        <w:rPr>
          <w:rFonts w:ascii="Arial" w:hAnsi="Arial" w:cs="Arial"/>
        </w:rPr>
        <w:t>/</w:t>
      </w:r>
      <w:r>
        <w:rPr>
          <w:rFonts w:ascii="Arial" w:hAnsi="Arial" w:cs="Arial" w:hint="eastAsia"/>
        </w:rPr>
        <w:t>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w:t>
      </w:r>
    </w:p>
    <w:p w:rsidR="001530C0" w:rsidRDefault="001530C0">
      <w:pPr>
        <w:autoSpaceDE w:val="0"/>
        <w:autoSpaceDN w:val="0"/>
        <w:adjustRightInd w:val="0"/>
        <w:spacing w:before="30" w:line="360" w:lineRule="auto"/>
        <w:jc w:val="left"/>
        <w:rPr>
          <w:rFonts w:ascii="Times New Roman" w:hAnsi="Times New Roman" w:cs="Times New Roman"/>
          <w:b/>
          <w:bCs/>
          <w:color w:val="000000"/>
          <w:kern w:val="0"/>
        </w:rPr>
      </w:pPr>
    </w:p>
    <w:p w:rsidR="001530C0" w:rsidRDefault="008B7920">
      <w:pPr>
        <w:autoSpaceDE w:val="0"/>
        <w:autoSpaceDN w:val="0"/>
        <w:adjustRightInd w:val="0"/>
        <w:spacing w:before="30" w:line="360" w:lineRule="auto"/>
        <w:jc w:val="left"/>
        <w:rPr>
          <w:rFonts w:ascii="Times New Roman" w:hAnsi="Times New Roman" w:cs="Times New Roman"/>
          <w:b/>
          <w:bCs/>
          <w:color w:val="000000"/>
          <w:kern w:val="0"/>
        </w:rPr>
      </w:pPr>
      <w:r>
        <w:rPr>
          <w:rFonts w:ascii="Times New Roman" w:hAnsi="Times New Roman" w:cs="Times New Roman"/>
          <w:b/>
          <w:bCs/>
          <w:color w:val="000000"/>
          <w:kern w:val="0"/>
        </w:rPr>
        <w:t xml:space="preserve">3 </w:t>
      </w:r>
      <w:r>
        <w:rPr>
          <w:rFonts w:ascii="Times New Roman" w:hAnsi="Times New Roman" w:hint="eastAsia"/>
          <w:b/>
          <w:bCs/>
          <w:color w:val="000000"/>
          <w:kern w:val="0"/>
        </w:rPr>
        <w:t>日常申购业务</w:t>
      </w:r>
    </w:p>
    <w:p w:rsidR="001530C0" w:rsidRDefault="008B7920">
      <w:pPr>
        <w:autoSpaceDE w:val="0"/>
        <w:autoSpaceDN w:val="0"/>
        <w:adjustRightInd w:val="0"/>
        <w:spacing w:before="30" w:line="360" w:lineRule="auto"/>
        <w:ind w:left="15"/>
        <w:jc w:val="left"/>
        <w:rPr>
          <w:rFonts w:ascii="Times New Roman" w:hAnsi="Times New Roman"/>
          <w:b/>
          <w:bCs/>
          <w:color w:val="000000"/>
          <w:kern w:val="0"/>
        </w:rPr>
      </w:pPr>
      <w:r>
        <w:rPr>
          <w:rFonts w:ascii="Times New Roman" w:hAnsi="Times New Roman" w:cs="Times New Roman"/>
          <w:b/>
          <w:bCs/>
          <w:color w:val="000000"/>
          <w:kern w:val="0"/>
        </w:rPr>
        <w:t xml:space="preserve">3.1 </w:t>
      </w:r>
      <w:r>
        <w:rPr>
          <w:rFonts w:ascii="Times New Roman" w:hAnsi="Times New Roman" w:hint="eastAsia"/>
          <w:b/>
          <w:bCs/>
          <w:color w:val="000000"/>
          <w:kern w:val="0"/>
        </w:rPr>
        <w:t>申购金额限制</w:t>
      </w:r>
    </w:p>
    <w:p w:rsidR="001530C0" w:rsidRDefault="008B7920">
      <w:pPr>
        <w:autoSpaceDE w:val="0"/>
        <w:autoSpaceDN w:val="0"/>
        <w:adjustRightInd w:val="0"/>
        <w:spacing w:line="360" w:lineRule="auto"/>
        <w:ind w:firstLine="435"/>
        <w:jc w:val="left"/>
        <w:rPr>
          <w:rFonts w:ascii="Times New Roman" w:hAnsi="Times New Roman" w:cs="Times New Roman"/>
          <w:color w:val="000000"/>
          <w:kern w:val="0"/>
        </w:rPr>
      </w:pPr>
      <w:r>
        <w:rPr>
          <w:rFonts w:ascii="Times New Roman" w:hAnsi="Times New Roman" w:cs="Times New Roman" w:hint="eastAsia"/>
          <w:color w:val="000000"/>
          <w:kern w:val="0"/>
        </w:rPr>
        <w:t>直销柜台每个账户首次申购的最低金额为</w:t>
      </w:r>
      <w:r>
        <w:rPr>
          <w:rFonts w:ascii="Times New Roman" w:hAnsi="Times New Roman" w:cs="Times New Roman"/>
          <w:color w:val="000000"/>
          <w:kern w:val="0"/>
        </w:rPr>
        <w:t>5</w:t>
      </w:r>
      <w:r>
        <w:rPr>
          <w:rFonts w:ascii="Times New Roman" w:hAnsi="Times New Roman" w:cs="Times New Roman" w:hint="eastAsia"/>
          <w:color w:val="000000"/>
          <w:kern w:val="0"/>
        </w:rPr>
        <w:t>0,000.00</w:t>
      </w:r>
      <w:r>
        <w:rPr>
          <w:rFonts w:ascii="Times New Roman" w:hAnsi="Times New Roman" w:cs="Times New Roman" w:hint="eastAsia"/>
          <w:color w:val="000000"/>
          <w:kern w:val="0"/>
        </w:rPr>
        <w:t>元，追加申购的最低金额为单笔</w:t>
      </w:r>
      <w:r>
        <w:rPr>
          <w:rFonts w:ascii="Times New Roman" w:hAnsi="Times New Roman" w:cs="Times New Roman" w:hint="eastAsia"/>
          <w:color w:val="000000"/>
          <w:kern w:val="0"/>
        </w:rPr>
        <w:t>1,000</w:t>
      </w:r>
      <w:r>
        <w:rPr>
          <w:rFonts w:ascii="Times New Roman" w:hAnsi="Times New Roman" w:cs="Times New Roman"/>
          <w:color w:val="000000"/>
          <w:kern w:val="0"/>
        </w:rPr>
        <w:t>.00</w:t>
      </w:r>
      <w:r>
        <w:rPr>
          <w:rFonts w:ascii="Times New Roman" w:hAnsi="Times New Roman" w:cs="Times New Roman" w:hint="eastAsia"/>
          <w:color w:val="000000"/>
          <w:kern w:val="0"/>
        </w:rPr>
        <w:t>元；已在直销柜台有认购过本基金基金份额记录的投资者不受基金份额首次申购最低金额的限制。通过基金管理人网上直销交易平台办理基金申购业务的不受直销柜台单笔申购最低金额</w:t>
      </w:r>
      <w:r>
        <w:rPr>
          <w:rFonts w:ascii="Times New Roman" w:hAnsi="Times New Roman" w:cs="Times New Roman" w:hint="eastAsia"/>
          <w:color w:val="000000"/>
          <w:kern w:val="0"/>
        </w:rPr>
        <w:t>的限制，申购最低金额为单笔</w:t>
      </w:r>
      <w:r>
        <w:rPr>
          <w:rFonts w:ascii="Times New Roman" w:hAnsi="Times New Roman" w:cs="Times New Roman" w:hint="eastAsia"/>
          <w:color w:val="000000"/>
          <w:kern w:val="0"/>
        </w:rPr>
        <w:t>1</w:t>
      </w:r>
      <w:r>
        <w:rPr>
          <w:rFonts w:ascii="Times New Roman" w:hAnsi="Times New Roman" w:cs="Times New Roman"/>
          <w:color w:val="000000"/>
          <w:kern w:val="0"/>
        </w:rPr>
        <w:t>.00</w:t>
      </w:r>
      <w:r>
        <w:rPr>
          <w:rFonts w:ascii="Times New Roman" w:hAnsi="Times New Roman" w:cs="Times New Roman" w:hint="eastAsia"/>
          <w:color w:val="000000"/>
          <w:kern w:val="0"/>
        </w:rPr>
        <w:t>元。本基金直销柜台单笔申购最低金额可由基金管理人酌情调整。其他各销售机构每个账户单笔申购的最低金额为单笔</w:t>
      </w:r>
      <w:r>
        <w:rPr>
          <w:rFonts w:ascii="Times New Roman" w:hAnsi="Times New Roman" w:cs="Times New Roman" w:hint="eastAsia"/>
          <w:color w:val="000000"/>
          <w:kern w:val="0"/>
        </w:rPr>
        <w:t>1</w:t>
      </w:r>
      <w:r>
        <w:rPr>
          <w:rFonts w:ascii="Times New Roman" w:hAnsi="Times New Roman" w:cs="Times New Roman"/>
          <w:color w:val="000000"/>
          <w:kern w:val="0"/>
        </w:rPr>
        <w:t>.00</w:t>
      </w:r>
      <w:r>
        <w:rPr>
          <w:rFonts w:ascii="Times New Roman" w:hAnsi="Times New Roman" w:cs="Times New Roman" w:hint="eastAsia"/>
          <w:color w:val="000000"/>
          <w:kern w:val="0"/>
        </w:rPr>
        <w:t>元，如果销售机构业务规则规定的最低单笔申购金额高于</w:t>
      </w:r>
      <w:r>
        <w:rPr>
          <w:rFonts w:ascii="Times New Roman" w:hAnsi="Times New Roman" w:cs="Times New Roman" w:hint="eastAsia"/>
          <w:color w:val="000000"/>
          <w:kern w:val="0"/>
        </w:rPr>
        <w:t>1</w:t>
      </w:r>
      <w:r>
        <w:rPr>
          <w:rFonts w:ascii="Times New Roman" w:hAnsi="Times New Roman" w:cs="Times New Roman"/>
          <w:color w:val="000000"/>
          <w:kern w:val="0"/>
        </w:rPr>
        <w:t>.00</w:t>
      </w:r>
      <w:r>
        <w:rPr>
          <w:rFonts w:ascii="Times New Roman" w:hAnsi="Times New Roman" w:cs="Times New Roman" w:hint="eastAsia"/>
          <w:color w:val="000000"/>
          <w:kern w:val="0"/>
        </w:rPr>
        <w:t>元，以销售机构的规定为准。</w:t>
      </w:r>
    </w:p>
    <w:p w:rsidR="001530C0" w:rsidRDefault="008B7920">
      <w:pPr>
        <w:autoSpaceDE w:val="0"/>
        <w:autoSpaceDN w:val="0"/>
        <w:adjustRightInd w:val="0"/>
        <w:spacing w:before="30"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3.2 </w:t>
      </w:r>
      <w:r>
        <w:rPr>
          <w:rFonts w:ascii="Times New Roman" w:hAnsi="Times New Roman" w:hint="eastAsia"/>
          <w:b/>
          <w:bCs/>
          <w:color w:val="000000"/>
          <w:kern w:val="0"/>
        </w:rPr>
        <w:t>申购费率</w:t>
      </w:r>
    </w:p>
    <w:p w:rsidR="001530C0" w:rsidRDefault="008B7920">
      <w:pPr>
        <w:widowControl/>
        <w:adjustRightInd w:val="0"/>
        <w:snapToGrid w:val="0"/>
        <w:spacing w:line="360" w:lineRule="auto"/>
        <w:ind w:firstLineChars="200" w:firstLine="420"/>
      </w:pPr>
      <w:r>
        <w:rPr>
          <w:rFonts w:hint="eastAsia"/>
        </w:rPr>
        <w:t>通过直销机构申购本基金</w:t>
      </w:r>
      <w:r>
        <w:rPr>
          <w:rFonts w:hint="eastAsia"/>
        </w:rPr>
        <w:t>A</w:t>
      </w:r>
      <w:r>
        <w:rPr>
          <w:rFonts w:hint="eastAsia"/>
        </w:rPr>
        <w:t>类基金份额不收取申购费，通过其他销售机构申购本基金</w:t>
      </w:r>
      <w:r>
        <w:rPr>
          <w:rFonts w:hint="eastAsia"/>
        </w:rPr>
        <w:t>A</w:t>
      </w:r>
      <w:r>
        <w:rPr>
          <w:rFonts w:hint="eastAsia"/>
        </w:rPr>
        <w:t>类基金份额的，在投资人申购时收取申购费。</w:t>
      </w:r>
      <w:r>
        <w:rPr>
          <w:rFonts w:hint="eastAsia"/>
        </w:rPr>
        <w:t>C</w:t>
      </w:r>
      <w:r>
        <w:rPr>
          <w:rFonts w:hint="eastAsia"/>
        </w:rPr>
        <w:t>类基金份额不收取申购费用。</w:t>
      </w:r>
    </w:p>
    <w:p w:rsidR="001530C0" w:rsidRDefault="008B7920">
      <w:pPr>
        <w:widowControl/>
        <w:adjustRightInd w:val="0"/>
        <w:snapToGrid w:val="0"/>
        <w:spacing w:line="360" w:lineRule="auto"/>
        <w:ind w:firstLineChars="200" w:firstLine="420"/>
        <w:rPr>
          <w:kern w:val="0"/>
          <w:sz w:val="24"/>
        </w:rPr>
      </w:pPr>
      <w:r>
        <w:rPr>
          <w:rFonts w:hint="eastAsia"/>
        </w:rPr>
        <w:t>通过其他销售机构申购本基金</w:t>
      </w:r>
      <w:r>
        <w:rPr>
          <w:rFonts w:hint="eastAsia"/>
        </w:rPr>
        <w:t>A</w:t>
      </w:r>
      <w:r>
        <w:rPr>
          <w:rFonts w:hint="eastAsia"/>
        </w:rPr>
        <w:t>类基金份额的申购费率见下表：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2"/>
        <w:gridCol w:w="2634"/>
      </w:tblGrid>
      <w:tr w:rsidR="001530C0">
        <w:trPr>
          <w:jc w:val="center"/>
        </w:trPr>
        <w:tc>
          <w:tcPr>
            <w:tcW w:w="3242" w:type="dxa"/>
          </w:tcPr>
          <w:p w:rsidR="001530C0" w:rsidRDefault="008B7920">
            <w:pPr>
              <w:widowControl/>
              <w:adjustRightInd w:val="0"/>
              <w:snapToGrid w:val="0"/>
              <w:spacing w:line="360" w:lineRule="auto"/>
              <w:jc w:val="center"/>
              <w:rPr>
                <w:rFonts w:hAnsi="宋体"/>
                <w:b/>
              </w:rPr>
            </w:pPr>
            <w:r>
              <w:rPr>
                <w:rFonts w:hAnsi="宋体" w:hint="eastAsia"/>
                <w:b/>
              </w:rPr>
              <w:t>申购金额</w:t>
            </w:r>
            <w:r>
              <w:rPr>
                <w:rFonts w:hAnsi="宋体" w:hint="eastAsia"/>
                <w:b/>
              </w:rPr>
              <w:t>M</w:t>
            </w:r>
          </w:p>
        </w:tc>
        <w:tc>
          <w:tcPr>
            <w:tcW w:w="2634" w:type="dxa"/>
          </w:tcPr>
          <w:p w:rsidR="001530C0" w:rsidRDefault="008B7920">
            <w:pPr>
              <w:widowControl/>
              <w:adjustRightInd w:val="0"/>
              <w:snapToGrid w:val="0"/>
              <w:spacing w:line="360" w:lineRule="auto"/>
              <w:jc w:val="center"/>
              <w:rPr>
                <w:rFonts w:hAnsi="宋体"/>
                <w:b/>
              </w:rPr>
            </w:pPr>
            <w:r>
              <w:rPr>
                <w:rFonts w:hAnsi="宋体" w:hint="eastAsia"/>
                <w:b/>
              </w:rPr>
              <w:t>一般申购费率</w:t>
            </w:r>
          </w:p>
        </w:tc>
      </w:tr>
      <w:tr w:rsidR="001530C0">
        <w:trPr>
          <w:jc w:val="center"/>
        </w:trPr>
        <w:tc>
          <w:tcPr>
            <w:tcW w:w="3242" w:type="dxa"/>
          </w:tcPr>
          <w:p w:rsidR="001530C0" w:rsidRDefault="008B7920">
            <w:pPr>
              <w:widowControl/>
              <w:adjustRightInd w:val="0"/>
              <w:snapToGrid w:val="0"/>
              <w:spacing w:line="360" w:lineRule="auto"/>
              <w:jc w:val="center"/>
              <w:rPr>
                <w:rFonts w:hAnsi="宋体"/>
              </w:rPr>
            </w:pPr>
            <w:r>
              <w:rPr>
                <w:rFonts w:hAnsi="宋体"/>
              </w:rPr>
              <w:t>M</w:t>
            </w:r>
            <w:r>
              <w:rPr>
                <w:rFonts w:hAnsi="宋体" w:hint="eastAsia"/>
              </w:rPr>
              <w:t>＜</w:t>
            </w:r>
            <w:r>
              <w:rPr>
                <w:rFonts w:hAnsi="宋体"/>
              </w:rPr>
              <w:t>100</w:t>
            </w:r>
            <w:r>
              <w:rPr>
                <w:rFonts w:hAnsi="宋体" w:hint="eastAsia"/>
              </w:rPr>
              <w:t>万元</w:t>
            </w:r>
          </w:p>
        </w:tc>
        <w:tc>
          <w:tcPr>
            <w:tcW w:w="2634" w:type="dxa"/>
          </w:tcPr>
          <w:p w:rsidR="001530C0" w:rsidRDefault="008B7920">
            <w:pPr>
              <w:widowControl/>
              <w:adjustRightInd w:val="0"/>
              <w:snapToGrid w:val="0"/>
              <w:spacing w:line="360" w:lineRule="auto"/>
              <w:jc w:val="center"/>
              <w:rPr>
                <w:rFonts w:hAnsi="宋体"/>
              </w:rPr>
            </w:pPr>
            <w:r>
              <w:rPr>
                <w:rFonts w:hAnsi="宋体" w:hint="eastAsia"/>
              </w:rPr>
              <w:t>0.80</w:t>
            </w:r>
            <w:r>
              <w:rPr>
                <w:rFonts w:hAnsi="宋体"/>
              </w:rPr>
              <w:t>%</w:t>
            </w:r>
          </w:p>
        </w:tc>
      </w:tr>
      <w:tr w:rsidR="001530C0">
        <w:trPr>
          <w:jc w:val="center"/>
        </w:trPr>
        <w:tc>
          <w:tcPr>
            <w:tcW w:w="3242" w:type="dxa"/>
          </w:tcPr>
          <w:p w:rsidR="001530C0" w:rsidRDefault="008B7920">
            <w:pPr>
              <w:widowControl/>
              <w:adjustRightInd w:val="0"/>
              <w:snapToGrid w:val="0"/>
              <w:spacing w:line="360" w:lineRule="auto"/>
              <w:jc w:val="center"/>
              <w:rPr>
                <w:rFonts w:hAnsi="宋体"/>
              </w:rPr>
            </w:pPr>
            <w:r>
              <w:rPr>
                <w:rFonts w:hAnsi="宋体"/>
              </w:rPr>
              <w:t>100</w:t>
            </w:r>
            <w:r>
              <w:rPr>
                <w:rFonts w:hAnsi="宋体" w:hint="eastAsia"/>
              </w:rPr>
              <w:t>万元≤</w:t>
            </w:r>
            <w:r>
              <w:rPr>
                <w:rFonts w:hAnsi="宋体"/>
              </w:rPr>
              <w:t>M</w:t>
            </w:r>
            <w:r>
              <w:rPr>
                <w:rFonts w:hAnsi="宋体" w:hint="eastAsia"/>
              </w:rPr>
              <w:t>＜</w:t>
            </w:r>
            <w:r>
              <w:rPr>
                <w:rFonts w:hAnsi="宋体" w:hint="eastAsia"/>
              </w:rPr>
              <w:t>5</w:t>
            </w:r>
            <w:r>
              <w:rPr>
                <w:rFonts w:hAnsi="宋体"/>
              </w:rPr>
              <w:t>00</w:t>
            </w:r>
            <w:r>
              <w:rPr>
                <w:rFonts w:hAnsi="宋体" w:hint="eastAsia"/>
              </w:rPr>
              <w:t>万元</w:t>
            </w:r>
          </w:p>
        </w:tc>
        <w:tc>
          <w:tcPr>
            <w:tcW w:w="2634" w:type="dxa"/>
          </w:tcPr>
          <w:p w:rsidR="001530C0" w:rsidRDefault="008B7920">
            <w:pPr>
              <w:widowControl/>
              <w:adjustRightInd w:val="0"/>
              <w:snapToGrid w:val="0"/>
              <w:spacing w:line="360" w:lineRule="auto"/>
              <w:jc w:val="center"/>
              <w:rPr>
                <w:rFonts w:hAnsi="宋体"/>
              </w:rPr>
            </w:pPr>
            <w:r>
              <w:rPr>
                <w:rFonts w:hAnsi="宋体" w:hint="eastAsia"/>
              </w:rPr>
              <w:t>0.60</w:t>
            </w:r>
            <w:r>
              <w:rPr>
                <w:rFonts w:hAnsi="宋体"/>
              </w:rPr>
              <w:t>%</w:t>
            </w:r>
          </w:p>
        </w:tc>
      </w:tr>
      <w:tr w:rsidR="001530C0">
        <w:trPr>
          <w:jc w:val="center"/>
        </w:trPr>
        <w:tc>
          <w:tcPr>
            <w:tcW w:w="3242" w:type="dxa"/>
          </w:tcPr>
          <w:p w:rsidR="001530C0" w:rsidRDefault="008B7920">
            <w:pPr>
              <w:widowControl/>
              <w:adjustRightInd w:val="0"/>
              <w:snapToGrid w:val="0"/>
              <w:spacing w:line="360" w:lineRule="auto"/>
              <w:jc w:val="center"/>
              <w:rPr>
                <w:rFonts w:hAnsi="宋体"/>
              </w:rPr>
            </w:pPr>
            <w:r>
              <w:rPr>
                <w:rFonts w:hAnsi="宋体"/>
              </w:rPr>
              <w:t>M</w:t>
            </w:r>
            <w:r>
              <w:rPr>
                <w:rFonts w:hAnsi="宋体" w:hint="eastAsia"/>
              </w:rPr>
              <w:t>≥</w:t>
            </w:r>
            <w:r>
              <w:rPr>
                <w:rFonts w:hAnsi="宋体"/>
              </w:rPr>
              <w:t>500</w:t>
            </w:r>
            <w:r>
              <w:rPr>
                <w:rFonts w:hAnsi="宋体" w:hint="eastAsia"/>
              </w:rPr>
              <w:t>万元</w:t>
            </w:r>
          </w:p>
        </w:tc>
        <w:tc>
          <w:tcPr>
            <w:tcW w:w="2634" w:type="dxa"/>
          </w:tcPr>
          <w:p w:rsidR="001530C0" w:rsidRDefault="008B7920">
            <w:pPr>
              <w:widowControl/>
              <w:adjustRightInd w:val="0"/>
              <w:snapToGrid w:val="0"/>
              <w:spacing w:line="360" w:lineRule="auto"/>
              <w:jc w:val="center"/>
              <w:rPr>
                <w:rFonts w:hAnsi="宋体"/>
              </w:rPr>
            </w:pPr>
            <w:r>
              <w:rPr>
                <w:rFonts w:hAnsi="宋体" w:hint="eastAsia"/>
              </w:rPr>
              <w:t>每笔</w:t>
            </w:r>
            <w:r>
              <w:rPr>
                <w:rFonts w:hAnsi="宋体"/>
              </w:rPr>
              <w:t>1000</w:t>
            </w:r>
            <w:r>
              <w:rPr>
                <w:rFonts w:hAnsi="宋体" w:hint="eastAsia"/>
              </w:rPr>
              <w:t>元</w:t>
            </w:r>
          </w:p>
        </w:tc>
      </w:tr>
    </w:tbl>
    <w:p w:rsidR="001530C0" w:rsidRDefault="008B7920">
      <w:pPr>
        <w:autoSpaceDE w:val="0"/>
        <w:autoSpaceDN w:val="0"/>
        <w:adjustRightInd w:val="0"/>
        <w:spacing w:before="29" w:line="288" w:lineRule="auto"/>
        <w:jc w:val="left"/>
        <w:rPr>
          <w:rFonts w:ascii="Times New Roman" w:hAnsi="Times New Roman" w:cs="Times New Roman"/>
          <w:b/>
          <w:bCs/>
          <w:color w:val="000000"/>
          <w:kern w:val="0"/>
        </w:rPr>
      </w:pPr>
      <w:r>
        <w:rPr>
          <w:rFonts w:ascii="Times New Roman" w:hAnsi="Times New Roman" w:cs="Times New Roman"/>
          <w:b/>
          <w:bCs/>
          <w:color w:val="000000"/>
          <w:kern w:val="0"/>
        </w:rPr>
        <w:t xml:space="preserve">3.3 </w:t>
      </w:r>
      <w:r>
        <w:rPr>
          <w:rFonts w:ascii="Times New Roman" w:hAnsi="Times New Roman" w:cs="Times New Roman" w:hint="eastAsia"/>
          <w:b/>
          <w:bCs/>
          <w:color w:val="000000"/>
          <w:kern w:val="0"/>
        </w:rPr>
        <w:t>其他与申购相关的事项</w:t>
      </w:r>
    </w:p>
    <w:p w:rsidR="001530C0" w:rsidRDefault="008B7920">
      <w:pPr>
        <w:widowControl/>
        <w:adjustRightInd w:val="0"/>
        <w:snapToGrid w:val="0"/>
        <w:spacing w:line="360" w:lineRule="auto"/>
        <w:ind w:firstLineChars="200" w:firstLine="420"/>
        <w:rPr>
          <w:rFonts w:hAnsi="宋体"/>
        </w:rPr>
      </w:pPr>
      <w:r>
        <w:rPr>
          <w:rFonts w:hAnsi="宋体" w:hint="eastAsia"/>
        </w:rPr>
        <w:t>（</w:t>
      </w:r>
      <w:r>
        <w:rPr>
          <w:rFonts w:hAnsi="宋体" w:hint="eastAsia"/>
        </w:rPr>
        <w:t>1</w:t>
      </w:r>
      <w:r>
        <w:rPr>
          <w:rFonts w:hAnsi="宋体" w:hint="eastAsia"/>
        </w:rPr>
        <w:t>）本基金的申购费用在投资人</w:t>
      </w:r>
      <w:r>
        <w:rPr>
          <w:rFonts w:hint="eastAsia"/>
        </w:rPr>
        <w:t>通过其他销售机构</w:t>
      </w:r>
      <w:r>
        <w:rPr>
          <w:rFonts w:hAnsi="宋体" w:hint="eastAsia"/>
        </w:rPr>
        <w:t>申购</w:t>
      </w:r>
      <w:r>
        <w:rPr>
          <w:rFonts w:hAnsi="宋体" w:hint="eastAsia"/>
        </w:rPr>
        <w:t>A</w:t>
      </w:r>
      <w:r>
        <w:rPr>
          <w:rFonts w:hAnsi="宋体" w:hint="eastAsia"/>
        </w:rPr>
        <w:t>类基金份额时收取，申购费用由基金申购人承担，不列入基金财产，主要用于本基金的市场推广、销售、登记等各项费用。</w:t>
      </w:r>
    </w:p>
    <w:p w:rsidR="001530C0" w:rsidRDefault="008B7920">
      <w:pPr>
        <w:widowControl/>
        <w:adjustRightInd w:val="0"/>
        <w:snapToGrid w:val="0"/>
        <w:spacing w:line="360" w:lineRule="auto"/>
        <w:ind w:firstLineChars="200" w:firstLine="420"/>
        <w:rPr>
          <w:rFonts w:hAnsi="宋体"/>
        </w:rPr>
      </w:pPr>
      <w:r>
        <w:rPr>
          <w:rFonts w:hAnsi="宋体" w:hint="eastAsia"/>
        </w:rPr>
        <w:t>（</w:t>
      </w:r>
      <w:r>
        <w:rPr>
          <w:rFonts w:hAnsi="宋体" w:hint="eastAsia"/>
        </w:rPr>
        <w:t>2</w:t>
      </w:r>
      <w:r>
        <w:rPr>
          <w:rFonts w:hAnsi="宋体" w:hint="eastAsia"/>
        </w:rPr>
        <w:t>）投资人可以多次申购本基金，申购费用按每笔申购申请单独计算。</w:t>
      </w:r>
    </w:p>
    <w:p w:rsidR="001530C0" w:rsidRDefault="008B7920">
      <w:pPr>
        <w:widowControl/>
        <w:adjustRightInd w:val="0"/>
        <w:snapToGrid w:val="0"/>
        <w:spacing w:line="360" w:lineRule="auto"/>
        <w:ind w:firstLineChars="200" w:firstLine="420"/>
        <w:rPr>
          <w:rFonts w:hAnsi="宋体"/>
        </w:rPr>
      </w:pPr>
      <w:r>
        <w:rPr>
          <w:rFonts w:hAnsi="宋体" w:hint="eastAsia"/>
        </w:rPr>
        <w:t>（</w:t>
      </w:r>
      <w:r>
        <w:rPr>
          <w:rFonts w:hAnsi="宋体" w:hint="eastAsia"/>
        </w:rPr>
        <w:t>3</w:t>
      </w:r>
      <w:r>
        <w:rPr>
          <w:rFonts w:hAnsi="宋体" w:hint="eastAsia"/>
        </w:rPr>
        <w:t>）因红利再投资而产生的基金份额，不收取相应的申购费用。</w:t>
      </w:r>
    </w:p>
    <w:p w:rsidR="001530C0" w:rsidRDefault="008B7920">
      <w:pPr>
        <w:widowControl/>
        <w:adjustRightInd w:val="0"/>
        <w:snapToGrid w:val="0"/>
        <w:spacing w:line="360" w:lineRule="auto"/>
        <w:ind w:firstLineChars="200" w:firstLine="420"/>
        <w:rPr>
          <w:rFonts w:hAnsi="宋体"/>
        </w:rPr>
      </w:pPr>
      <w:r>
        <w:rPr>
          <w:rFonts w:hAnsi="宋体" w:hint="eastAsia"/>
        </w:rPr>
        <w:t>（</w:t>
      </w:r>
      <w:r>
        <w:rPr>
          <w:rFonts w:hAnsi="宋体" w:hint="eastAsia"/>
        </w:rPr>
        <w:t>4</w:t>
      </w:r>
      <w:r>
        <w:rPr>
          <w:rFonts w:hAnsi="宋体" w:hint="eastAsia"/>
        </w:rPr>
        <w:t>）基金管理人可以在基金合同约定的范围内调整费率或收费方式，并最迟应于新的费率或收费方式实施日前依照《信息披露办法》的有关规定在规定媒介上公告。</w:t>
      </w:r>
    </w:p>
    <w:p w:rsidR="001530C0" w:rsidRDefault="008B7920">
      <w:pPr>
        <w:widowControl/>
        <w:adjustRightInd w:val="0"/>
        <w:snapToGrid w:val="0"/>
        <w:spacing w:line="360" w:lineRule="auto"/>
        <w:ind w:firstLineChars="200" w:firstLine="420"/>
        <w:rPr>
          <w:rFonts w:hAnsi="宋体"/>
        </w:rPr>
      </w:pPr>
      <w:r>
        <w:rPr>
          <w:rFonts w:hAnsi="宋体" w:hint="eastAsia"/>
        </w:rPr>
        <w:t>（</w:t>
      </w:r>
      <w:r>
        <w:rPr>
          <w:rFonts w:hAnsi="宋体" w:hint="eastAsia"/>
        </w:rPr>
        <w:t>5</w:t>
      </w:r>
      <w:r>
        <w:rPr>
          <w:rFonts w:hAnsi="宋体" w:hint="eastAsia"/>
        </w:rPr>
        <w:t>）基金管理人可以在不违背法律法规规定及基金合同约定且在对现有基金份额持有人利益无实质性不利影响的情况下根据市场情况制定基金促销计划，定期或不定期地开展基金促销活动。在基金促销活动期间，基金管理人可以按中国证监会要求履行必要手续后，对投资人适当调低基金申购费率，并进行公告。</w:t>
      </w:r>
    </w:p>
    <w:p w:rsidR="001530C0" w:rsidRDefault="008B7920">
      <w:pPr>
        <w:widowControl/>
        <w:adjustRightInd w:val="0"/>
        <w:snapToGrid w:val="0"/>
        <w:spacing w:line="360" w:lineRule="auto"/>
        <w:ind w:firstLineChars="200" w:firstLine="420"/>
        <w:rPr>
          <w:rFonts w:hAnsi="宋体"/>
        </w:rPr>
      </w:pPr>
      <w:r>
        <w:rPr>
          <w:rFonts w:hAnsi="宋体" w:hint="eastAsia"/>
        </w:rPr>
        <w:lastRenderedPageBreak/>
        <w:t>（</w:t>
      </w:r>
      <w:r>
        <w:rPr>
          <w:rFonts w:hAnsi="宋体" w:hint="eastAsia"/>
        </w:rPr>
        <w:t>6</w:t>
      </w:r>
      <w:r>
        <w:rPr>
          <w:rFonts w:hAnsi="宋体" w:hint="eastAsia"/>
        </w:rPr>
        <w:t>）关于本基金参加非直销销售机构基金申购费率优惠活动情况，</w:t>
      </w:r>
      <w:r>
        <w:t>详见</w:t>
      </w:r>
      <w:r>
        <w:rPr>
          <w:rFonts w:hint="eastAsia"/>
        </w:rPr>
        <w:t>该销售机构</w:t>
      </w:r>
      <w:r>
        <w:t>相关</w:t>
      </w:r>
      <w:r>
        <w:rPr>
          <w:rFonts w:hint="eastAsia"/>
        </w:rPr>
        <w:t>公告或</w:t>
      </w:r>
      <w:r>
        <w:t>说明。</w:t>
      </w:r>
    </w:p>
    <w:p w:rsidR="001530C0" w:rsidRDefault="001530C0">
      <w:pPr>
        <w:widowControl/>
        <w:adjustRightInd w:val="0"/>
        <w:snapToGrid w:val="0"/>
        <w:spacing w:line="360" w:lineRule="auto"/>
        <w:ind w:firstLineChars="200" w:firstLine="420"/>
        <w:rPr>
          <w:rFonts w:hAnsi="宋体"/>
        </w:rPr>
      </w:pPr>
    </w:p>
    <w:p w:rsidR="001530C0" w:rsidRDefault="001530C0">
      <w:pPr>
        <w:widowControl/>
        <w:adjustRightInd w:val="0"/>
        <w:snapToGrid w:val="0"/>
        <w:spacing w:line="360" w:lineRule="auto"/>
        <w:ind w:firstLineChars="200" w:firstLine="420"/>
        <w:rPr>
          <w:rFonts w:hAnsi="宋体"/>
        </w:rPr>
      </w:pPr>
    </w:p>
    <w:p w:rsidR="001530C0" w:rsidRDefault="008B7920">
      <w:pPr>
        <w:autoSpaceDE w:val="0"/>
        <w:autoSpaceDN w:val="0"/>
        <w:adjustRightInd w:val="0"/>
        <w:spacing w:before="29" w:line="360" w:lineRule="auto"/>
        <w:ind w:left="15"/>
        <w:jc w:val="left"/>
        <w:rPr>
          <w:b/>
        </w:rPr>
      </w:pPr>
      <w:r>
        <w:rPr>
          <w:b/>
        </w:rPr>
        <w:t xml:space="preserve">4 </w:t>
      </w:r>
      <w:r>
        <w:rPr>
          <w:b/>
        </w:rPr>
        <w:t>日常赎回业务</w:t>
      </w:r>
      <w:r>
        <w:rPr>
          <w:b/>
        </w:rPr>
        <w:t xml:space="preserve"> </w:t>
      </w:r>
    </w:p>
    <w:p w:rsidR="001530C0" w:rsidRDefault="008B7920">
      <w:pPr>
        <w:autoSpaceDE w:val="0"/>
        <w:autoSpaceDN w:val="0"/>
        <w:adjustRightInd w:val="0"/>
        <w:spacing w:before="29" w:line="360" w:lineRule="auto"/>
        <w:ind w:left="15"/>
        <w:jc w:val="left"/>
        <w:rPr>
          <w:b/>
        </w:rPr>
      </w:pPr>
      <w:r>
        <w:rPr>
          <w:b/>
        </w:rPr>
        <w:t xml:space="preserve">4.1 </w:t>
      </w:r>
      <w:r>
        <w:rPr>
          <w:b/>
        </w:rPr>
        <w:t>赎回份额限制</w:t>
      </w:r>
      <w:r>
        <w:rPr>
          <w:b/>
        </w:rPr>
        <w:t xml:space="preserve"> </w:t>
      </w:r>
    </w:p>
    <w:p w:rsidR="001530C0" w:rsidRDefault="008B7920">
      <w:pPr>
        <w:autoSpaceDE w:val="0"/>
        <w:autoSpaceDN w:val="0"/>
        <w:adjustRightInd w:val="0"/>
        <w:spacing w:before="29" w:line="360" w:lineRule="auto"/>
        <w:ind w:left="17" w:firstLineChars="200" w:firstLine="420"/>
        <w:jc w:val="left"/>
      </w:pPr>
      <w:r>
        <w:t>基金份额持有人在销售机构赎回时，每次对本基金</w:t>
      </w:r>
      <w:r>
        <w:rPr>
          <w:rFonts w:hint="eastAsia"/>
        </w:rPr>
        <w:t>各类</w:t>
      </w:r>
      <w:r>
        <w:t>基金份额的赎回申请不得低于</w:t>
      </w:r>
      <w:r>
        <w:t>0</w:t>
      </w:r>
      <w:r>
        <w:rPr>
          <w:rFonts w:hint="eastAsia"/>
        </w:rPr>
        <w:t>.</w:t>
      </w:r>
      <w:r>
        <w:t>01</w:t>
      </w:r>
      <w:r>
        <w:t>份。本基金</w:t>
      </w:r>
      <w:r>
        <w:rPr>
          <w:rFonts w:hint="eastAsia"/>
        </w:rPr>
        <w:t>各类</w:t>
      </w:r>
      <w:r>
        <w:t>基金份额持有人每个基金交易账户的最低份额余额为</w:t>
      </w:r>
      <w:r>
        <w:rPr>
          <w:rFonts w:hint="eastAsia"/>
        </w:rPr>
        <w:t>0</w:t>
      </w:r>
      <w:r>
        <w:t>.01</w:t>
      </w:r>
      <w:r>
        <w:t>份。基金份额持有人因赎回</w:t>
      </w:r>
      <w:r>
        <w:rPr>
          <w:rFonts w:hint="eastAsia"/>
        </w:rPr>
        <w:t>、转换</w:t>
      </w:r>
      <w:r>
        <w:t>等原因导致其单个基金账户内剩余的</w:t>
      </w:r>
      <w:r>
        <w:rPr>
          <w:rFonts w:hint="eastAsia"/>
        </w:rPr>
        <w:t>该类</w:t>
      </w:r>
      <w:r>
        <w:t>基金份额低于</w:t>
      </w:r>
      <w:r>
        <w:rPr>
          <w:rFonts w:hint="eastAsia"/>
        </w:rPr>
        <w:t>0</w:t>
      </w:r>
      <w:r>
        <w:t>.01</w:t>
      </w:r>
      <w:r>
        <w:t>份时，登记机构可对该剩余的基金份额自动进行强制赎回处理。</w:t>
      </w:r>
    </w:p>
    <w:p w:rsidR="001530C0" w:rsidRDefault="008B7920">
      <w:pPr>
        <w:autoSpaceDE w:val="0"/>
        <w:autoSpaceDN w:val="0"/>
        <w:adjustRightInd w:val="0"/>
        <w:spacing w:before="29" w:line="360" w:lineRule="auto"/>
        <w:ind w:left="15"/>
        <w:jc w:val="left"/>
        <w:rPr>
          <w:b/>
        </w:rPr>
      </w:pPr>
      <w:r>
        <w:rPr>
          <w:b/>
        </w:rPr>
        <w:t xml:space="preserve">4.2 </w:t>
      </w:r>
      <w:r>
        <w:rPr>
          <w:b/>
        </w:rPr>
        <w:t>赎回费率</w:t>
      </w:r>
      <w:r>
        <w:rPr>
          <w:b/>
        </w:rPr>
        <w:t xml:space="preserve"> </w:t>
      </w:r>
    </w:p>
    <w:p w:rsidR="001530C0" w:rsidRDefault="008B7920">
      <w:pPr>
        <w:widowControl/>
        <w:adjustRightInd w:val="0"/>
        <w:snapToGrid w:val="0"/>
        <w:spacing w:line="360" w:lineRule="auto"/>
        <w:ind w:firstLineChars="200" w:firstLine="420"/>
        <w:rPr>
          <w:rFonts w:hAnsi="宋体"/>
        </w:rPr>
      </w:pPr>
      <w:r>
        <w:rPr>
          <w:rFonts w:hAnsi="宋体" w:hint="eastAsia"/>
        </w:rPr>
        <w:t>本基金</w:t>
      </w:r>
      <w:r>
        <w:rPr>
          <w:rFonts w:hAnsi="宋体" w:hint="eastAsia"/>
        </w:rPr>
        <w:t>A</w:t>
      </w:r>
      <w:r>
        <w:rPr>
          <w:rFonts w:hAnsi="宋体" w:hint="eastAsia"/>
        </w:rPr>
        <w:t>类和</w:t>
      </w:r>
      <w:r>
        <w:rPr>
          <w:rFonts w:hAnsi="宋体" w:hint="eastAsia"/>
        </w:rPr>
        <w:t>C</w:t>
      </w:r>
      <w:r>
        <w:rPr>
          <w:rFonts w:hAnsi="宋体" w:hint="eastAsia"/>
        </w:rPr>
        <w:t>类基金份额均收取赎回费，适用相同的赎回费率，在基金份额持有人赎回基金份额时收取。基金份额的赎回费率按照持有时间递减，即相关基金份</w:t>
      </w:r>
      <w:r>
        <w:rPr>
          <w:rFonts w:hAnsi="宋体" w:hint="eastAsia"/>
        </w:rPr>
        <w:t>额持有时间越长，所适用的赎回费率越低。</w:t>
      </w:r>
    </w:p>
    <w:p w:rsidR="001530C0" w:rsidRDefault="008B7920">
      <w:pPr>
        <w:widowControl/>
        <w:adjustRightInd w:val="0"/>
        <w:snapToGrid w:val="0"/>
        <w:spacing w:line="360" w:lineRule="auto"/>
        <w:ind w:firstLineChars="200" w:firstLine="420"/>
        <w:rPr>
          <w:rFonts w:hAnsi="宋体"/>
          <w:b/>
        </w:rPr>
      </w:pPr>
      <w:r>
        <w:rPr>
          <w:rFonts w:hAnsi="宋体" w:hint="eastAsia"/>
        </w:rPr>
        <w:t>本基金的赎回费率如下表：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970"/>
      </w:tblGrid>
      <w:tr w:rsidR="001530C0">
        <w:trPr>
          <w:jc w:val="center"/>
        </w:trPr>
        <w:tc>
          <w:tcPr>
            <w:tcW w:w="2552" w:type="dxa"/>
          </w:tcPr>
          <w:p w:rsidR="001530C0" w:rsidRDefault="008B7920">
            <w:pPr>
              <w:widowControl/>
              <w:adjustRightInd w:val="0"/>
              <w:snapToGrid w:val="0"/>
              <w:spacing w:line="360" w:lineRule="auto"/>
              <w:jc w:val="center"/>
              <w:rPr>
                <w:rFonts w:hAnsi="宋体"/>
                <w:b/>
              </w:rPr>
            </w:pPr>
            <w:r>
              <w:rPr>
                <w:rFonts w:hAnsi="宋体" w:hint="eastAsia"/>
                <w:b/>
              </w:rPr>
              <w:t>持有期限（</w:t>
            </w:r>
            <w:r>
              <w:rPr>
                <w:rFonts w:hAnsi="宋体" w:hint="eastAsia"/>
                <w:b/>
              </w:rPr>
              <w:t>Y</w:t>
            </w:r>
            <w:r>
              <w:rPr>
                <w:rFonts w:hAnsi="宋体" w:hint="eastAsia"/>
                <w:b/>
              </w:rPr>
              <w:t>）</w:t>
            </w:r>
          </w:p>
        </w:tc>
        <w:tc>
          <w:tcPr>
            <w:tcW w:w="2970" w:type="dxa"/>
          </w:tcPr>
          <w:p w:rsidR="001530C0" w:rsidRDefault="008B7920">
            <w:pPr>
              <w:widowControl/>
              <w:adjustRightInd w:val="0"/>
              <w:snapToGrid w:val="0"/>
              <w:spacing w:line="360" w:lineRule="auto"/>
              <w:jc w:val="center"/>
              <w:rPr>
                <w:rFonts w:hAnsi="宋体"/>
                <w:b/>
              </w:rPr>
            </w:pPr>
            <w:r>
              <w:rPr>
                <w:rFonts w:hAnsi="宋体" w:hint="eastAsia"/>
                <w:b/>
              </w:rPr>
              <w:t>赎回费率</w:t>
            </w:r>
          </w:p>
        </w:tc>
      </w:tr>
      <w:tr w:rsidR="001530C0">
        <w:trPr>
          <w:jc w:val="center"/>
        </w:trPr>
        <w:tc>
          <w:tcPr>
            <w:tcW w:w="2552" w:type="dxa"/>
            <w:vAlign w:val="center"/>
          </w:tcPr>
          <w:p w:rsidR="001530C0" w:rsidRDefault="008B7920">
            <w:pPr>
              <w:widowControl/>
              <w:adjustRightInd w:val="0"/>
              <w:snapToGrid w:val="0"/>
              <w:spacing w:line="360" w:lineRule="auto"/>
              <w:jc w:val="center"/>
              <w:rPr>
                <w:rFonts w:hAnsi="宋体"/>
              </w:rPr>
            </w:pPr>
            <w:r>
              <w:rPr>
                <w:rFonts w:hAnsi="宋体"/>
              </w:rPr>
              <w:t>Y</w:t>
            </w:r>
            <w:r>
              <w:rPr>
                <w:rFonts w:hAnsi="宋体" w:hint="eastAsia"/>
              </w:rPr>
              <w:t>＜</w:t>
            </w:r>
            <w:r>
              <w:rPr>
                <w:rFonts w:hAnsi="宋体"/>
              </w:rPr>
              <w:t>7</w:t>
            </w:r>
            <w:r>
              <w:rPr>
                <w:rFonts w:hAnsi="宋体" w:hint="eastAsia"/>
              </w:rPr>
              <w:t>日</w:t>
            </w:r>
          </w:p>
        </w:tc>
        <w:tc>
          <w:tcPr>
            <w:tcW w:w="2970" w:type="dxa"/>
            <w:vAlign w:val="center"/>
          </w:tcPr>
          <w:p w:rsidR="001530C0" w:rsidRDefault="008B7920">
            <w:pPr>
              <w:widowControl/>
              <w:adjustRightInd w:val="0"/>
              <w:snapToGrid w:val="0"/>
              <w:spacing w:line="360" w:lineRule="auto"/>
              <w:jc w:val="center"/>
              <w:rPr>
                <w:rFonts w:hAnsi="宋体"/>
              </w:rPr>
            </w:pPr>
            <w:r>
              <w:rPr>
                <w:rFonts w:hAnsi="宋体"/>
              </w:rPr>
              <w:t>1.50%</w:t>
            </w:r>
          </w:p>
        </w:tc>
      </w:tr>
      <w:tr w:rsidR="001530C0">
        <w:trPr>
          <w:jc w:val="center"/>
        </w:trPr>
        <w:tc>
          <w:tcPr>
            <w:tcW w:w="2552" w:type="dxa"/>
            <w:vAlign w:val="center"/>
          </w:tcPr>
          <w:p w:rsidR="001530C0" w:rsidRDefault="008B7920">
            <w:pPr>
              <w:widowControl/>
              <w:adjustRightInd w:val="0"/>
              <w:snapToGrid w:val="0"/>
              <w:spacing w:line="360" w:lineRule="auto"/>
              <w:jc w:val="center"/>
              <w:rPr>
                <w:rFonts w:hAnsi="宋体"/>
              </w:rPr>
            </w:pPr>
            <w:r>
              <w:rPr>
                <w:rFonts w:hAnsi="宋体" w:hint="eastAsia"/>
              </w:rPr>
              <w:t xml:space="preserve">7 </w:t>
            </w:r>
            <w:r>
              <w:rPr>
                <w:rFonts w:hAnsi="宋体" w:hint="eastAsia"/>
              </w:rPr>
              <w:t>日≤</w:t>
            </w:r>
            <w:r>
              <w:rPr>
                <w:rFonts w:hAnsi="宋体" w:hint="eastAsia"/>
              </w:rPr>
              <w:t>Y</w:t>
            </w:r>
            <w:r>
              <w:rPr>
                <w:rFonts w:hAnsi="宋体" w:hint="eastAsia"/>
              </w:rPr>
              <w:t>＜</w:t>
            </w:r>
            <w:r>
              <w:rPr>
                <w:rFonts w:hAnsi="宋体" w:hint="eastAsia"/>
              </w:rPr>
              <w:t xml:space="preserve">30 </w:t>
            </w:r>
            <w:r>
              <w:rPr>
                <w:rFonts w:hAnsi="宋体" w:hint="eastAsia"/>
              </w:rPr>
              <w:t>日</w:t>
            </w:r>
          </w:p>
        </w:tc>
        <w:tc>
          <w:tcPr>
            <w:tcW w:w="2970" w:type="dxa"/>
            <w:vAlign w:val="center"/>
          </w:tcPr>
          <w:p w:rsidR="001530C0" w:rsidRDefault="008B7920">
            <w:pPr>
              <w:widowControl/>
              <w:adjustRightInd w:val="0"/>
              <w:snapToGrid w:val="0"/>
              <w:spacing w:line="360" w:lineRule="auto"/>
              <w:jc w:val="center"/>
              <w:rPr>
                <w:rFonts w:hAnsi="宋体"/>
              </w:rPr>
            </w:pPr>
            <w:r>
              <w:rPr>
                <w:rFonts w:hAnsi="宋体" w:hint="eastAsia"/>
              </w:rPr>
              <w:t>1.00%</w:t>
            </w:r>
          </w:p>
        </w:tc>
      </w:tr>
      <w:tr w:rsidR="001530C0">
        <w:trPr>
          <w:jc w:val="center"/>
        </w:trPr>
        <w:tc>
          <w:tcPr>
            <w:tcW w:w="2552" w:type="dxa"/>
            <w:vAlign w:val="center"/>
          </w:tcPr>
          <w:p w:rsidR="001530C0" w:rsidRDefault="008B7920">
            <w:pPr>
              <w:widowControl/>
              <w:adjustRightInd w:val="0"/>
              <w:snapToGrid w:val="0"/>
              <w:spacing w:line="360" w:lineRule="auto"/>
              <w:jc w:val="center"/>
              <w:rPr>
                <w:rFonts w:hAnsi="宋体"/>
              </w:rPr>
            </w:pPr>
            <w:r>
              <w:rPr>
                <w:rFonts w:hAnsi="宋体" w:hint="eastAsia"/>
              </w:rPr>
              <w:t xml:space="preserve">30 </w:t>
            </w:r>
            <w:r>
              <w:rPr>
                <w:rFonts w:hAnsi="宋体" w:hint="eastAsia"/>
              </w:rPr>
              <w:t>日≤</w:t>
            </w:r>
            <w:r>
              <w:rPr>
                <w:rFonts w:hAnsi="宋体" w:hint="eastAsia"/>
              </w:rPr>
              <w:t>Y</w:t>
            </w:r>
            <w:r>
              <w:rPr>
                <w:rFonts w:hAnsi="宋体" w:hint="eastAsia"/>
              </w:rPr>
              <w:t>＜</w:t>
            </w:r>
            <w:r>
              <w:rPr>
                <w:rFonts w:hAnsi="宋体" w:hint="eastAsia"/>
              </w:rPr>
              <w:t xml:space="preserve">180 </w:t>
            </w:r>
            <w:r>
              <w:rPr>
                <w:rFonts w:hAnsi="宋体" w:hint="eastAsia"/>
              </w:rPr>
              <w:t>日</w:t>
            </w:r>
          </w:p>
        </w:tc>
        <w:tc>
          <w:tcPr>
            <w:tcW w:w="2970" w:type="dxa"/>
            <w:vAlign w:val="center"/>
          </w:tcPr>
          <w:p w:rsidR="001530C0" w:rsidRDefault="008B7920">
            <w:pPr>
              <w:widowControl/>
              <w:adjustRightInd w:val="0"/>
              <w:snapToGrid w:val="0"/>
              <w:spacing w:line="360" w:lineRule="auto"/>
              <w:jc w:val="center"/>
              <w:rPr>
                <w:rFonts w:hAnsi="宋体"/>
              </w:rPr>
            </w:pPr>
            <w:r>
              <w:rPr>
                <w:rFonts w:hAnsi="宋体" w:hint="eastAsia"/>
              </w:rPr>
              <w:t>0.50%</w:t>
            </w:r>
          </w:p>
        </w:tc>
      </w:tr>
      <w:tr w:rsidR="001530C0">
        <w:trPr>
          <w:jc w:val="center"/>
        </w:trPr>
        <w:tc>
          <w:tcPr>
            <w:tcW w:w="2552" w:type="dxa"/>
            <w:vAlign w:val="center"/>
          </w:tcPr>
          <w:p w:rsidR="001530C0" w:rsidRDefault="008B7920">
            <w:pPr>
              <w:widowControl/>
              <w:adjustRightInd w:val="0"/>
              <w:snapToGrid w:val="0"/>
              <w:spacing w:line="360" w:lineRule="auto"/>
              <w:jc w:val="center"/>
              <w:rPr>
                <w:rFonts w:hAnsi="宋体"/>
              </w:rPr>
            </w:pPr>
            <w:r>
              <w:rPr>
                <w:rFonts w:hAnsi="宋体"/>
              </w:rPr>
              <w:t>Y</w:t>
            </w:r>
            <w:r>
              <w:rPr>
                <w:rFonts w:hAnsi="宋体" w:hint="eastAsia"/>
              </w:rPr>
              <w:t>≥</w:t>
            </w:r>
            <w:r>
              <w:rPr>
                <w:rFonts w:hAnsi="宋体" w:hint="eastAsia"/>
              </w:rPr>
              <w:t>180</w:t>
            </w:r>
            <w:r>
              <w:rPr>
                <w:rFonts w:hAnsi="宋体" w:hint="eastAsia"/>
              </w:rPr>
              <w:t>日</w:t>
            </w:r>
          </w:p>
        </w:tc>
        <w:tc>
          <w:tcPr>
            <w:tcW w:w="2970" w:type="dxa"/>
            <w:vAlign w:val="center"/>
          </w:tcPr>
          <w:p w:rsidR="001530C0" w:rsidRDefault="008B7920">
            <w:pPr>
              <w:widowControl/>
              <w:adjustRightInd w:val="0"/>
              <w:snapToGrid w:val="0"/>
              <w:spacing w:line="360" w:lineRule="auto"/>
              <w:jc w:val="center"/>
              <w:rPr>
                <w:rFonts w:hAnsi="宋体"/>
              </w:rPr>
            </w:pPr>
            <w:r>
              <w:rPr>
                <w:rFonts w:hAnsi="宋体"/>
              </w:rPr>
              <w:t>0</w:t>
            </w:r>
          </w:p>
        </w:tc>
      </w:tr>
    </w:tbl>
    <w:p w:rsidR="001530C0" w:rsidRDefault="008B7920">
      <w:pPr>
        <w:autoSpaceDE w:val="0"/>
        <w:autoSpaceDN w:val="0"/>
        <w:adjustRightInd w:val="0"/>
        <w:spacing w:before="29" w:line="360" w:lineRule="auto"/>
        <w:ind w:left="15"/>
        <w:jc w:val="left"/>
        <w:rPr>
          <w:b/>
        </w:rPr>
      </w:pPr>
      <w:r>
        <w:rPr>
          <w:rFonts w:hint="eastAsia"/>
          <w:b/>
        </w:rPr>
        <w:t xml:space="preserve">4.3 </w:t>
      </w:r>
      <w:r>
        <w:rPr>
          <w:rFonts w:hint="eastAsia"/>
          <w:b/>
        </w:rPr>
        <w:t>其他与赎回相关的事项</w:t>
      </w:r>
      <w:r>
        <w:rPr>
          <w:rFonts w:hint="eastAsia"/>
          <w:b/>
        </w:rPr>
        <w:t xml:space="preserve"> </w:t>
      </w:r>
    </w:p>
    <w:p w:rsidR="001530C0" w:rsidRDefault="008B7920">
      <w:pPr>
        <w:autoSpaceDE w:val="0"/>
        <w:autoSpaceDN w:val="0"/>
        <w:adjustRightInd w:val="0"/>
        <w:spacing w:before="29" w:line="360" w:lineRule="auto"/>
        <w:ind w:firstLineChars="200" w:firstLine="420"/>
        <w:jc w:val="left"/>
      </w:pPr>
      <w:r>
        <w:rPr>
          <w:rFonts w:hint="eastAsia"/>
        </w:rPr>
        <w:t>（</w:t>
      </w:r>
      <w:r>
        <w:rPr>
          <w:rFonts w:hint="eastAsia"/>
        </w:rPr>
        <w:t>1</w:t>
      </w:r>
      <w:r>
        <w:rPr>
          <w:rFonts w:hint="eastAsia"/>
        </w:rPr>
        <w:t>）</w:t>
      </w:r>
      <w:r>
        <w:rPr>
          <w:rFonts w:hAnsi="宋体" w:hint="eastAsia"/>
        </w:rPr>
        <w:t>赎回费用由赎回基金份额的基金份额持有人承担，在基金份额持有人赎回基金份额时收取。</w:t>
      </w:r>
      <w:r>
        <w:rPr>
          <w:rFonts w:hint="eastAsia"/>
        </w:rPr>
        <w:t>赎回费全额计入基金财产。</w:t>
      </w:r>
    </w:p>
    <w:p w:rsidR="001530C0" w:rsidRDefault="008B7920">
      <w:pPr>
        <w:autoSpaceDE w:val="0"/>
        <w:autoSpaceDN w:val="0"/>
        <w:adjustRightInd w:val="0"/>
        <w:spacing w:before="29" w:line="360" w:lineRule="auto"/>
        <w:ind w:firstLineChars="200" w:firstLine="420"/>
        <w:jc w:val="left"/>
      </w:pPr>
      <w:r>
        <w:rPr>
          <w:rFonts w:hint="eastAsia"/>
        </w:rPr>
        <w:t>（</w:t>
      </w:r>
      <w:r>
        <w:rPr>
          <w:rFonts w:hint="eastAsia"/>
        </w:rPr>
        <w:t>2</w:t>
      </w:r>
      <w:r>
        <w:rPr>
          <w:rFonts w:hint="eastAsia"/>
        </w:rPr>
        <w:t>）</w:t>
      </w:r>
      <w:r>
        <w:t>基金管理人可以在基金合同约定的范围内调整费率或收费方式，并最迟应于新的费率或收费方式实施日前依照《信息披露办法》的有关规定在规定媒介上公告。</w:t>
      </w:r>
    </w:p>
    <w:p w:rsidR="001530C0" w:rsidRDefault="008B7920">
      <w:pPr>
        <w:widowControl/>
        <w:adjustRightInd w:val="0"/>
        <w:snapToGrid w:val="0"/>
        <w:spacing w:line="360" w:lineRule="auto"/>
        <w:ind w:firstLineChars="200" w:firstLine="420"/>
        <w:jc w:val="left"/>
      </w:pPr>
      <w:r>
        <w:rPr>
          <w:rFonts w:hint="eastAsia"/>
        </w:rPr>
        <w:t>（</w:t>
      </w:r>
      <w:r>
        <w:rPr>
          <w:rFonts w:hint="eastAsia"/>
        </w:rPr>
        <w:t>3</w:t>
      </w:r>
      <w:r>
        <w:rPr>
          <w:rFonts w:hint="eastAsia"/>
        </w:rPr>
        <w:t>）当本基金发生大额申购或赎回情形时，基金管理人可以采用摆动定价机制，以确保基金估值的公平性。具体处理原则与操作规范遵循相关法律法规以及监管部门、自律规则的规定。</w:t>
      </w:r>
    </w:p>
    <w:p w:rsidR="001530C0" w:rsidRDefault="001530C0">
      <w:pPr>
        <w:widowControl/>
        <w:adjustRightInd w:val="0"/>
        <w:snapToGrid w:val="0"/>
        <w:spacing w:line="360" w:lineRule="auto"/>
        <w:ind w:firstLineChars="200" w:firstLine="420"/>
        <w:jc w:val="left"/>
      </w:pPr>
    </w:p>
    <w:p w:rsidR="001530C0" w:rsidRDefault="008B7920">
      <w:pPr>
        <w:autoSpaceDE w:val="0"/>
        <w:autoSpaceDN w:val="0"/>
        <w:adjustRightInd w:val="0"/>
        <w:spacing w:before="30" w:line="360" w:lineRule="auto"/>
        <w:jc w:val="left"/>
        <w:rPr>
          <w:rFonts w:ascii="Times New Roman" w:hAnsi="Times New Roman" w:cs="Times New Roman"/>
          <w:b/>
          <w:bCs/>
          <w:color w:val="000000"/>
          <w:kern w:val="0"/>
        </w:rPr>
      </w:pPr>
      <w:r>
        <w:rPr>
          <w:rFonts w:ascii="Times New Roman" w:hAnsi="Times New Roman" w:cs="Times New Roman" w:hint="eastAsia"/>
          <w:b/>
          <w:bCs/>
          <w:color w:val="000000"/>
          <w:kern w:val="0"/>
        </w:rPr>
        <w:t xml:space="preserve">5 </w:t>
      </w:r>
      <w:r>
        <w:rPr>
          <w:rFonts w:ascii="Times New Roman" w:hAnsi="Times New Roman" w:cs="Times New Roman" w:hint="eastAsia"/>
          <w:b/>
          <w:bCs/>
          <w:color w:val="000000"/>
          <w:kern w:val="0"/>
        </w:rPr>
        <w:t>日常转换业务</w:t>
      </w:r>
      <w:r>
        <w:rPr>
          <w:rFonts w:ascii="Times New Roman" w:hAnsi="Times New Roman" w:cs="Times New Roman" w:hint="eastAsia"/>
          <w:b/>
          <w:bCs/>
          <w:color w:val="000000"/>
          <w:kern w:val="0"/>
        </w:rPr>
        <w:t xml:space="preserve"> </w:t>
      </w:r>
    </w:p>
    <w:p w:rsidR="001530C0" w:rsidRDefault="008B7920">
      <w:pPr>
        <w:autoSpaceDE w:val="0"/>
        <w:autoSpaceDN w:val="0"/>
        <w:adjustRightInd w:val="0"/>
        <w:spacing w:before="29" w:line="360" w:lineRule="auto"/>
        <w:ind w:left="15"/>
        <w:jc w:val="left"/>
        <w:rPr>
          <w:b/>
        </w:rPr>
      </w:pPr>
      <w:r>
        <w:rPr>
          <w:rFonts w:hint="eastAsia"/>
          <w:b/>
        </w:rPr>
        <w:t xml:space="preserve">5.1 </w:t>
      </w:r>
      <w:r>
        <w:rPr>
          <w:rFonts w:hint="eastAsia"/>
          <w:b/>
        </w:rPr>
        <w:t>转换费率</w:t>
      </w:r>
      <w:r>
        <w:rPr>
          <w:rFonts w:hint="eastAsia"/>
          <w:b/>
        </w:rPr>
        <w:t xml:space="preserve"> </w:t>
      </w:r>
    </w:p>
    <w:p w:rsidR="001530C0" w:rsidRDefault="008B7920">
      <w:pPr>
        <w:autoSpaceDE w:val="0"/>
        <w:autoSpaceDN w:val="0"/>
        <w:adjustRightInd w:val="0"/>
        <w:spacing w:before="29" w:line="360" w:lineRule="auto"/>
        <w:ind w:left="17" w:firstLineChars="200" w:firstLine="420"/>
        <w:jc w:val="left"/>
      </w:pPr>
      <w:r>
        <w:rPr>
          <w:rFonts w:hint="eastAsia"/>
        </w:rPr>
        <w:t>基金转换费用由转出基金的赎回费和基金转换的申购补差费两部分构成，具体收取情况视每次转换时不同基金的申购费率和赎回费率的差异情况而定。基金转换费用由基金持有人承担。</w:t>
      </w:r>
    </w:p>
    <w:p w:rsidR="001530C0" w:rsidRDefault="008B7920">
      <w:pPr>
        <w:numPr>
          <w:ilvl w:val="0"/>
          <w:numId w:val="1"/>
        </w:numPr>
        <w:autoSpaceDE w:val="0"/>
        <w:autoSpaceDN w:val="0"/>
        <w:adjustRightInd w:val="0"/>
        <w:spacing w:before="29" w:line="360" w:lineRule="auto"/>
        <w:ind w:left="17" w:firstLineChars="200" w:firstLine="420"/>
        <w:jc w:val="left"/>
      </w:pPr>
      <w:r>
        <w:rPr>
          <w:rFonts w:hint="eastAsia"/>
        </w:rPr>
        <w:t>转出基金赎回费用按转出基金的赎回费率收取，基金转换费用中转出基金的赎回费总额的归入转出基金的基金财产的比例参照赎回费率的规定。</w:t>
      </w:r>
      <w:r>
        <w:rPr>
          <w:rFonts w:hint="eastAsia"/>
        </w:rPr>
        <w:t xml:space="preserve"> </w:t>
      </w:r>
    </w:p>
    <w:p w:rsidR="001530C0" w:rsidRDefault="008B7920">
      <w:pPr>
        <w:numPr>
          <w:ilvl w:val="0"/>
          <w:numId w:val="1"/>
        </w:numPr>
        <w:autoSpaceDE w:val="0"/>
        <w:autoSpaceDN w:val="0"/>
        <w:adjustRightInd w:val="0"/>
        <w:spacing w:before="29" w:line="360" w:lineRule="auto"/>
        <w:ind w:left="17" w:firstLineChars="200" w:firstLine="420"/>
        <w:jc w:val="left"/>
      </w:pPr>
      <w:r>
        <w:rPr>
          <w:rFonts w:hint="eastAsia"/>
        </w:rPr>
        <w:t>申购补差费指转入基金与转出基金的申购费之差。当转入基金的申购费率高于转出基金的申购费率时，应缴纳转入基金和转出基金的申购费差额，反之则不收取申购补差费；各基金的申购费率指各基金的招募说明书等法律文件中规定的标准费率。</w:t>
      </w:r>
    </w:p>
    <w:p w:rsidR="001530C0" w:rsidRDefault="008B7920">
      <w:pPr>
        <w:numPr>
          <w:ilvl w:val="255"/>
          <w:numId w:val="0"/>
        </w:numPr>
        <w:autoSpaceDE w:val="0"/>
        <w:autoSpaceDN w:val="0"/>
        <w:adjustRightInd w:val="0"/>
        <w:spacing w:before="29" w:line="360" w:lineRule="auto"/>
        <w:ind w:leftChars="200" w:left="420"/>
        <w:jc w:val="left"/>
      </w:pPr>
      <w:r>
        <w:rPr>
          <w:rFonts w:hint="eastAsia"/>
        </w:rPr>
        <w:t>3</w:t>
      </w:r>
      <w:r>
        <w:rPr>
          <w:rFonts w:hint="eastAsia"/>
        </w:rPr>
        <w:t>、转换份额的计算公式：</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转出基金赎回费</w:t>
      </w:r>
      <w:r>
        <w:rPr>
          <w:rFonts w:hint="eastAsia"/>
        </w:rPr>
        <w:t>=</w:t>
      </w:r>
      <w:r>
        <w:rPr>
          <w:rFonts w:hint="eastAsia"/>
        </w:rPr>
        <w:t>转出份额×转出基金当日份额净值×转出基金赎回费率</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转出金额＝转出份额×转出基金当日基金份额净值</w:t>
      </w:r>
      <w:r>
        <w:rPr>
          <w:rFonts w:hint="eastAsia"/>
        </w:rPr>
        <w:t>-</w:t>
      </w:r>
      <w:r>
        <w:rPr>
          <w:rFonts w:hint="eastAsia"/>
        </w:rPr>
        <w:t>转出基金赎回费</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申购补差费（外扣法）：</w:t>
      </w:r>
      <w:r>
        <w:rPr>
          <w:rFonts w:hint="eastAsia"/>
        </w:rPr>
        <w:t>Max[</w:t>
      </w:r>
      <w:r>
        <w:rPr>
          <w:rFonts w:hint="eastAsia"/>
        </w:rPr>
        <w:t>转出金额×转入基金的申购费率</w:t>
      </w:r>
      <w:r>
        <w:rPr>
          <w:rFonts w:hint="eastAsia"/>
        </w:rPr>
        <w:t>/</w:t>
      </w:r>
      <w:r>
        <w:rPr>
          <w:rFonts w:hint="eastAsia"/>
        </w:rPr>
        <w:t>（</w:t>
      </w:r>
      <w:r>
        <w:rPr>
          <w:rFonts w:hint="eastAsia"/>
        </w:rPr>
        <w:t>1</w:t>
      </w:r>
      <w:r>
        <w:rPr>
          <w:rFonts w:hint="eastAsia"/>
        </w:rPr>
        <w:t>＋转入基金申购费率）－转出金额×转出基金申购费率</w:t>
      </w:r>
      <w:r>
        <w:rPr>
          <w:rFonts w:hint="eastAsia"/>
        </w:rPr>
        <w:t>/</w:t>
      </w:r>
      <w:r>
        <w:rPr>
          <w:rFonts w:hint="eastAsia"/>
        </w:rPr>
        <w:t>（</w:t>
      </w:r>
      <w:r>
        <w:rPr>
          <w:rFonts w:hint="eastAsia"/>
        </w:rPr>
        <w:t>1</w:t>
      </w:r>
      <w:r>
        <w:rPr>
          <w:rFonts w:hint="eastAsia"/>
        </w:rPr>
        <w:t>＋转出基金申购费率</w:t>
      </w:r>
      <w:r>
        <w:rPr>
          <w:rFonts w:hint="eastAsia"/>
        </w:rPr>
        <w:t>）</w:t>
      </w:r>
      <w:r>
        <w:rPr>
          <w:rFonts w:hint="eastAsia"/>
        </w:rPr>
        <w:t xml:space="preserve">,0]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转换费用＝转出基金赎回费＋申购补差费</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转入金额＝转出金额－申购补差费</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转入份额＝转入金额</w:t>
      </w:r>
      <w:r>
        <w:rPr>
          <w:rFonts w:hint="eastAsia"/>
        </w:rPr>
        <w:t>/</w:t>
      </w:r>
      <w:r>
        <w:rPr>
          <w:rFonts w:hint="eastAsia"/>
        </w:rPr>
        <w:t>转入基金转入申请当日基金份额净值</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具体份额以注册登记机构的记录为准。转出基金赎回费用、转出转入基金申购补差费用保留小数点后两位，两位以后的部分四舍五入，由此产生的误差计入基金财产。</w:t>
      </w:r>
      <w:r>
        <w:rPr>
          <w:rFonts w:hint="eastAsia"/>
        </w:rPr>
        <w:t xml:space="preserve"> </w:t>
      </w:r>
    </w:p>
    <w:p w:rsidR="001530C0" w:rsidRDefault="008B7920">
      <w:pPr>
        <w:autoSpaceDE w:val="0"/>
        <w:autoSpaceDN w:val="0"/>
        <w:adjustRightInd w:val="0"/>
        <w:spacing w:before="29" w:line="360" w:lineRule="auto"/>
        <w:ind w:left="15"/>
        <w:jc w:val="left"/>
        <w:rPr>
          <w:b/>
        </w:rPr>
      </w:pPr>
      <w:r>
        <w:rPr>
          <w:rFonts w:hint="eastAsia"/>
          <w:b/>
        </w:rPr>
        <w:t xml:space="preserve">5.2 </w:t>
      </w:r>
      <w:r>
        <w:rPr>
          <w:rFonts w:hint="eastAsia"/>
          <w:b/>
        </w:rPr>
        <w:t>其他与转换相关的事项</w:t>
      </w:r>
      <w:r>
        <w:rPr>
          <w:rFonts w:hint="eastAsia"/>
          <w:b/>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1</w:t>
      </w:r>
      <w:r>
        <w:rPr>
          <w:rFonts w:hint="eastAsia"/>
        </w:rPr>
        <w:t>、转换的两只基金必须都是由同一销售机构销售的同一基金管理人管理的、在同一基金注册登记机构处注册登记的基金。投资者办理基金转换业务时，转出方的基金必须处于可赎回状态，转入方的基金必须处于可</w:t>
      </w:r>
      <w:r>
        <w:rPr>
          <w:rFonts w:hint="eastAsia"/>
        </w:rPr>
        <w:t>申购状态。同一基金不同类别基金份额间不开放相互转换业务。</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2</w:t>
      </w:r>
      <w:r>
        <w:rPr>
          <w:rFonts w:hint="eastAsia"/>
        </w:rPr>
        <w:t>、基金转换采取“未知价法”，即基金的转换价格以转换申请受理当日各基金转出、转入的基金份额资产净值为基准进行计算。</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3</w:t>
      </w:r>
      <w:r>
        <w:rPr>
          <w:rFonts w:hint="eastAsia"/>
        </w:rPr>
        <w:t>、基金转换以份额为单位进行申请，遵循“先进先出”的业务规则，即份额注册日期在前的先转换出，份额注册日期在后的后转换出。基金转换申请转出的基金份额必须是可用的份额。</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4</w:t>
      </w:r>
      <w:r>
        <w:rPr>
          <w:rFonts w:hint="eastAsia"/>
        </w:rPr>
        <w:t>、注册登记机构以收到有效转换申请的当天作为转换申请日（</w:t>
      </w:r>
      <w:r>
        <w:rPr>
          <w:rFonts w:hint="eastAsia"/>
        </w:rPr>
        <w:t>T</w:t>
      </w:r>
      <w:r>
        <w:rPr>
          <w:rFonts w:hint="eastAsia"/>
        </w:rPr>
        <w:t>日）。正常情况下，投资者转换基金成功的，注册登记机构将在</w:t>
      </w:r>
      <w:r>
        <w:rPr>
          <w:rFonts w:hint="eastAsia"/>
        </w:rPr>
        <w:t>T</w:t>
      </w:r>
      <w:r>
        <w:rPr>
          <w:rFonts w:hint="eastAsia"/>
        </w:rPr>
        <w:t>＋</w:t>
      </w:r>
      <w:r>
        <w:rPr>
          <w:rFonts w:hint="eastAsia"/>
        </w:rPr>
        <w:t xml:space="preserve">1 </w:t>
      </w:r>
      <w:r>
        <w:rPr>
          <w:rFonts w:hint="eastAsia"/>
        </w:rPr>
        <w:t>日对投资者</w:t>
      </w:r>
      <w:r>
        <w:rPr>
          <w:rFonts w:hint="eastAsia"/>
        </w:rPr>
        <w:t>T</w:t>
      </w:r>
      <w:r>
        <w:rPr>
          <w:rFonts w:hint="eastAsia"/>
        </w:rPr>
        <w:t>日的基金转换业务申请进行有效性确认，办理转出基金的权益扣除以及转入基金的权益登记。自</w:t>
      </w:r>
      <w:r>
        <w:rPr>
          <w:rFonts w:hint="eastAsia"/>
        </w:rPr>
        <w:t>T</w:t>
      </w:r>
      <w:r>
        <w:rPr>
          <w:rFonts w:hint="eastAsia"/>
        </w:rPr>
        <w:t>＋</w:t>
      </w:r>
      <w:r>
        <w:rPr>
          <w:rFonts w:hint="eastAsia"/>
        </w:rPr>
        <w:t>2</w:t>
      </w:r>
      <w:r>
        <w:rPr>
          <w:rFonts w:hint="eastAsia"/>
        </w:rPr>
        <w:t>日起，投资者可向销售机构查询基金转换的成交情况，并有权转换或赎回该部分基金份额。</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5</w:t>
      </w:r>
      <w:r>
        <w:rPr>
          <w:rFonts w:hint="eastAsia"/>
        </w:rPr>
        <w:t>、单笔转换申请应当满足基金《招募说明书》中转入基金最低申购数额和转出基金最低赎回数额限制。若转入基金有大额申购限制的，则需遵循相关大额申购限制的约定。</w:t>
      </w:r>
      <w:r>
        <w:rPr>
          <w:rFonts w:hint="eastAsia"/>
        </w:rPr>
        <w:t xml:space="preserve"> </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6</w:t>
      </w:r>
      <w:r>
        <w:rPr>
          <w:rFonts w:hint="eastAsia"/>
        </w:rPr>
        <w:t>、当某笔转换业务导致投资者基金交易账户内余额小于转出基金的《基金合同》和《招募说明书》中“最低持有份额”的相关条款规定时，剩余部分的基金份额将被强制赎回。</w:t>
      </w:r>
    </w:p>
    <w:p w:rsidR="001530C0" w:rsidRDefault="008B7920">
      <w:pPr>
        <w:numPr>
          <w:ilvl w:val="255"/>
          <w:numId w:val="0"/>
        </w:numPr>
        <w:autoSpaceDE w:val="0"/>
        <w:autoSpaceDN w:val="0"/>
        <w:adjustRightInd w:val="0"/>
        <w:spacing w:before="29" w:line="360" w:lineRule="auto"/>
        <w:ind w:firstLineChars="200" w:firstLine="420"/>
        <w:jc w:val="left"/>
      </w:pPr>
      <w:r>
        <w:rPr>
          <w:rFonts w:hint="eastAsia"/>
        </w:rPr>
        <w:t>7</w:t>
      </w:r>
      <w:r>
        <w:rPr>
          <w:rFonts w:hint="eastAsia"/>
        </w:rPr>
        <w:t>、发生巨额赎</w:t>
      </w:r>
      <w:r>
        <w:rPr>
          <w:rFonts w:hint="eastAsia"/>
        </w:rPr>
        <w:t>回时，基金转出与基金赎回具有相同的优先级，由基金管理人按照基金合同规定的处理程序进行受理</w:t>
      </w:r>
    </w:p>
    <w:p w:rsidR="001530C0" w:rsidRDefault="008B7920">
      <w:pPr>
        <w:autoSpaceDE w:val="0"/>
        <w:autoSpaceDN w:val="0"/>
        <w:adjustRightInd w:val="0"/>
        <w:spacing w:before="29" w:line="360" w:lineRule="auto"/>
        <w:ind w:left="17" w:firstLineChars="200" w:firstLine="420"/>
      </w:pPr>
      <w:r>
        <w:rPr>
          <w:rFonts w:hint="eastAsia"/>
        </w:rPr>
        <w:t>8</w:t>
      </w:r>
      <w:r>
        <w:rPr>
          <w:rFonts w:hint="eastAsia"/>
        </w:rPr>
        <w:t>、投资人可通过本公司直销机构办理本基金的转换业务。其他销售机构开通本基金的转换业务情况敬请投资者关注各销售机构开通转换业务的公告或垂询相关销售机构。</w:t>
      </w:r>
    </w:p>
    <w:p w:rsidR="001530C0" w:rsidRDefault="001530C0">
      <w:pPr>
        <w:autoSpaceDE w:val="0"/>
        <w:autoSpaceDN w:val="0"/>
        <w:adjustRightInd w:val="0"/>
        <w:spacing w:before="29" w:line="360" w:lineRule="auto"/>
        <w:ind w:firstLineChars="200" w:firstLine="420"/>
        <w:jc w:val="left"/>
      </w:pPr>
    </w:p>
    <w:p w:rsidR="001530C0" w:rsidRDefault="008B7920">
      <w:pPr>
        <w:autoSpaceDE w:val="0"/>
        <w:autoSpaceDN w:val="0"/>
        <w:adjustRightInd w:val="0"/>
        <w:spacing w:before="29" w:line="360" w:lineRule="auto"/>
        <w:ind w:left="15"/>
        <w:jc w:val="left"/>
        <w:rPr>
          <w:b/>
        </w:rPr>
      </w:pPr>
      <w:r>
        <w:rPr>
          <w:rFonts w:hint="eastAsia"/>
          <w:b/>
        </w:rPr>
        <w:t>6</w:t>
      </w:r>
      <w:r>
        <w:rPr>
          <w:b/>
        </w:rPr>
        <w:t xml:space="preserve"> </w:t>
      </w:r>
      <w:r>
        <w:rPr>
          <w:b/>
        </w:rPr>
        <w:t>定期定额投资业务</w:t>
      </w:r>
    </w:p>
    <w:p w:rsidR="001530C0" w:rsidRDefault="008B7920">
      <w:pPr>
        <w:autoSpaceDE w:val="0"/>
        <w:autoSpaceDN w:val="0"/>
        <w:adjustRightInd w:val="0"/>
        <w:spacing w:before="29" w:line="360" w:lineRule="auto"/>
        <w:ind w:left="15"/>
      </w:pPr>
      <w:r>
        <w:t>（</w:t>
      </w:r>
      <w:r>
        <w:t>1</w:t>
      </w:r>
      <w:r>
        <w:t>）定期定额投资业务是指投资者通过基金管理人指定的销售机构提交申请，约定每期扣款时间、扣款金额，由指定的销售机构于每期约定扣款日在投资者指定资金账户内自动完成扣款，并提交基金申购申请的一种长期投资方式。</w:t>
      </w:r>
    </w:p>
    <w:p w:rsidR="001530C0" w:rsidRDefault="008B7920">
      <w:pPr>
        <w:autoSpaceDE w:val="0"/>
        <w:autoSpaceDN w:val="0"/>
        <w:adjustRightInd w:val="0"/>
        <w:spacing w:before="29" w:line="360" w:lineRule="auto"/>
        <w:ind w:left="15"/>
      </w:pPr>
      <w:r>
        <w:t>（</w:t>
      </w:r>
      <w:r>
        <w:t>2</w:t>
      </w:r>
      <w:r>
        <w:t>）销售机构开始办理基金定期定额投资业</w:t>
      </w:r>
      <w:r>
        <w:t>务的时间、网点等信息，以销售机构的规定为准。投资者在本基金销售机构办理定期定额投资业务，具体办理规则及程序请遵循各销售机构的规定。</w:t>
      </w:r>
    </w:p>
    <w:p w:rsidR="001530C0" w:rsidRDefault="008B7920">
      <w:pPr>
        <w:autoSpaceDE w:val="0"/>
        <w:autoSpaceDN w:val="0"/>
        <w:adjustRightInd w:val="0"/>
        <w:spacing w:before="29" w:line="360" w:lineRule="auto"/>
        <w:ind w:left="15"/>
      </w:pPr>
      <w:r>
        <w:t>（</w:t>
      </w:r>
      <w:r>
        <w:t>3</w:t>
      </w:r>
      <w:r>
        <w:t>）定额投资业务安排</w:t>
      </w:r>
      <w:r>
        <w:t xml:space="preserve"> </w:t>
      </w:r>
    </w:p>
    <w:p w:rsidR="001530C0" w:rsidRDefault="008B7920">
      <w:pPr>
        <w:autoSpaceDE w:val="0"/>
        <w:autoSpaceDN w:val="0"/>
        <w:adjustRightInd w:val="0"/>
        <w:spacing w:before="29" w:line="360" w:lineRule="auto"/>
        <w:ind w:left="17" w:firstLineChars="200" w:firstLine="420"/>
      </w:pPr>
      <w:r>
        <w:t>1</w:t>
      </w:r>
      <w:r>
        <w:rPr>
          <w:rFonts w:hint="eastAsia"/>
        </w:rPr>
        <w:t>、</w:t>
      </w:r>
      <w:r>
        <w:t>定额投资业务受理时间与本基金日常申购业务受理时间相同。销售机构将按照投资者申请时所约定的每期约定扣款日、扣款金额进行扣款。由于销售机构关于具体扣款方式和扣款日期的规定有所不同，投资者应参照各销售机构的具体规定。若遇非基金开放日时，扣款是否顺延以销售机构的具体规定为准。</w:t>
      </w:r>
    </w:p>
    <w:p w:rsidR="001530C0" w:rsidRDefault="008B7920">
      <w:pPr>
        <w:autoSpaceDE w:val="0"/>
        <w:autoSpaceDN w:val="0"/>
        <w:adjustRightInd w:val="0"/>
        <w:spacing w:before="29" w:line="360" w:lineRule="auto"/>
        <w:ind w:left="17" w:firstLineChars="200" w:firstLine="420"/>
      </w:pPr>
      <w:r>
        <w:t>2</w:t>
      </w:r>
      <w:r>
        <w:rPr>
          <w:rFonts w:hint="eastAsia"/>
        </w:rPr>
        <w:t>、</w:t>
      </w:r>
      <w:r>
        <w:t>投资者应与销售机构约定每期扣款金额，除另有公告外</w:t>
      </w:r>
      <w:r>
        <w:t>,</w:t>
      </w:r>
      <w:r>
        <w:t>该金额应不低于销售机构规定</w:t>
      </w:r>
      <w:r>
        <w:t>的最低申购金额。</w:t>
      </w:r>
      <w:r>
        <w:t xml:space="preserve"> </w:t>
      </w:r>
    </w:p>
    <w:p w:rsidR="001530C0" w:rsidRDefault="008B7920">
      <w:pPr>
        <w:autoSpaceDE w:val="0"/>
        <w:autoSpaceDN w:val="0"/>
        <w:adjustRightInd w:val="0"/>
        <w:spacing w:before="29" w:line="360" w:lineRule="auto"/>
        <w:ind w:left="17" w:firstLineChars="200" w:firstLine="420"/>
      </w:pPr>
      <w:r>
        <w:t>3</w:t>
      </w:r>
      <w:r>
        <w:rPr>
          <w:rFonts w:hint="eastAsia"/>
        </w:rPr>
        <w:t>、</w:t>
      </w:r>
      <w:r>
        <w:t>除另有公告外，定期定额投资费率和计费方式与日常申购业务相同。基金定期定额投资起点金额与申购一致，销售机构开展本基金定额投资费率优惠活动的，以销售机构相关公告为准。</w:t>
      </w:r>
    </w:p>
    <w:p w:rsidR="001530C0" w:rsidRDefault="008B7920">
      <w:pPr>
        <w:autoSpaceDE w:val="0"/>
        <w:autoSpaceDN w:val="0"/>
        <w:adjustRightInd w:val="0"/>
        <w:spacing w:before="29" w:line="360" w:lineRule="auto"/>
        <w:ind w:left="17" w:firstLineChars="200" w:firstLine="420"/>
      </w:pPr>
      <w:r>
        <w:t>4</w:t>
      </w:r>
      <w:r>
        <w:rPr>
          <w:rFonts w:hint="eastAsia"/>
        </w:rPr>
        <w:t>、</w:t>
      </w:r>
      <w:r>
        <w:t>本公司网上直销交易平台办理本基金的定期定额投资业务，并享受正常申购的费率优惠。具体的定期定额投资费率、业务规则与相关公告请登录本公司网站查询。</w:t>
      </w:r>
    </w:p>
    <w:p w:rsidR="001530C0" w:rsidRDefault="008B7920">
      <w:pPr>
        <w:autoSpaceDE w:val="0"/>
        <w:autoSpaceDN w:val="0"/>
        <w:adjustRightInd w:val="0"/>
        <w:spacing w:before="29" w:line="360" w:lineRule="auto"/>
        <w:ind w:left="17" w:firstLineChars="200" w:firstLine="420"/>
        <w:rPr>
          <w:rFonts w:ascii="Times New Roman" w:hAnsi="Times New Roman" w:cs="Times New Roman"/>
          <w:b/>
          <w:bCs/>
          <w:color w:val="000000"/>
          <w:kern w:val="0"/>
        </w:rPr>
      </w:pPr>
      <w:r>
        <w:t>5</w:t>
      </w:r>
      <w:r>
        <w:rPr>
          <w:rFonts w:hint="eastAsia"/>
        </w:rPr>
        <w:t>、</w:t>
      </w:r>
      <w:r>
        <w:t>代销机构办理本基金定期定额投资业务及参加费率优惠活动的情况，详见该销售机构的相关公告或说明。</w:t>
      </w:r>
    </w:p>
    <w:p w:rsidR="001530C0" w:rsidRDefault="001530C0">
      <w:pPr>
        <w:autoSpaceDE w:val="0"/>
        <w:autoSpaceDN w:val="0"/>
        <w:adjustRightInd w:val="0"/>
        <w:spacing w:before="29" w:line="360" w:lineRule="auto"/>
        <w:ind w:left="15"/>
        <w:jc w:val="left"/>
        <w:rPr>
          <w:rFonts w:ascii="Times New Roman" w:hAnsi="Times New Roman" w:cs="Times New Roman"/>
          <w:b/>
          <w:bCs/>
          <w:color w:val="000000"/>
          <w:kern w:val="0"/>
        </w:rPr>
      </w:pPr>
    </w:p>
    <w:p w:rsidR="001530C0" w:rsidRDefault="001530C0">
      <w:pPr>
        <w:autoSpaceDE w:val="0"/>
        <w:autoSpaceDN w:val="0"/>
        <w:adjustRightInd w:val="0"/>
        <w:spacing w:before="29" w:line="360" w:lineRule="auto"/>
        <w:ind w:left="15"/>
        <w:jc w:val="left"/>
        <w:rPr>
          <w:rFonts w:ascii="Times New Roman" w:hAnsi="Times New Roman" w:cs="Times New Roman"/>
          <w:b/>
          <w:bCs/>
          <w:color w:val="000000"/>
          <w:kern w:val="0"/>
        </w:rPr>
      </w:pPr>
    </w:p>
    <w:p w:rsidR="001530C0" w:rsidRDefault="008B7920">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7</w:t>
      </w:r>
      <w:r>
        <w:rPr>
          <w:rFonts w:ascii="Times New Roman" w:hAnsi="Times New Roman" w:cs="Times New Roman"/>
          <w:b/>
          <w:bCs/>
          <w:color w:val="000000"/>
          <w:kern w:val="0"/>
        </w:rPr>
        <w:t xml:space="preserve"> </w:t>
      </w:r>
      <w:r>
        <w:rPr>
          <w:rFonts w:ascii="Times New Roman" w:hAnsi="Times New Roman" w:hint="eastAsia"/>
          <w:b/>
          <w:bCs/>
          <w:color w:val="000000"/>
          <w:kern w:val="0"/>
        </w:rPr>
        <w:t>基金销售机构</w:t>
      </w:r>
    </w:p>
    <w:p w:rsidR="001530C0" w:rsidRDefault="008B7920">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7</w:t>
      </w:r>
      <w:r>
        <w:rPr>
          <w:rFonts w:ascii="Times New Roman" w:hAnsi="Times New Roman" w:cs="Times New Roman"/>
          <w:b/>
          <w:bCs/>
          <w:color w:val="000000"/>
          <w:kern w:val="0"/>
        </w:rPr>
        <w:t xml:space="preserve">.1 </w:t>
      </w:r>
      <w:r>
        <w:rPr>
          <w:rFonts w:ascii="Times New Roman" w:hAnsi="Times New Roman" w:hint="eastAsia"/>
          <w:b/>
          <w:bCs/>
          <w:color w:val="000000"/>
          <w:kern w:val="0"/>
        </w:rPr>
        <w:t>场外销售机构</w:t>
      </w:r>
    </w:p>
    <w:p w:rsidR="001530C0" w:rsidRDefault="008B7920">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7</w:t>
      </w:r>
      <w:r>
        <w:rPr>
          <w:rFonts w:ascii="Times New Roman" w:hAnsi="Times New Roman" w:cs="Times New Roman"/>
          <w:b/>
          <w:bCs/>
          <w:color w:val="000000"/>
          <w:kern w:val="0"/>
        </w:rPr>
        <w:t xml:space="preserve">.1.1 </w:t>
      </w:r>
      <w:r>
        <w:rPr>
          <w:rFonts w:ascii="Times New Roman" w:hAnsi="Times New Roman" w:hint="eastAsia"/>
          <w:b/>
          <w:bCs/>
          <w:color w:val="000000"/>
          <w:kern w:val="0"/>
        </w:rPr>
        <w:t>直销机构</w:t>
      </w:r>
    </w:p>
    <w:p w:rsidR="001530C0" w:rsidRDefault="008B7920">
      <w:pPr>
        <w:autoSpaceDE w:val="0"/>
        <w:autoSpaceDN w:val="0"/>
        <w:adjustRightInd w:val="0"/>
        <w:spacing w:line="360" w:lineRule="auto"/>
        <w:jc w:val="left"/>
        <w:rPr>
          <w:rFonts w:ascii="Times New Roman" w:hAnsi="Times New Roman" w:cs="Times New Roman"/>
          <w:b/>
          <w:bCs/>
          <w:color w:val="000000"/>
          <w:kern w:val="0"/>
        </w:rPr>
      </w:pPr>
      <w:r>
        <w:rPr>
          <w:rFonts w:hAnsi="宋体"/>
          <w:kern w:val="0"/>
        </w:rPr>
        <w:t xml:space="preserve">   </w:t>
      </w:r>
      <w:r>
        <w:rPr>
          <w:rFonts w:hAnsi="宋体" w:hint="eastAsia"/>
          <w:kern w:val="0"/>
        </w:rPr>
        <w:t>本基金直销机构为基金管理人直销柜台、基金管理人网上直销交易平台（仅发售本基金</w:t>
      </w:r>
      <w:r>
        <w:rPr>
          <w:rFonts w:hAnsi="宋体" w:hint="eastAsia"/>
          <w:kern w:val="0"/>
        </w:rPr>
        <w:t>A</w:t>
      </w:r>
      <w:r>
        <w:rPr>
          <w:rFonts w:hAnsi="宋体" w:hint="eastAsia"/>
          <w:kern w:val="0"/>
        </w:rPr>
        <w:t>类份额，本基金</w:t>
      </w:r>
      <w:r>
        <w:rPr>
          <w:rFonts w:hAnsi="宋体" w:hint="eastAsia"/>
          <w:kern w:val="0"/>
        </w:rPr>
        <w:t>C</w:t>
      </w:r>
      <w:r>
        <w:rPr>
          <w:rFonts w:hAnsi="宋体" w:hint="eastAsia"/>
          <w:kern w:val="0"/>
        </w:rPr>
        <w:t>类基金份额暂不在基金管理人直销机构发售，本基金</w:t>
      </w:r>
      <w:r>
        <w:rPr>
          <w:rFonts w:hAnsi="宋体" w:hint="eastAsia"/>
          <w:kern w:val="0"/>
        </w:rPr>
        <w:t>C</w:t>
      </w:r>
      <w:r>
        <w:rPr>
          <w:rFonts w:hAnsi="宋体" w:hint="eastAsia"/>
          <w:kern w:val="0"/>
        </w:rPr>
        <w:t>类份额后续在直销机构发售的时间将另行公告）。</w:t>
      </w:r>
    </w:p>
    <w:p w:rsidR="001530C0" w:rsidRDefault="008B7920">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7</w:t>
      </w:r>
      <w:r>
        <w:rPr>
          <w:rFonts w:ascii="Times New Roman" w:hAnsi="Times New Roman" w:cs="Times New Roman"/>
          <w:b/>
          <w:bCs/>
          <w:color w:val="000000"/>
          <w:kern w:val="0"/>
        </w:rPr>
        <w:t xml:space="preserve">.1.2 </w:t>
      </w:r>
      <w:r>
        <w:rPr>
          <w:rFonts w:ascii="Times New Roman" w:hAnsi="Times New Roman" w:cs="Times New Roman" w:hint="eastAsia"/>
          <w:b/>
          <w:bCs/>
          <w:color w:val="000000"/>
          <w:kern w:val="0"/>
        </w:rPr>
        <w:t>非直销机构</w:t>
      </w:r>
    </w:p>
    <w:p w:rsidR="001530C0" w:rsidRDefault="008B7920">
      <w:pPr>
        <w:autoSpaceDE w:val="0"/>
        <w:autoSpaceDN w:val="0"/>
        <w:adjustRightInd w:val="0"/>
        <w:spacing w:before="29" w:line="360" w:lineRule="auto"/>
        <w:ind w:left="15"/>
        <w:jc w:val="left"/>
        <w:rPr>
          <w:rFonts w:ascii="Times New Roman" w:hAnsi="Times New Roman"/>
          <w:b/>
          <w:bCs/>
          <w:color w:val="000000"/>
          <w:kern w:val="0"/>
        </w:rPr>
      </w:pPr>
      <w:r>
        <w:rPr>
          <w:rFonts w:ascii="Times New Roman" w:hAnsi="Times New Roman" w:cs="Times New Roman" w:hint="eastAsia"/>
          <w:b/>
          <w:bCs/>
          <w:color w:val="000000"/>
          <w:kern w:val="0"/>
        </w:rPr>
        <w:t>7</w:t>
      </w:r>
      <w:r>
        <w:rPr>
          <w:rFonts w:ascii="Times New Roman" w:hAnsi="Times New Roman" w:cs="Times New Roman"/>
          <w:b/>
          <w:bCs/>
          <w:color w:val="000000"/>
          <w:kern w:val="0"/>
        </w:rPr>
        <w:t xml:space="preserve">.1.2.1 </w:t>
      </w:r>
      <w:r>
        <w:rPr>
          <w:b/>
        </w:rPr>
        <w:t>办理本基金</w:t>
      </w:r>
      <w:r>
        <w:rPr>
          <w:rFonts w:hint="eastAsia"/>
          <w:b/>
        </w:rPr>
        <w:t>日常申购、赎回业务</w:t>
      </w:r>
      <w:r>
        <w:rPr>
          <w:b/>
        </w:rPr>
        <w:t>的</w:t>
      </w:r>
      <w:r>
        <w:rPr>
          <w:rFonts w:ascii="Times New Roman" w:hAnsi="Times New Roman" w:hint="eastAsia"/>
          <w:b/>
          <w:bCs/>
          <w:color w:val="000000"/>
          <w:kern w:val="0"/>
        </w:rPr>
        <w:t>场外非直销机构</w:t>
      </w:r>
    </w:p>
    <w:tbl>
      <w:tblPr>
        <w:tblW w:w="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5"/>
        <w:gridCol w:w="3981"/>
      </w:tblGrid>
      <w:tr w:rsidR="001530C0">
        <w:trPr>
          <w:trHeight w:val="290"/>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color w:val="000000"/>
              </w:rPr>
            </w:pPr>
            <w:r>
              <w:rPr>
                <w:rFonts w:ascii="宋体" w:hAnsi="宋体" w:hint="eastAsia"/>
                <w:color w:val="000000"/>
              </w:rPr>
              <w:t>序号</w:t>
            </w:r>
          </w:p>
        </w:tc>
        <w:tc>
          <w:tcPr>
            <w:tcW w:w="3981" w:type="dxa"/>
            <w:tcMar>
              <w:top w:w="0" w:type="dxa"/>
              <w:left w:w="108" w:type="dxa"/>
              <w:bottom w:w="0" w:type="dxa"/>
              <w:right w:w="108" w:type="dxa"/>
            </w:tcMar>
            <w:vAlign w:val="center"/>
          </w:tcPr>
          <w:p w:rsidR="001530C0" w:rsidRDefault="008B7920">
            <w:pPr>
              <w:spacing w:line="360" w:lineRule="auto"/>
              <w:jc w:val="center"/>
              <w:rPr>
                <w:rFonts w:ascii="宋体"/>
              </w:rPr>
            </w:pPr>
            <w:r>
              <w:rPr>
                <w:rFonts w:ascii="宋体" w:hAnsi="宋体" w:hint="eastAsia"/>
              </w:rPr>
              <w:t>代销机构</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hAnsi="宋体"/>
                <w:color w:val="000000"/>
              </w:rPr>
            </w:pPr>
            <w:r>
              <w:rPr>
                <w:rFonts w:ascii="宋体" w:hAnsi="宋体"/>
                <w:color w:val="000000"/>
              </w:rPr>
              <w:t>1</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rPr>
            </w:pPr>
            <w:r>
              <w:rPr>
                <w:rFonts w:ascii="宋体" w:hAnsi="宋体" w:hint="eastAsia"/>
                <w:color w:val="000000"/>
                <w:kern w:val="0"/>
                <w:sz w:val="22"/>
                <w:szCs w:val="22"/>
                <w:lang/>
              </w:rPr>
              <w:t>鼎信汇金（北京）投资管理有限公司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hAnsi="宋体"/>
                <w:color w:val="000000"/>
              </w:rPr>
            </w:pPr>
            <w:r>
              <w:rPr>
                <w:rFonts w:ascii="宋体" w:hAnsi="宋体"/>
                <w:color w:val="000000"/>
              </w:rPr>
              <w:t>2</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rPr>
            </w:pPr>
            <w:r>
              <w:rPr>
                <w:rFonts w:ascii="宋体" w:hAnsi="宋体" w:hint="eastAsia"/>
                <w:color w:val="000000"/>
                <w:kern w:val="0"/>
                <w:sz w:val="22"/>
                <w:szCs w:val="22"/>
                <w:lang/>
              </w:rPr>
              <w:t>深圳市新兰德证券投资咨询有限公司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hAnsi="宋体"/>
                <w:color w:val="000000"/>
              </w:rPr>
            </w:pPr>
            <w:r>
              <w:rPr>
                <w:rFonts w:ascii="宋体" w:hAnsi="宋体" w:hint="eastAsia"/>
                <w:color w:val="000000"/>
              </w:rPr>
              <w:t>3</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rPr>
            </w:pPr>
            <w:r>
              <w:rPr>
                <w:rFonts w:ascii="宋体" w:hAnsi="宋体" w:hint="eastAsia"/>
                <w:color w:val="000000"/>
                <w:kern w:val="0"/>
                <w:sz w:val="22"/>
                <w:szCs w:val="22"/>
                <w:lang/>
              </w:rPr>
              <w:t>和讯信息科技有限公司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hAnsi="宋体"/>
                <w:color w:val="000000"/>
              </w:rPr>
            </w:pPr>
            <w:r>
              <w:rPr>
                <w:rFonts w:ascii="宋体" w:hAnsi="宋体" w:hint="eastAsia"/>
                <w:color w:val="000000"/>
              </w:rPr>
              <w:t>4</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rPr>
            </w:pPr>
            <w:r>
              <w:rPr>
                <w:rFonts w:ascii="宋体" w:hAnsi="宋体" w:hint="eastAsia"/>
                <w:color w:val="000000"/>
                <w:kern w:val="0"/>
                <w:sz w:val="22"/>
                <w:szCs w:val="22"/>
                <w:lang/>
              </w:rPr>
              <w:t>江苏汇林保大基金销售有限公司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hAnsi="宋体"/>
                <w:color w:val="000000"/>
              </w:rPr>
            </w:pPr>
            <w:r>
              <w:rPr>
                <w:rFonts w:ascii="宋体" w:hAnsi="宋体" w:hint="eastAsia"/>
                <w:color w:val="000000"/>
              </w:rPr>
              <w:t>5</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众惠基金销售有限公司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hAnsi="宋体"/>
                <w:color w:val="000000"/>
              </w:rPr>
            </w:pPr>
            <w:r>
              <w:t>6</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贵州省贵文文化基金销售有限公司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rPr>
                <w:rFonts w:ascii="宋体" w:hAnsi="宋体"/>
                <w:color w:val="000000"/>
              </w:rPr>
            </w:pPr>
            <w:r>
              <w:t>7</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腾安基金销售（深圳）有限公司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8</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rPr>
            </w:pPr>
            <w:r>
              <w:rPr>
                <w:rFonts w:ascii="宋体" w:hAnsi="宋体" w:hint="eastAsia"/>
                <w:color w:val="000000"/>
                <w:kern w:val="0"/>
                <w:sz w:val="22"/>
                <w:szCs w:val="22"/>
                <w:lang/>
              </w:rPr>
              <w:t>博时财富基金销售有限公司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9</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诺亚正行基金销售有限公司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10</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深圳众禄基金销售股份有限公司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11</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上海天天基金销售有限公司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12</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上海好买基金销售有限公司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13</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蚂蚁（杭州）基金销售有限公司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14</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上海长量基金销售有限公司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15</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浙江同花顺基金销售有限公司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16</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上海利得基金销售有限公司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17</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嘉实财富管理有限公司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18</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泛华普益基金销售有限公司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19</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宜信普泽（北京）基金销售有限公司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20</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南京苏宁基金销售有限公司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21</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通华财富（上海）基金销售有限公司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22</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上海大智慧基金销售有限公司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23</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北京新浪仓石基金销售有限公司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24</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上海万得基金销售有限公司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25</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上海国信嘉利基金销售有限公司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26</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上海联泰基金销售有限公司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27</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珠海盈米基金销售有限公司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28</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和耕传承基金销售有限公司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29</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奕丰基金销售有限公司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30</w:t>
            </w:r>
          </w:p>
        </w:tc>
        <w:tc>
          <w:tcPr>
            <w:tcW w:w="3981" w:type="dxa"/>
            <w:tcMar>
              <w:top w:w="0" w:type="dxa"/>
              <w:left w:w="108" w:type="dxa"/>
              <w:bottom w:w="0" w:type="dxa"/>
              <w:right w:w="108" w:type="dxa"/>
            </w:tcMar>
            <w:vAlign w:val="center"/>
          </w:tcPr>
          <w:p w:rsidR="001530C0" w:rsidRDefault="008B7920">
            <w:pPr>
              <w:widowControl/>
              <w:jc w:val="left"/>
              <w:textAlignment w:val="center"/>
            </w:pPr>
            <w:r>
              <w:rPr>
                <w:rFonts w:ascii="宋体" w:hAnsi="宋体" w:hint="eastAsia"/>
                <w:color w:val="000000"/>
                <w:kern w:val="0"/>
                <w:sz w:val="22"/>
                <w:szCs w:val="22"/>
                <w:lang/>
              </w:rPr>
              <w:t>上海爱建基金销售有限公司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31</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京东肯特瑞基金销售有限公司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32</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大连网金基金销售有限公司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33</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上海证达通基金销售有限公司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34</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北京雪球基金销售有限公司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35</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万家财富基金销售（天津）有限公司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36</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金融街证券股份有限公司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37</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财通证券股份有限公司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38</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玄元保险代理有限公司</w:t>
            </w:r>
          </w:p>
        </w:tc>
      </w:tr>
      <w:tr w:rsidR="001530C0">
        <w:trPr>
          <w:trHeight w:val="482"/>
          <w:jc w:val="center"/>
        </w:trPr>
        <w:tc>
          <w:tcPr>
            <w:tcW w:w="855" w:type="dxa"/>
            <w:tcMar>
              <w:top w:w="0" w:type="dxa"/>
              <w:left w:w="108" w:type="dxa"/>
              <w:bottom w:w="0" w:type="dxa"/>
              <w:right w:w="108" w:type="dxa"/>
            </w:tcMar>
            <w:vAlign w:val="center"/>
          </w:tcPr>
          <w:p w:rsidR="001530C0" w:rsidRDefault="008B7920">
            <w:pPr>
              <w:spacing w:line="360" w:lineRule="auto"/>
              <w:jc w:val="center"/>
            </w:pPr>
            <w:r>
              <w:rPr>
                <w:rFonts w:hint="eastAsia"/>
              </w:rPr>
              <w:t>39</w:t>
            </w:r>
          </w:p>
        </w:tc>
        <w:tc>
          <w:tcPr>
            <w:tcW w:w="3981" w:type="dxa"/>
            <w:tcMar>
              <w:top w:w="0" w:type="dxa"/>
              <w:left w:w="108" w:type="dxa"/>
              <w:bottom w:w="0" w:type="dxa"/>
              <w:right w:w="108" w:type="dxa"/>
            </w:tcMar>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阳光人寿保险股份有限公司</w:t>
            </w:r>
          </w:p>
        </w:tc>
      </w:tr>
    </w:tbl>
    <w:p w:rsidR="001530C0" w:rsidRDefault="001530C0">
      <w:pPr>
        <w:autoSpaceDE w:val="0"/>
        <w:autoSpaceDN w:val="0"/>
        <w:adjustRightInd w:val="0"/>
        <w:spacing w:before="29" w:line="360" w:lineRule="auto"/>
        <w:ind w:left="15"/>
        <w:jc w:val="left"/>
      </w:pPr>
    </w:p>
    <w:p w:rsidR="001530C0" w:rsidRDefault="008B7920">
      <w:pPr>
        <w:adjustRightInd w:val="0"/>
        <w:spacing w:before="29" w:line="360" w:lineRule="auto"/>
        <w:ind w:firstLineChars="200" w:firstLine="420"/>
        <w:jc w:val="left"/>
      </w:pPr>
      <w:r>
        <w:rPr>
          <w:rFonts w:hint="eastAsia"/>
        </w:rPr>
        <w:t>本基金的销售机构请详见基金管理人官网公示的销售机构信息表。基金管理人可根据有关法律法规的要求，选择其它符合要求的机构销售本基金，并在基金管理人网站公示。</w:t>
      </w:r>
    </w:p>
    <w:p w:rsidR="001530C0" w:rsidRDefault="001530C0">
      <w:pPr>
        <w:autoSpaceDE w:val="0"/>
        <w:autoSpaceDN w:val="0"/>
        <w:adjustRightInd w:val="0"/>
        <w:spacing w:before="29" w:line="360" w:lineRule="auto"/>
        <w:ind w:left="15"/>
        <w:jc w:val="left"/>
      </w:pPr>
    </w:p>
    <w:p w:rsidR="001530C0" w:rsidRDefault="008B7920">
      <w:pPr>
        <w:autoSpaceDE w:val="0"/>
        <w:autoSpaceDN w:val="0"/>
        <w:adjustRightInd w:val="0"/>
        <w:spacing w:before="29" w:line="360" w:lineRule="auto"/>
        <w:ind w:left="15"/>
        <w:jc w:val="left"/>
        <w:rPr>
          <w:rFonts w:ascii="Times New Roman" w:hAnsi="Times New Roman" w:cs="Times New Roman"/>
          <w:b/>
          <w:bCs/>
          <w:color w:val="000000"/>
          <w:kern w:val="0"/>
        </w:rPr>
      </w:pPr>
      <w:r>
        <w:rPr>
          <w:rFonts w:hint="eastAsia"/>
          <w:b/>
        </w:rPr>
        <w:t>7</w:t>
      </w:r>
      <w:r>
        <w:rPr>
          <w:b/>
        </w:rPr>
        <w:t xml:space="preserve">.1.2.2 </w:t>
      </w:r>
      <w:r>
        <w:rPr>
          <w:rFonts w:hint="eastAsia"/>
          <w:b/>
        </w:rPr>
        <w:t>办理本基金定期定额投资业务的非直销机构</w:t>
      </w:r>
    </w:p>
    <w:p w:rsidR="001530C0" w:rsidRDefault="001530C0">
      <w:pPr>
        <w:autoSpaceDE w:val="0"/>
        <w:autoSpaceDN w:val="0"/>
        <w:adjustRightInd w:val="0"/>
        <w:spacing w:before="29" w:line="360" w:lineRule="auto"/>
        <w:ind w:left="15"/>
        <w:jc w:val="left"/>
        <w:rPr>
          <w:rFonts w:ascii="Times New Roman" w:hAnsi="Times New Roman" w:cs="Times New Roman"/>
          <w:b/>
          <w:bCs/>
          <w:color w:val="000000"/>
          <w:kern w:val="0"/>
        </w:rPr>
      </w:pPr>
    </w:p>
    <w:tbl>
      <w:tblPr>
        <w:tblW w:w="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5"/>
        <w:gridCol w:w="3981"/>
      </w:tblGrid>
      <w:tr w:rsidR="001530C0">
        <w:trPr>
          <w:trHeight w:val="480"/>
          <w:jc w:val="center"/>
        </w:trPr>
        <w:tc>
          <w:tcPr>
            <w:tcW w:w="855" w:type="dxa"/>
            <w:vAlign w:val="center"/>
          </w:tcPr>
          <w:p w:rsidR="001530C0" w:rsidRDefault="008B7920">
            <w:pPr>
              <w:spacing w:line="360" w:lineRule="auto"/>
              <w:jc w:val="center"/>
              <w:rPr>
                <w:rFonts w:ascii="等线" w:eastAsia="等线" w:hAnsi="等线"/>
                <w:color w:val="000000"/>
              </w:rPr>
            </w:pPr>
            <w:r>
              <w:rPr>
                <w:rFonts w:ascii="宋体" w:hAnsi="宋体" w:hint="eastAsia"/>
                <w:color w:val="000000"/>
              </w:rPr>
              <w:t>序号</w:t>
            </w:r>
          </w:p>
        </w:tc>
        <w:tc>
          <w:tcPr>
            <w:tcW w:w="3981" w:type="dxa"/>
            <w:vAlign w:val="center"/>
          </w:tcPr>
          <w:p w:rsidR="001530C0" w:rsidRDefault="008B7920">
            <w:pPr>
              <w:spacing w:line="360" w:lineRule="auto"/>
              <w:jc w:val="center"/>
              <w:rPr>
                <w:rFonts w:ascii="宋体" w:hAnsi="宋体"/>
                <w:color w:val="000000"/>
                <w:kern w:val="0"/>
                <w:lang/>
              </w:rPr>
            </w:pPr>
            <w:r>
              <w:rPr>
                <w:rFonts w:ascii="宋体" w:hAnsi="宋体" w:hint="eastAsia"/>
              </w:rPr>
              <w:t>代销机构</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ascii="宋体" w:hAnsi="宋体"/>
                <w:color w:val="000000"/>
              </w:rPr>
              <w:t>1</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鼎信汇金（北京）投资管理有限公司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ascii="宋体" w:hAnsi="宋体"/>
                <w:color w:val="000000"/>
              </w:rPr>
              <w:t>2</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深圳市新兰德证券投资咨询有限公司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ascii="宋体" w:hAnsi="宋体" w:hint="eastAsia"/>
                <w:color w:val="000000"/>
              </w:rPr>
              <w:t>3</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和讯信息科技有限公司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ascii="宋体" w:hAnsi="宋体" w:hint="eastAsia"/>
                <w:color w:val="000000"/>
              </w:rPr>
              <w:t>4</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江苏汇林保大基金销售有限公司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ascii="宋体" w:hAnsi="宋体" w:hint="eastAsia"/>
                <w:color w:val="000000"/>
              </w:rPr>
              <w:t>5</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众惠基金销售有限公司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t>6</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贵州省贵文文化基金销售有限公司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t>7</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腾安基金销售（深圳）有限公司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8</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博时财富基金销售有限公司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9</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诺亚正行基金销售有限公司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10</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深圳众禄基金销售股份有限公司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11</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上海天天基金销售有限公司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12</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上海好买基金销售有限公司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13</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蚂蚁（杭州）基金销售有限公司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14</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上海长量基金销售有限公司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15</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浙江同花顺基金销售有限公司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16</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上海利得基金销售有限公司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17</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嘉实财富管理有限公司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18</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泛华普益基金销售有限公司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19</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宜信普泽（北京）基金销售有限公司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20</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南京苏宁基金销售有限公司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21</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通华财富（上海）基金销售有限公司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22</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上海大智慧基金销售有限公司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23</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北京新浪仓石基金销售有限公司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24</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上海万得基金销售有限公司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25</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上海国信嘉利基金销售有限公司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26</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上海联泰基金销售有限公司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27</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珠海盈米基金销售有限公司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28</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和耕传承基金销售有限公司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29</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奕丰基金销售有限公司</w:t>
            </w:r>
          </w:p>
        </w:tc>
      </w:tr>
      <w:tr w:rsidR="001530C0">
        <w:trPr>
          <w:trHeight w:val="480"/>
          <w:jc w:val="center"/>
        </w:trPr>
        <w:tc>
          <w:tcPr>
            <w:tcW w:w="855" w:type="dxa"/>
            <w:vAlign w:val="center"/>
          </w:tcPr>
          <w:p w:rsidR="001530C0" w:rsidRDefault="008B7920">
            <w:pPr>
              <w:spacing w:line="360" w:lineRule="auto"/>
              <w:jc w:val="center"/>
              <w:rPr>
                <w:rFonts w:ascii="宋体" w:hAnsi="宋体"/>
                <w:color w:val="000000"/>
              </w:rPr>
            </w:pPr>
            <w:r>
              <w:rPr>
                <w:rFonts w:hint="eastAsia"/>
              </w:rPr>
              <w:t>30</w:t>
            </w:r>
          </w:p>
        </w:tc>
        <w:tc>
          <w:tcPr>
            <w:tcW w:w="3981" w:type="dxa"/>
            <w:vAlign w:val="center"/>
          </w:tcPr>
          <w:p w:rsidR="001530C0" w:rsidRDefault="008B7920">
            <w:pPr>
              <w:widowControl/>
              <w:jc w:val="left"/>
              <w:textAlignment w:val="center"/>
              <w:rPr>
                <w:rFonts w:ascii="宋体" w:hAnsi="宋体"/>
                <w:color w:val="000000"/>
                <w:kern w:val="0"/>
              </w:rPr>
            </w:pPr>
            <w:r>
              <w:rPr>
                <w:rFonts w:ascii="宋体" w:hAnsi="宋体" w:hint="eastAsia"/>
                <w:color w:val="000000"/>
                <w:kern w:val="0"/>
                <w:sz w:val="22"/>
                <w:szCs w:val="22"/>
                <w:lang/>
              </w:rPr>
              <w:t>上海爱建基金销售有限公司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31</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京东肯特瑞基金销售有限公司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32</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大连网金基金销售有限公司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33</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上海证达通基金销售有限公司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34</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北京雪球基金销售有限公司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35</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万家财富基金销售（天津）有限公司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36</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金融街证券股份有限公司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37</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财通证券股份有限公司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38</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玄元保险代理有限公司</w:t>
            </w:r>
          </w:p>
        </w:tc>
      </w:tr>
      <w:tr w:rsidR="001530C0">
        <w:trPr>
          <w:trHeight w:val="480"/>
          <w:jc w:val="center"/>
        </w:trPr>
        <w:tc>
          <w:tcPr>
            <w:tcW w:w="855" w:type="dxa"/>
            <w:vAlign w:val="center"/>
          </w:tcPr>
          <w:p w:rsidR="001530C0" w:rsidRDefault="008B7920">
            <w:pPr>
              <w:spacing w:line="360" w:lineRule="auto"/>
              <w:jc w:val="center"/>
            </w:pPr>
            <w:r>
              <w:rPr>
                <w:rFonts w:hint="eastAsia"/>
              </w:rPr>
              <w:t>39</w:t>
            </w:r>
          </w:p>
        </w:tc>
        <w:tc>
          <w:tcPr>
            <w:tcW w:w="3981" w:type="dxa"/>
            <w:vAlign w:val="center"/>
          </w:tcPr>
          <w:p w:rsidR="001530C0" w:rsidRDefault="008B7920">
            <w:pPr>
              <w:widowControl/>
              <w:jc w:val="left"/>
              <w:textAlignment w:val="center"/>
              <w:rPr>
                <w:rFonts w:ascii="宋体" w:hAnsi="宋体"/>
                <w:color w:val="000000"/>
                <w:kern w:val="0"/>
                <w:sz w:val="22"/>
                <w:szCs w:val="22"/>
                <w:lang/>
              </w:rPr>
            </w:pPr>
            <w:r>
              <w:rPr>
                <w:rFonts w:ascii="宋体" w:hAnsi="宋体" w:hint="eastAsia"/>
                <w:color w:val="000000"/>
                <w:kern w:val="0"/>
                <w:sz w:val="22"/>
                <w:szCs w:val="22"/>
                <w:lang/>
              </w:rPr>
              <w:t>阳光人寿保险股份有限公司</w:t>
            </w:r>
          </w:p>
        </w:tc>
      </w:tr>
    </w:tbl>
    <w:p w:rsidR="001530C0" w:rsidRDefault="001530C0">
      <w:pPr>
        <w:autoSpaceDE w:val="0"/>
        <w:autoSpaceDN w:val="0"/>
        <w:adjustRightInd w:val="0"/>
        <w:spacing w:before="29" w:line="360" w:lineRule="auto"/>
        <w:ind w:left="15"/>
        <w:jc w:val="left"/>
        <w:rPr>
          <w:rFonts w:ascii="Times New Roman" w:hAnsi="Times New Roman" w:cs="Times New Roman"/>
          <w:b/>
          <w:bCs/>
          <w:color w:val="000000"/>
          <w:kern w:val="0"/>
        </w:rPr>
      </w:pPr>
    </w:p>
    <w:p w:rsidR="001530C0" w:rsidRDefault="001530C0">
      <w:pPr>
        <w:autoSpaceDE w:val="0"/>
        <w:autoSpaceDN w:val="0"/>
        <w:adjustRightInd w:val="0"/>
        <w:spacing w:before="29" w:line="360" w:lineRule="auto"/>
        <w:jc w:val="left"/>
        <w:rPr>
          <w:rFonts w:ascii="Times New Roman" w:hAnsi="Times New Roman" w:cs="Times New Roman"/>
          <w:b/>
          <w:bCs/>
          <w:color w:val="000000"/>
          <w:kern w:val="0"/>
        </w:rPr>
      </w:pPr>
    </w:p>
    <w:p w:rsidR="001530C0" w:rsidRDefault="008B7920">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8</w:t>
      </w:r>
      <w:r>
        <w:rPr>
          <w:rFonts w:ascii="Times New Roman" w:hAnsi="Times New Roman" w:cs="Times New Roman"/>
          <w:b/>
          <w:bCs/>
          <w:color w:val="000000"/>
          <w:kern w:val="0"/>
        </w:rPr>
        <w:t xml:space="preserve"> </w:t>
      </w:r>
      <w:r>
        <w:rPr>
          <w:rFonts w:ascii="Times New Roman" w:hAnsi="Times New Roman" w:hint="eastAsia"/>
          <w:b/>
          <w:bCs/>
          <w:color w:val="000000"/>
          <w:kern w:val="0"/>
        </w:rPr>
        <w:t>基金份额净值公告的披露安排</w:t>
      </w:r>
    </w:p>
    <w:p w:rsidR="001530C0" w:rsidRDefault="008B7920">
      <w:pPr>
        <w:pStyle w:val="11"/>
        <w:autoSpaceDE w:val="0"/>
        <w:autoSpaceDN w:val="0"/>
        <w:adjustRightInd w:val="0"/>
        <w:spacing w:line="360" w:lineRule="auto"/>
        <w:ind w:firstLineChars="0"/>
        <w:jc w:val="left"/>
        <w:rPr>
          <w:rFonts w:ascii="Arial" w:hAnsi="宋体" w:cs="Arial"/>
        </w:rPr>
      </w:pPr>
      <w:r>
        <w:rPr>
          <w:rFonts w:ascii="Arial" w:hAnsi="宋体" w:cs="Arial" w:hint="eastAsia"/>
        </w:rPr>
        <w:t>在开始办理基金份额申购或者赎回后，基金管理人应当在不晚于每个开放日的次日，通过规定网站、基金销售机构网站或者营业网点，披露开放日的基金份额净值和基金份额累计净值。</w:t>
      </w:r>
    </w:p>
    <w:p w:rsidR="001530C0" w:rsidRDefault="001530C0">
      <w:pPr>
        <w:pStyle w:val="11"/>
        <w:autoSpaceDE w:val="0"/>
        <w:autoSpaceDN w:val="0"/>
        <w:adjustRightInd w:val="0"/>
        <w:spacing w:line="360" w:lineRule="auto"/>
        <w:ind w:firstLineChars="0"/>
        <w:jc w:val="left"/>
        <w:rPr>
          <w:rFonts w:ascii="Arial" w:hAnsi="宋体" w:cs="Arial"/>
        </w:rPr>
      </w:pPr>
    </w:p>
    <w:p w:rsidR="001530C0" w:rsidRDefault="008B7920">
      <w:pPr>
        <w:pStyle w:val="ae"/>
        <w:numPr>
          <w:ilvl w:val="255"/>
          <w:numId w:val="0"/>
        </w:numPr>
        <w:autoSpaceDE w:val="0"/>
        <w:autoSpaceDN w:val="0"/>
        <w:adjustRightInd w:val="0"/>
        <w:spacing w:line="360" w:lineRule="auto"/>
        <w:jc w:val="left"/>
        <w:rPr>
          <w:rFonts w:ascii="Arial" w:hAnsi="宋体" w:cs="Arial"/>
        </w:rPr>
      </w:pPr>
      <w:r>
        <w:rPr>
          <w:rFonts w:ascii="Times New Roman" w:hAnsi="Times New Roman" w:hint="eastAsia"/>
          <w:b/>
          <w:bCs/>
          <w:color w:val="000000"/>
          <w:kern w:val="0"/>
        </w:rPr>
        <w:t xml:space="preserve">9 </w:t>
      </w:r>
      <w:r>
        <w:rPr>
          <w:rFonts w:ascii="Times New Roman" w:hAnsi="Times New Roman" w:hint="eastAsia"/>
          <w:b/>
          <w:bCs/>
          <w:color w:val="000000"/>
          <w:kern w:val="0"/>
        </w:rPr>
        <w:t>其他需要提示的事项</w:t>
      </w:r>
    </w:p>
    <w:p w:rsidR="001530C0" w:rsidRDefault="008B7920">
      <w:pPr>
        <w:pStyle w:val="11"/>
        <w:autoSpaceDE w:val="0"/>
        <w:autoSpaceDN w:val="0"/>
        <w:adjustRightInd w:val="0"/>
        <w:spacing w:line="360" w:lineRule="auto"/>
        <w:jc w:val="left"/>
        <w:rPr>
          <w:rFonts w:ascii="宋体" w:hAnsi="宋体" w:cs="Arial"/>
        </w:rPr>
      </w:pPr>
      <w:r>
        <w:rPr>
          <w:rFonts w:ascii="宋体" w:hAnsi="宋体" w:cs="Arial" w:hint="eastAsia"/>
        </w:rPr>
        <w:t>（</w:t>
      </w:r>
      <w:r>
        <w:rPr>
          <w:rFonts w:ascii="宋体" w:hAnsi="宋体" w:cs="Arial" w:hint="eastAsia"/>
        </w:rPr>
        <w:t>1</w:t>
      </w:r>
      <w:r>
        <w:rPr>
          <w:rFonts w:ascii="宋体" w:hAnsi="宋体" w:cs="Arial" w:hint="eastAsia"/>
        </w:rPr>
        <w:t>）上述代销机构和直销机构均受理投资者的申购和赎回等业务。本基金若增加、调整直销机构或场外非直销机构，本公司将在官网上公示，敬请投资者留意。</w:t>
      </w:r>
    </w:p>
    <w:p w:rsidR="001530C0" w:rsidRDefault="008B7920">
      <w:pPr>
        <w:pStyle w:val="11"/>
        <w:autoSpaceDE w:val="0"/>
        <w:autoSpaceDN w:val="0"/>
        <w:adjustRightInd w:val="0"/>
        <w:spacing w:line="360" w:lineRule="auto"/>
        <w:jc w:val="left"/>
        <w:rPr>
          <w:rFonts w:ascii="宋体" w:hAnsi="宋体" w:cs="Arial"/>
        </w:rPr>
      </w:pPr>
      <w:r>
        <w:rPr>
          <w:rFonts w:ascii="宋体" w:hAnsi="宋体" w:cs="Arial" w:hint="eastAsia"/>
        </w:rPr>
        <w:t>（</w:t>
      </w:r>
      <w:r>
        <w:rPr>
          <w:rFonts w:ascii="宋体" w:hAnsi="宋体" w:cs="Arial" w:hint="eastAsia"/>
        </w:rPr>
        <w:t>2</w:t>
      </w:r>
      <w:r>
        <w:rPr>
          <w:rFonts w:ascii="宋体" w:hAnsi="宋体" w:cs="Arial" w:hint="eastAsia"/>
        </w:rPr>
        <w:t>）基金管理人可在法律法规允许的情况下，调整上述规定申购金额</w:t>
      </w:r>
      <w:r>
        <w:t>、赎回份额</w:t>
      </w:r>
      <w:r>
        <w:rPr>
          <w:rFonts w:ascii="宋体" w:hAnsi="宋体" w:cs="Arial" w:hint="eastAsia"/>
        </w:rPr>
        <w:t>和最低基金份额保留余额等数量限制。基金管理人必须在调整实施前依照《信息披露办法》的有关规定在规定媒介上公告。</w:t>
      </w:r>
    </w:p>
    <w:p w:rsidR="001530C0" w:rsidRDefault="008B7920">
      <w:pPr>
        <w:pStyle w:val="11"/>
        <w:autoSpaceDE w:val="0"/>
        <w:autoSpaceDN w:val="0"/>
        <w:adjustRightInd w:val="0"/>
        <w:spacing w:line="360" w:lineRule="auto"/>
        <w:jc w:val="left"/>
        <w:rPr>
          <w:rFonts w:ascii="宋体" w:hAnsi="宋体"/>
        </w:rPr>
      </w:pPr>
      <w:r>
        <w:rPr>
          <w:rFonts w:ascii="宋体" w:hAnsi="宋体" w:hint="eastAsia"/>
          <w:color w:val="000000"/>
          <w:kern w:val="0"/>
        </w:rPr>
        <w:t>（</w:t>
      </w:r>
      <w:r>
        <w:rPr>
          <w:rFonts w:ascii="宋体" w:hAnsi="宋体"/>
          <w:color w:val="000000"/>
          <w:kern w:val="0"/>
        </w:rPr>
        <w:t>3</w:t>
      </w:r>
      <w:r>
        <w:rPr>
          <w:rFonts w:ascii="宋体" w:hAnsi="宋体" w:hint="eastAsia"/>
          <w:color w:val="000000"/>
          <w:kern w:val="0"/>
        </w:rPr>
        <w:t>）</w:t>
      </w:r>
      <w:r>
        <w:rPr>
          <w:rFonts w:ascii="宋体" w:hAnsi="宋体"/>
        </w:rPr>
        <w:t>本公告仅对本基金开放日常申购</w:t>
      </w:r>
      <w:r>
        <w:rPr>
          <w:rFonts w:ascii="宋体" w:hAnsi="宋体" w:hint="eastAsia"/>
        </w:rPr>
        <w:t>、赎回、转换和定期定额投资业务</w:t>
      </w:r>
      <w:r>
        <w:rPr>
          <w:rFonts w:ascii="宋体" w:hAnsi="宋体"/>
        </w:rPr>
        <w:t>相关事项予以说明。投资者欲了解本基金的详细情况，请详细阅读</w:t>
      </w:r>
      <w:r>
        <w:rPr>
          <w:rFonts w:ascii="Times New Roman" w:hAnsi="Times New Roman" w:hint="eastAsia"/>
          <w:color w:val="000000"/>
          <w:kern w:val="0"/>
        </w:rPr>
        <w:t>《财通资管量化选股股票型发起式证券投资基金基金合同》、《</w:t>
      </w:r>
      <w:r>
        <w:rPr>
          <w:rFonts w:ascii="Times New Roman" w:hAnsi="Times New Roman" w:cs="Times New Roman" w:hint="eastAsia"/>
          <w:color w:val="000000"/>
          <w:kern w:val="0"/>
        </w:rPr>
        <w:t>财通资管量化选股股票型发起式证券投资基金</w:t>
      </w:r>
      <w:r>
        <w:rPr>
          <w:rFonts w:ascii="Times New Roman" w:hAnsi="Times New Roman" w:hint="eastAsia"/>
          <w:color w:val="000000"/>
          <w:kern w:val="0"/>
        </w:rPr>
        <w:t>招募说明书》</w:t>
      </w:r>
      <w:r>
        <w:rPr>
          <w:rFonts w:ascii="宋体" w:hAnsi="宋体"/>
        </w:rPr>
        <w:t>等法律文件。</w:t>
      </w:r>
    </w:p>
    <w:p w:rsidR="001530C0" w:rsidRDefault="008B7920">
      <w:pPr>
        <w:pStyle w:val="11"/>
        <w:autoSpaceDE w:val="0"/>
        <w:autoSpaceDN w:val="0"/>
        <w:adjustRightInd w:val="0"/>
        <w:spacing w:line="360" w:lineRule="auto"/>
        <w:jc w:val="left"/>
        <w:rPr>
          <w:rFonts w:ascii="宋体" w:hAnsi="宋体"/>
          <w:color w:val="000000"/>
          <w:kern w:val="0"/>
        </w:rPr>
      </w:pPr>
      <w:r>
        <w:rPr>
          <w:rFonts w:ascii="宋体" w:hAnsi="宋体" w:hint="eastAsia"/>
          <w:color w:val="000000"/>
          <w:kern w:val="0"/>
        </w:rPr>
        <w:t>（</w:t>
      </w:r>
      <w:r>
        <w:rPr>
          <w:rFonts w:ascii="宋体" w:hAnsi="宋体"/>
          <w:color w:val="000000"/>
          <w:kern w:val="0"/>
        </w:rPr>
        <w:t>4</w:t>
      </w:r>
      <w:r>
        <w:rPr>
          <w:rFonts w:ascii="宋体" w:hAnsi="宋体" w:hint="eastAsia"/>
          <w:color w:val="000000"/>
          <w:kern w:val="0"/>
        </w:rPr>
        <w:t>）有关本基金开放申购、赎回、转换</w:t>
      </w:r>
      <w:r>
        <w:rPr>
          <w:rFonts w:ascii="宋体" w:hAnsi="宋体" w:hint="eastAsia"/>
        </w:rPr>
        <w:t>和定期定额投资业务</w:t>
      </w:r>
      <w:r>
        <w:rPr>
          <w:rFonts w:ascii="宋体" w:hAnsi="宋体" w:hint="eastAsia"/>
          <w:color w:val="000000"/>
          <w:kern w:val="0"/>
        </w:rPr>
        <w:t>的具体规定若有变化，本公司将另行公告。</w:t>
      </w:r>
    </w:p>
    <w:p w:rsidR="001530C0" w:rsidRDefault="008B7920">
      <w:pPr>
        <w:pStyle w:val="11"/>
        <w:autoSpaceDE w:val="0"/>
        <w:autoSpaceDN w:val="0"/>
        <w:adjustRightInd w:val="0"/>
        <w:spacing w:line="360" w:lineRule="auto"/>
        <w:jc w:val="left"/>
        <w:rPr>
          <w:rFonts w:ascii="宋体" w:hAnsi="宋体" w:cs="Arial"/>
        </w:rPr>
      </w:pPr>
      <w:r>
        <w:rPr>
          <w:rFonts w:ascii="宋体" w:hAnsi="宋体" w:cs="Arial" w:hint="eastAsia"/>
        </w:rPr>
        <w:t>（</w:t>
      </w:r>
      <w:r>
        <w:rPr>
          <w:rFonts w:ascii="宋体" w:hAnsi="宋体" w:cs="Arial"/>
        </w:rPr>
        <w:t>5</w:t>
      </w:r>
      <w:r>
        <w:rPr>
          <w:rFonts w:ascii="宋体" w:hAnsi="宋体" w:cs="Arial" w:hint="eastAsia"/>
        </w:rPr>
        <w:t>）投资者应及时通过本基金销售网点或致电本基金管理人客服热线</w:t>
      </w:r>
      <w:r>
        <w:rPr>
          <w:rFonts w:ascii="宋体" w:hAnsi="宋体" w:cs="Arial"/>
        </w:rPr>
        <w:t>400</w:t>
      </w:r>
      <w:r>
        <w:rPr>
          <w:rFonts w:ascii="宋体" w:hAnsi="宋体" w:cs="Arial" w:hint="eastAsia"/>
        </w:rPr>
        <w:t>-</w:t>
      </w:r>
      <w:r>
        <w:rPr>
          <w:rFonts w:ascii="宋体" w:hAnsi="宋体" w:cs="Arial"/>
        </w:rPr>
        <w:t>116</w:t>
      </w:r>
      <w:r>
        <w:rPr>
          <w:rFonts w:ascii="宋体" w:hAnsi="宋体" w:cs="Arial" w:hint="eastAsia"/>
        </w:rPr>
        <w:t>-</w:t>
      </w:r>
      <w:r>
        <w:rPr>
          <w:rFonts w:ascii="宋体" w:hAnsi="宋体" w:cs="Arial"/>
        </w:rPr>
        <w:t>7888</w:t>
      </w:r>
      <w:r>
        <w:rPr>
          <w:rFonts w:ascii="宋体" w:hAnsi="宋体" w:cs="Arial" w:hint="eastAsia"/>
        </w:rPr>
        <w:t>或登录本公司网站</w:t>
      </w:r>
      <w:r>
        <w:rPr>
          <w:rFonts w:ascii="宋体" w:hAnsi="宋体" w:cs="Arial"/>
        </w:rPr>
        <w:t>www.ctzg.com</w:t>
      </w:r>
      <w:r>
        <w:rPr>
          <w:rFonts w:ascii="宋体" w:hAnsi="宋体" w:cs="Arial" w:hint="eastAsia"/>
        </w:rPr>
        <w:t>查询其申购、赎回申请的确认情况。</w:t>
      </w:r>
    </w:p>
    <w:p w:rsidR="001530C0" w:rsidRDefault="008B7920">
      <w:pPr>
        <w:pStyle w:val="11"/>
        <w:autoSpaceDE w:val="0"/>
        <w:autoSpaceDN w:val="0"/>
        <w:adjustRightInd w:val="0"/>
        <w:spacing w:line="360" w:lineRule="auto"/>
        <w:jc w:val="left"/>
        <w:rPr>
          <w:rFonts w:ascii="宋体" w:hAnsi="宋体" w:cs="Times New Roman"/>
          <w:color w:val="000000"/>
          <w:kern w:val="0"/>
        </w:rPr>
      </w:pPr>
      <w:r>
        <w:rPr>
          <w:rFonts w:ascii="宋体" w:hAnsi="宋体" w:cs="Times New Roman" w:hint="eastAsia"/>
          <w:color w:val="000000"/>
          <w:kern w:val="0"/>
        </w:rPr>
        <w:t>（</w:t>
      </w:r>
      <w:r>
        <w:rPr>
          <w:rFonts w:ascii="宋体" w:hAnsi="宋体" w:cs="Times New Roman"/>
          <w:color w:val="000000"/>
          <w:kern w:val="0"/>
        </w:rPr>
        <w:t>6</w:t>
      </w:r>
      <w:r>
        <w:rPr>
          <w:rFonts w:ascii="宋体" w:hAnsi="宋体" w:cs="Times New Roman" w:hint="eastAsia"/>
          <w:color w:val="000000"/>
          <w:kern w:val="0"/>
        </w:rPr>
        <w:t>）风险提示：</w:t>
      </w:r>
    </w:p>
    <w:p w:rsidR="001530C0" w:rsidRDefault="008B7920">
      <w:pPr>
        <w:pStyle w:val="11"/>
        <w:autoSpaceDE w:val="0"/>
        <w:autoSpaceDN w:val="0"/>
        <w:adjustRightInd w:val="0"/>
        <w:spacing w:line="360" w:lineRule="auto"/>
        <w:jc w:val="left"/>
        <w:rPr>
          <w:rFonts w:ascii="宋体" w:hAnsi="宋体"/>
        </w:rPr>
      </w:pPr>
      <w:r>
        <w:rPr>
          <w:rFonts w:ascii="宋体" w:hAnsi="宋体" w:cs="Times New Roman"/>
          <w:color w:val="000000"/>
          <w:kern w:val="0"/>
        </w:rPr>
        <w:t>1</w:t>
      </w:r>
      <w:r>
        <w:rPr>
          <w:rFonts w:ascii="宋体" w:hAnsi="宋体" w:cs="Times New Roman" w:hint="eastAsia"/>
          <w:color w:val="000000"/>
          <w:kern w:val="0"/>
        </w:rPr>
        <w:t>、基金管理人承诺以诚实信用、勤勉尽责的原则管理和运用基金资产，但不保证基金一定盈利，也不保证最低收益。投资者投资于本基金前应认真阅读本基金的基金合同、招募说明书及基金产品资</w:t>
      </w:r>
      <w:r>
        <w:rPr>
          <w:rFonts w:ascii="宋体" w:hAnsi="宋体" w:cs="Times New Roman" w:hint="eastAsia"/>
          <w:color w:val="000000"/>
          <w:kern w:val="0"/>
        </w:rPr>
        <w:t>料概要等法律文件。</w:t>
      </w:r>
      <w:r>
        <w:rPr>
          <w:rFonts w:ascii="宋体" w:hAnsi="宋体"/>
        </w:rPr>
        <w:t>基金的过往业绩不预示未来表现，基金管理人管理的其他基金的业绩并不构成基金业绩表现的保证。</w:t>
      </w:r>
    </w:p>
    <w:p w:rsidR="001530C0" w:rsidRDefault="008B7920">
      <w:pPr>
        <w:pStyle w:val="11"/>
        <w:autoSpaceDE w:val="0"/>
        <w:autoSpaceDN w:val="0"/>
        <w:adjustRightInd w:val="0"/>
        <w:spacing w:line="360" w:lineRule="auto"/>
        <w:jc w:val="left"/>
        <w:rPr>
          <w:rFonts w:ascii="宋体" w:hAnsi="宋体" w:cs="Times New Roman"/>
          <w:color w:val="000000"/>
          <w:kern w:val="0"/>
        </w:rPr>
      </w:pPr>
      <w:r>
        <w:rPr>
          <w:rFonts w:ascii="宋体" w:hAnsi="宋体" w:cs="Times New Roman" w:hint="eastAsia"/>
          <w:color w:val="000000"/>
          <w:kern w:val="0"/>
        </w:rPr>
        <w:t>2</w:t>
      </w:r>
      <w:r>
        <w:rPr>
          <w:rFonts w:ascii="宋体" w:hAnsi="宋体" w:cs="Times New Roman" w:hint="eastAsia"/>
          <w:color w:val="000000"/>
          <w:kern w:val="0"/>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1530C0" w:rsidRDefault="001530C0">
      <w:pPr>
        <w:autoSpaceDE w:val="0"/>
        <w:autoSpaceDN w:val="0"/>
        <w:adjustRightInd w:val="0"/>
        <w:spacing w:line="360" w:lineRule="auto"/>
        <w:ind w:firstLine="435"/>
        <w:jc w:val="left"/>
        <w:rPr>
          <w:rFonts w:ascii="Times New Roman" w:hAnsi="Times New Roman" w:cs="Times New Roman"/>
          <w:color w:val="000000"/>
          <w:kern w:val="0"/>
        </w:rPr>
      </w:pPr>
    </w:p>
    <w:p w:rsidR="001530C0" w:rsidRDefault="008B7920">
      <w:pPr>
        <w:autoSpaceDE w:val="0"/>
        <w:autoSpaceDN w:val="0"/>
        <w:adjustRightInd w:val="0"/>
        <w:spacing w:line="360" w:lineRule="auto"/>
        <w:ind w:firstLine="435"/>
        <w:jc w:val="left"/>
        <w:rPr>
          <w:rFonts w:ascii="Times New Roman" w:hAnsi="Times New Roman"/>
          <w:color w:val="000000"/>
          <w:kern w:val="0"/>
        </w:rPr>
      </w:pPr>
      <w:r>
        <w:rPr>
          <w:rFonts w:ascii="Times New Roman" w:hAnsi="Times New Roman" w:hint="eastAsia"/>
          <w:color w:val="000000"/>
          <w:kern w:val="0"/>
        </w:rPr>
        <w:t>特此公告。</w:t>
      </w:r>
    </w:p>
    <w:p w:rsidR="001530C0" w:rsidRDefault="001530C0">
      <w:pPr>
        <w:autoSpaceDE w:val="0"/>
        <w:autoSpaceDN w:val="0"/>
        <w:adjustRightInd w:val="0"/>
        <w:spacing w:line="360" w:lineRule="auto"/>
        <w:ind w:firstLine="435"/>
        <w:jc w:val="left"/>
        <w:rPr>
          <w:rFonts w:ascii="Times New Roman" w:hAnsi="Times New Roman"/>
          <w:color w:val="000000"/>
          <w:kern w:val="0"/>
        </w:rPr>
      </w:pPr>
    </w:p>
    <w:p w:rsidR="001530C0" w:rsidRDefault="008B7920">
      <w:pPr>
        <w:autoSpaceDE w:val="0"/>
        <w:autoSpaceDN w:val="0"/>
        <w:adjustRightInd w:val="0"/>
        <w:spacing w:line="360" w:lineRule="auto"/>
        <w:ind w:firstLine="435"/>
        <w:jc w:val="right"/>
        <w:rPr>
          <w:rFonts w:ascii="Times New Roman" w:hAnsi="Times New Roman"/>
          <w:color w:val="000000"/>
          <w:kern w:val="0"/>
        </w:rPr>
      </w:pPr>
      <w:r>
        <w:rPr>
          <w:rFonts w:ascii="Times New Roman" w:hAnsi="Times New Roman" w:hint="eastAsia"/>
          <w:color w:val="000000"/>
          <w:kern w:val="0"/>
        </w:rPr>
        <w:t>财通证券资产管理有限公司</w:t>
      </w:r>
    </w:p>
    <w:p w:rsidR="001530C0" w:rsidRDefault="008B7920">
      <w:pPr>
        <w:autoSpaceDE w:val="0"/>
        <w:autoSpaceDN w:val="0"/>
        <w:adjustRightInd w:val="0"/>
        <w:spacing w:line="360" w:lineRule="auto"/>
        <w:ind w:firstLine="435"/>
        <w:jc w:val="right"/>
        <w:rPr>
          <w:rFonts w:ascii="Times New Roman" w:hAnsi="Times New Roman" w:cs="Times New Roman"/>
          <w:color w:val="000000"/>
          <w:kern w:val="0"/>
        </w:rPr>
      </w:pPr>
      <w:r>
        <w:rPr>
          <w:rFonts w:ascii="Times New Roman" w:hAnsi="Times New Roman" w:cs="Times New Roman"/>
          <w:color w:val="000000"/>
          <w:kern w:val="0"/>
        </w:rPr>
        <w:t>20</w:t>
      </w:r>
      <w:r>
        <w:rPr>
          <w:rFonts w:ascii="Times New Roman" w:hAnsi="Times New Roman" w:cs="Times New Roman" w:hint="eastAsia"/>
          <w:color w:val="000000"/>
          <w:kern w:val="0"/>
        </w:rPr>
        <w:t>26</w:t>
      </w:r>
      <w:r>
        <w:rPr>
          <w:rFonts w:ascii="Times New Roman" w:hAnsi="Times New Roman" w:cs="Times New Roman" w:hint="eastAsia"/>
          <w:color w:val="000000"/>
          <w:kern w:val="0"/>
        </w:rPr>
        <w:t>年</w:t>
      </w:r>
      <w:r>
        <w:rPr>
          <w:rFonts w:ascii="Times New Roman" w:hAnsi="Times New Roman" w:cs="Times New Roman" w:hint="eastAsia"/>
          <w:color w:val="000000"/>
          <w:kern w:val="0"/>
        </w:rPr>
        <w:t>2</w:t>
      </w:r>
      <w:r>
        <w:rPr>
          <w:rFonts w:ascii="Times New Roman" w:hAnsi="Times New Roman" w:cs="Times New Roman" w:hint="eastAsia"/>
          <w:color w:val="000000"/>
          <w:kern w:val="0"/>
        </w:rPr>
        <w:t>月</w:t>
      </w:r>
      <w:r>
        <w:rPr>
          <w:rFonts w:ascii="Times New Roman" w:hAnsi="Times New Roman" w:cs="Times New Roman" w:hint="eastAsia"/>
          <w:color w:val="000000"/>
          <w:kern w:val="0"/>
        </w:rPr>
        <w:t>13</w:t>
      </w:r>
      <w:r>
        <w:rPr>
          <w:rFonts w:ascii="Times New Roman" w:hAnsi="Times New Roman" w:cs="Times New Roman" w:hint="eastAsia"/>
          <w:color w:val="000000"/>
          <w:kern w:val="0"/>
        </w:rPr>
        <w:t>日</w:t>
      </w:r>
    </w:p>
    <w:sectPr w:rsidR="001530C0" w:rsidSect="001530C0">
      <w:headerReference w:type="default" r:id="rId8"/>
      <w:footerReference w:type="default" r:id="rId9"/>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0C0" w:rsidRDefault="001530C0" w:rsidP="001530C0">
      <w:r>
        <w:separator/>
      </w:r>
    </w:p>
  </w:endnote>
  <w:endnote w:type="continuationSeparator" w:id="0">
    <w:p w:rsidR="001530C0" w:rsidRDefault="001530C0" w:rsidP="00153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0C0" w:rsidRDefault="001530C0">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0C0" w:rsidRDefault="001530C0" w:rsidP="001530C0">
      <w:r>
        <w:separator/>
      </w:r>
    </w:p>
  </w:footnote>
  <w:footnote w:type="continuationSeparator" w:id="0">
    <w:p w:rsidR="001530C0" w:rsidRDefault="001530C0" w:rsidP="00153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0C0" w:rsidRDefault="008B7920">
    <w:pPr>
      <w:autoSpaceDE w:val="0"/>
      <w:autoSpaceDN w:val="0"/>
      <w:adjustRightInd w:val="0"/>
      <w:jc w:val="left"/>
      <w:rPr>
        <w:rFonts w:ascii="Arial" w:cs="Arial"/>
        <w:kern w:val="0"/>
        <w:sz w:val="24"/>
        <w:szCs w:val="24"/>
      </w:rPr>
    </w:pPr>
    <w:r>
      <w:rPr>
        <w:rFonts w:ascii="宋体" w:hAnsi="宋体"/>
        <w:noProof/>
      </w:rPr>
      <w:drawing>
        <wp:inline distT="0" distB="0" distL="0" distR="0">
          <wp:extent cx="2066925" cy="352425"/>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73022" cy="353402"/>
                  </a:xfrm>
                  <a:prstGeom prst="rect">
                    <a:avLst/>
                  </a:prstGeom>
                  <a:noFill/>
                  <a:ln>
                    <a:noFill/>
                  </a:ln>
                </pic:spPr>
              </pic:pic>
            </a:graphicData>
          </a:graphic>
        </wp:inline>
      </w:drawing>
    </w:r>
  </w:p>
  <w:tbl>
    <w:tblPr>
      <w:tblW w:w="9030" w:type="dxa"/>
      <w:tblInd w:w="108" w:type="dxa"/>
      <w:tblLayout w:type="fixed"/>
      <w:tblLook w:val="04A0"/>
    </w:tblPr>
    <w:tblGrid>
      <w:gridCol w:w="9030"/>
    </w:tblGrid>
    <w:tr w:rsidR="001530C0">
      <w:tc>
        <w:tcPr>
          <w:tcW w:w="9030" w:type="dxa"/>
          <w:tcBorders>
            <w:top w:val="single" w:sz="8" w:space="0" w:color="000000"/>
            <w:left w:val="nil"/>
            <w:bottom w:val="nil"/>
            <w:right w:val="nil"/>
          </w:tcBorders>
        </w:tcPr>
        <w:p w:rsidR="001530C0" w:rsidRDefault="001530C0">
          <w:pPr>
            <w:autoSpaceDE w:val="0"/>
            <w:autoSpaceDN w:val="0"/>
            <w:adjustRightInd w:val="0"/>
            <w:jc w:val="left"/>
            <w:rPr>
              <w:rFonts w:ascii="Arial" w:cs="Arial"/>
              <w:color w:val="000000"/>
              <w:kern w:val="0"/>
              <w:sz w:val="24"/>
              <w:szCs w:val="24"/>
            </w:rPr>
          </w:pPr>
        </w:p>
      </w:tc>
    </w:tr>
  </w:tbl>
  <w:p w:rsidR="001530C0" w:rsidRDefault="001530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8FB75"/>
    <w:multiLevelType w:val="singleLevel"/>
    <w:tmpl w:val="2FF8FB7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930BC"/>
    <w:rsid w:val="000069BE"/>
    <w:rsid w:val="00014665"/>
    <w:rsid w:val="00032C0C"/>
    <w:rsid w:val="00034D7F"/>
    <w:rsid w:val="000479CF"/>
    <w:rsid w:val="000510FB"/>
    <w:rsid w:val="00057D4D"/>
    <w:rsid w:val="0006322D"/>
    <w:rsid w:val="000659E9"/>
    <w:rsid w:val="0007254E"/>
    <w:rsid w:val="0007572F"/>
    <w:rsid w:val="00083494"/>
    <w:rsid w:val="00094535"/>
    <w:rsid w:val="00095159"/>
    <w:rsid w:val="00096492"/>
    <w:rsid w:val="000A28A1"/>
    <w:rsid w:val="000A78B8"/>
    <w:rsid w:val="000C6144"/>
    <w:rsid w:val="000C6868"/>
    <w:rsid w:val="000C6A19"/>
    <w:rsid w:val="000C7B0A"/>
    <w:rsid w:val="000C7F46"/>
    <w:rsid w:val="000D3A19"/>
    <w:rsid w:val="000E18E9"/>
    <w:rsid w:val="000E1E00"/>
    <w:rsid w:val="000E7B1F"/>
    <w:rsid w:val="001016FC"/>
    <w:rsid w:val="00101DCF"/>
    <w:rsid w:val="0013128A"/>
    <w:rsid w:val="001519EC"/>
    <w:rsid w:val="001530C0"/>
    <w:rsid w:val="00172215"/>
    <w:rsid w:val="00172481"/>
    <w:rsid w:val="00174472"/>
    <w:rsid w:val="0017455E"/>
    <w:rsid w:val="00177C62"/>
    <w:rsid w:val="00181DE1"/>
    <w:rsid w:val="00187336"/>
    <w:rsid w:val="001A27BA"/>
    <w:rsid w:val="001C67B8"/>
    <w:rsid w:val="001D263D"/>
    <w:rsid w:val="001E6327"/>
    <w:rsid w:val="001F24AB"/>
    <w:rsid w:val="00211123"/>
    <w:rsid w:val="00214104"/>
    <w:rsid w:val="002315CB"/>
    <w:rsid w:val="00251789"/>
    <w:rsid w:val="002664D4"/>
    <w:rsid w:val="00275399"/>
    <w:rsid w:val="00287751"/>
    <w:rsid w:val="002A13AF"/>
    <w:rsid w:val="002A283E"/>
    <w:rsid w:val="002B4452"/>
    <w:rsid w:val="002B609E"/>
    <w:rsid w:val="002C455D"/>
    <w:rsid w:val="002C63A4"/>
    <w:rsid w:val="002D71E0"/>
    <w:rsid w:val="002E255D"/>
    <w:rsid w:val="002E3A16"/>
    <w:rsid w:val="002E4960"/>
    <w:rsid w:val="002E7B97"/>
    <w:rsid w:val="002F0FBD"/>
    <w:rsid w:val="002F6731"/>
    <w:rsid w:val="00311C6D"/>
    <w:rsid w:val="00313184"/>
    <w:rsid w:val="00322077"/>
    <w:rsid w:val="0032245B"/>
    <w:rsid w:val="00327355"/>
    <w:rsid w:val="0033479F"/>
    <w:rsid w:val="003421F5"/>
    <w:rsid w:val="003451C2"/>
    <w:rsid w:val="0034550A"/>
    <w:rsid w:val="0035779D"/>
    <w:rsid w:val="003806E6"/>
    <w:rsid w:val="00381477"/>
    <w:rsid w:val="00391077"/>
    <w:rsid w:val="00391BFF"/>
    <w:rsid w:val="003A032A"/>
    <w:rsid w:val="003B54D9"/>
    <w:rsid w:val="003C7FA6"/>
    <w:rsid w:val="003E3428"/>
    <w:rsid w:val="003F6719"/>
    <w:rsid w:val="003F729E"/>
    <w:rsid w:val="003F74AA"/>
    <w:rsid w:val="004061BF"/>
    <w:rsid w:val="004179D3"/>
    <w:rsid w:val="004345E6"/>
    <w:rsid w:val="00436964"/>
    <w:rsid w:val="0044037C"/>
    <w:rsid w:val="00455FD9"/>
    <w:rsid w:val="00464E86"/>
    <w:rsid w:val="00464FE7"/>
    <w:rsid w:val="00477385"/>
    <w:rsid w:val="004907F0"/>
    <w:rsid w:val="004930BC"/>
    <w:rsid w:val="00496795"/>
    <w:rsid w:val="004A09F4"/>
    <w:rsid w:val="004A6575"/>
    <w:rsid w:val="004A7CD6"/>
    <w:rsid w:val="004B5D5A"/>
    <w:rsid w:val="004B7682"/>
    <w:rsid w:val="004C307B"/>
    <w:rsid w:val="004D6E45"/>
    <w:rsid w:val="004E4191"/>
    <w:rsid w:val="00533A5F"/>
    <w:rsid w:val="0054124D"/>
    <w:rsid w:val="005509DC"/>
    <w:rsid w:val="00557562"/>
    <w:rsid w:val="00563042"/>
    <w:rsid w:val="00563899"/>
    <w:rsid w:val="00570127"/>
    <w:rsid w:val="00573A3E"/>
    <w:rsid w:val="00586238"/>
    <w:rsid w:val="0058630F"/>
    <w:rsid w:val="005930E4"/>
    <w:rsid w:val="0059505D"/>
    <w:rsid w:val="005A48C6"/>
    <w:rsid w:val="005A6E03"/>
    <w:rsid w:val="005B23DE"/>
    <w:rsid w:val="005B5DBC"/>
    <w:rsid w:val="005D1D55"/>
    <w:rsid w:val="005E23E2"/>
    <w:rsid w:val="005E4790"/>
    <w:rsid w:val="005E479C"/>
    <w:rsid w:val="005F0EA0"/>
    <w:rsid w:val="005F25C5"/>
    <w:rsid w:val="00603172"/>
    <w:rsid w:val="00604966"/>
    <w:rsid w:val="006050EE"/>
    <w:rsid w:val="006117D0"/>
    <w:rsid w:val="006154E9"/>
    <w:rsid w:val="0063649C"/>
    <w:rsid w:val="00654EB9"/>
    <w:rsid w:val="00663546"/>
    <w:rsid w:val="006651ED"/>
    <w:rsid w:val="00666546"/>
    <w:rsid w:val="0067289C"/>
    <w:rsid w:val="00680C9A"/>
    <w:rsid w:val="00695ABA"/>
    <w:rsid w:val="006B5F28"/>
    <w:rsid w:val="006F4E29"/>
    <w:rsid w:val="006F502D"/>
    <w:rsid w:val="00730588"/>
    <w:rsid w:val="007377C7"/>
    <w:rsid w:val="007523A8"/>
    <w:rsid w:val="00763D4B"/>
    <w:rsid w:val="007670CB"/>
    <w:rsid w:val="007A3DAF"/>
    <w:rsid w:val="007A4C22"/>
    <w:rsid w:val="007D1FD1"/>
    <w:rsid w:val="007D3060"/>
    <w:rsid w:val="007F6D57"/>
    <w:rsid w:val="008039FB"/>
    <w:rsid w:val="00813DF7"/>
    <w:rsid w:val="00817119"/>
    <w:rsid w:val="00820D5C"/>
    <w:rsid w:val="0083167A"/>
    <w:rsid w:val="0084677F"/>
    <w:rsid w:val="00852BEA"/>
    <w:rsid w:val="008556CF"/>
    <w:rsid w:val="00855C0C"/>
    <w:rsid w:val="008659F0"/>
    <w:rsid w:val="00880520"/>
    <w:rsid w:val="00886085"/>
    <w:rsid w:val="00895BC5"/>
    <w:rsid w:val="008B0943"/>
    <w:rsid w:val="008B0A4D"/>
    <w:rsid w:val="008B6D6F"/>
    <w:rsid w:val="008B7920"/>
    <w:rsid w:val="008C5514"/>
    <w:rsid w:val="008D3656"/>
    <w:rsid w:val="008F1931"/>
    <w:rsid w:val="008F19DB"/>
    <w:rsid w:val="009006F3"/>
    <w:rsid w:val="00907428"/>
    <w:rsid w:val="0092516B"/>
    <w:rsid w:val="00934E15"/>
    <w:rsid w:val="00953358"/>
    <w:rsid w:val="009565A5"/>
    <w:rsid w:val="00957893"/>
    <w:rsid w:val="009679CB"/>
    <w:rsid w:val="009771ED"/>
    <w:rsid w:val="00985E0F"/>
    <w:rsid w:val="009873EE"/>
    <w:rsid w:val="009972C7"/>
    <w:rsid w:val="00997434"/>
    <w:rsid w:val="009A2A4A"/>
    <w:rsid w:val="009A50A9"/>
    <w:rsid w:val="009A6704"/>
    <w:rsid w:val="009B440E"/>
    <w:rsid w:val="009C2D2B"/>
    <w:rsid w:val="009D24FC"/>
    <w:rsid w:val="009E1125"/>
    <w:rsid w:val="009E1C95"/>
    <w:rsid w:val="009E45E8"/>
    <w:rsid w:val="00A00714"/>
    <w:rsid w:val="00A026D9"/>
    <w:rsid w:val="00A16FCF"/>
    <w:rsid w:val="00A22C95"/>
    <w:rsid w:val="00A22F50"/>
    <w:rsid w:val="00A236C7"/>
    <w:rsid w:val="00A31074"/>
    <w:rsid w:val="00A445E9"/>
    <w:rsid w:val="00A449AB"/>
    <w:rsid w:val="00A54B72"/>
    <w:rsid w:val="00A765D1"/>
    <w:rsid w:val="00A77DC6"/>
    <w:rsid w:val="00A86167"/>
    <w:rsid w:val="00AB3C43"/>
    <w:rsid w:val="00AC0596"/>
    <w:rsid w:val="00AC0972"/>
    <w:rsid w:val="00AC4010"/>
    <w:rsid w:val="00AD03A3"/>
    <w:rsid w:val="00AD79F9"/>
    <w:rsid w:val="00B259D4"/>
    <w:rsid w:val="00B348D0"/>
    <w:rsid w:val="00B35F7A"/>
    <w:rsid w:val="00B36409"/>
    <w:rsid w:val="00B41BAE"/>
    <w:rsid w:val="00B62603"/>
    <w:rsid w:val="00B72F52"/>
    <w:rsid w:val="00B758BE"/>
    <w:rsid w:val="00B77405"/>
    <w:rsid w:val="00B8223B"/>
    <w:rsid w:val="00B85DED"/>
    <w:rsid w:val="00B913B7"/>
    <w:rsid w:val="00B9225B"/>
    <w:rsid w:val="00B939A8"/>
    <w:rsid w:val="00B97682"/>
    <w:rsid w:val="00BA4E02"/>
    <w:rsid w:val="00BB09EC"/>
    <w:rsid w:val="00BD5AD9"/>
    <w:rsid w:val="00BE7FEF"/>
    <w:rsid w:val="00BF1544"/>
    <w:rsid w:val="00BF78BF"/>
    <w:rsid w:val="00C00851"/>
    <w:rsid w:val="00C03BE4"/>
    <w:rsid w:val="00C03C4F"/>
    <w:rsid w:val="00C15D4E"/>
    <w:rsid w:val="00C467AC"/>
    <w:rsid w:val="00C52B09"/>
    <w:rsid w:val="00C52F02"/>
    <w:rsid w:val="00C5391B"/>
    <w:rsid w:val="00C736B7"/>
    <w:rsid w:val="00C851B4"/>
    <w:rsid w:val="00C85A73"/>
    <w:rsid w:val="00C90BEC"/>
    <w:rsid w:val="00C945E6"/>
    <w:rsid w:val="00CB4FA1"/>
    <w:rsid w:val="00CE1015"/>
    <w:rsid w:val="00CE43E7"/>
    <w:rsid w:val="00CE7D95"/>
    <w:rsid w:val="00CF5A28"/>
    <w:rsid w:val="00D04371"/>
    <w:rsid w:val="00D0596C"/>
    <w:rsid w:val="00D268D4"/>
    <w:rsid w:val="00D445AF"/>
    <w:rsid w:val="00D515CE"/>
    <w:rsid w:val="00D71FA9"/>
    <w:rsid w:val="00D8220B"/>
    <w:rsid w:val="00DC1412"/>
    <w:rsid w:val="00DF0B2C"/>
    <w:rsid w:val="00DF0E0A"/>
    <w:rsid w:val="00DF177E"/>
    <w:rsid w:val="00DF1F78"/>
    <w:rsid w:val="00DF5039"/>
    <w:rsid w:val="00E03536"/>
    <w:rsid w:val="00E06327"/>
    <w:rsid w:val="00E20257"/>
    <w:rsid w:val="00E22207"/>
    <w:rsid w:val="00E249D6"/>
    <w:rsid w:val="00E30412"/>
    <w:rsid w:val="00E30521"/>
    <w:rsid w:val="00E36BF1"/>
    <w:rsid w:val="00E40B3B"/>
    <w:rsid w:val="00E564EE"/>
    <w:rsid w:val="00E676C3"/>
    <w:rsid w:val="00E7568A"/>
    <w:rsid w:val="00E81C27"/>
    <w:rsid w:val="00E922CC"/>
    <w:rsid w:val="00E95DBE"/>
    <w:rsid w:val="00EA1AD6"/>
    <w:rsid w:val="00EC019E"/>
    <w:rsid w:val="00ED5896"/>
    <w:rsid w:val="00F07700"/>
    <w:rsid w:val="00F15B21"/>
    <w:rsid w:val="00F2098B"/>
    <w:rsid w:val="00F20C88"/>
    <w:rsid w:val="00F35E9A"/>
    <w:rsid w:val="00F40750"/>
    <w:rsid w:val="00F564D6"/>
    <w:rsid w:val="00F60833"/>
    <w:rsid w:val="00F627F3"/>
    <w:rsid w:val="00F72547"/>
    <w:rsid w:val="00F76D04"/>
    <w:rsid w:val="00F87284"/>
    <w:rsid w:val="00F9744F"/>
    <w:rsid w:val="00FA415C"/>
    <w:rsid w:val="00FA4680"/>
    <w:rsid w:val="00FA5EB1"/>
    <w:rsid w:val="00FB2B1D"/>
    <w:rsid w:val="00FB317E"/>
    <w:rsid w:val="00FB62AA"/>
    <w:rsid w:val="00FC1C79"/>
    <w:rsid w:val="00FC343B"/>
    <w:rsid w:val="00FD39C0"/>
    <w:rsid w:val="00FE538D"/>
    <w:rsid w:val="00FE74D9"/>
    <w:rsid w:val="00FF3A6E"/>
    <w:rsid w:val="01C347BA"/>
    <w:rsid w:val="032338E1"/>
    <w:rsid w:val="061165F0"/>
    <w:rsid w:val="075A6B02"/>
    <w:rsid w:val="075E1F7F"/>
    <w:rsid w:val="076F15B7"/>
    <w:rsid w:val="07852DBD"/>
    <w:rsid w:val="07B94814"/>
    <w:rsid w:val="07CB05CF"/>
    <w:rsid w:val="085B3CC8"/>
    <w:rsid w:val="0866202F"/>
    <w:rsid w:val="0AFB5144"/>
    <w:rsid w:val="0B1E1C49"/>
    <w:rsid w:val="0D72249E"/>
    <w:rsid w:val="0ECC307F"/>
    <w:rsid w:val="0F3B4580"/>
    <w:rsid w:val="0F7947AC"/>
    <w:rsid w:val="10714C24"/>
    <w:rsid w:val="13543578"/>
    <w:rsid w:val="14A16D5C"/>
    <w:rsid w:val="14C26638"/>
    <w:rsid w:val="14E16FC4"/>
    <w:rsid w:val="16B74615"/>
    <w:rsid w:val="186B1C52"/>
    <w:rsid w:val="187B5F30"/>
    <w:rsid w:val="18B74DA0"/>
    <w:rsid w:val="1ACD0E11"/>
    <w:rsid w:val="1BE30887"/>
    <w:rsid w:val="1C1C76D8"/>
    <w:rsid w:val="1DF75120"/>
    <w:rsid w:val="2042195B"/>
    <w:rsid w:val="22E7414C"/>
    <w:rsid w:val="22E82E33"/>
    <w:rsid w:val="23144B9D"/>
    <w:rsid w:val="23D656F1"/>
    <w:rsid w:val="242E14D2"/>
    <w:rsid w:val="25125311"/>
    <w:rsid w:val="25CC1D02"/>
    <w:rsid w:val="27C748D4"/>
    <w:rsid w:val="2AAD1B5F"/>
    <w:rsid w:val="2AC56DDF"/>
    <w:rsid w:val="2B5327A4"/>
    <w:rsid w:val="2B605322"/>
    <w:rsid w:val="2D3C71CA"/>
    <w:rsid w:val="2D823E72"/>
    <w:rsid w:val="2DAB21B9"/>
    <w:rsid w:val="2DFC488F"/>
    <w:rsid w:val="2FEC7E92"/>
    <w:rsid w:val="3136160D"/>
    <w:rsid w:val="31A007D6"/>
    <w:rsid w:val="31B17C9A"/>
    <w:rsid w:val="31D515C8"/>
    <w:rsid w:val="35127E80"/>
    <w:rsid w:val="351739D3"/>
    <w:rsid w:val="361E7DB5"/>
    <w:rsid w:val="37384EA6"/>
    <w:rsid w:val="37464789"/>
    <w:rsid w:val="388168AC"/>
    <w:rsid w:val="38894BCD"/>
    <w:rsid w:val="39F5707E"/>
    <w:rsid w:val="3BA80141"/>
    <w:rsid w:val="3C853843"/>
    <w:rsid w:val="3F3F35E6"/>
    <w:rsid w:val="3FBB0422"/>
    <w:rsid w:val="409C46F8"/>
    <w:rsid w:val="42EE614C"/>
    <w:rsid w:val="46281130"/>
    <w:rsid w:val="46D226F3"/>
    <w:rsid w:val="491B5ED3"/>
    <w:rsid w:val="492800BE"/>
    <w:rsid w:val="4B15132F"/>
    <w:rsid w:val="4B3B7FB4"/>
    <w:rsid w:val="4BBF129A"/>
    <w:rsid w:val="4E3356C1"/>
    <w:rsid w:val="4E561AC0"/>
    <w:rsid w:val="53C06B21"/>
    <w:rsid w:val="543D0CD0"/>
    <w:rsid w:val="545E68EB"/>
    <w:rsid w:val="56B65B12"/>
    <w:rsid w:val="5705520C"/>
    <w:rsid w:val="57FB21F7"/>
    <w:rsid w:val="5A4C63EF"/>
    <w:rsid w:val="5B4672E2"/>
    <w:rsid w:val="5C1A1745"/>
    <w:rsid w:val="5DA86032"/>
    <w:rsid w:val="5E0E525B"/>
    <w:rsid w:val="5F464C32"/>
    <w:rsid w:val="5FAC0FC5"/>
    <w:rsid w:val="60E32902"/>
    <w:rsid w:val="621006AA"/>
    <w:rsid w:val="63B46CB8"/>
    <w:rsid w:val="63D83D00"/>
    <w:rsid w:val="653463FD"/>
    <w:rsid w:val="66B928D0"/>
    <w:rsid w:val="69127F39"/>
    <w:rsid w:val="6D8D3903"/>
    <w:rsid w:val="71F65166"/>
    <w:rsid w:val="746A5998"/>
    <w:rsid w:val="759727BC"/>
    <w:rsid w:val="77E72419"/>
    <w:rsid w:val="78C0027C"/>
    <w:rsid w:val="78D41F79"/>
    <w:rsid w:val="7985255A"/>
    <w:rsid w:val="7A91405E"/>
    <w:rsid w:val="7C0E6FFA"/>
    <w:rsid w:val="7C3D3992"/>
    <w:rsid w:val="7C585015"/>
    <w:rsid w:val="7C95557C"/>
    <w:rsid w:val="7D9C2C20"/>
    <w:rsid w:val="7E0E28E1"/>
    <w:rsid w:val="7E5A61E2"/>
    <w:rsid w:val="7EED0ED0"/>
    <w:rsid w:val="7FFD61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lsdException w:name="footer" w:semiHidden="0"/>
    <w:lsdException w:name="caption" w:uiPriority="35"/>
    <w:lsdException w:name="annotation reference" w:semiHidden="0" w:unhideWhenUsed="0"/>
    <w:lsdException w:name="toa heading" w:semiHidden="0" w:unhideWhenUsed="0"/>
    <w:lsdException w:name="List Number" w:semiHidden="0" w:unhideWhenUsed="0"/>
    <w:lsdException w:name="List 2" w:semiHidden="0" w:unhideWhenUsed="0"/>
    <w:lsdException w:name="Title" w:semiHidden="0" w:uiPriority="10" w:unhideWhenUsed="0"/>
    <w:lsdException w:name="Default Paragraph Font" w:uiPriority="1" w:qFormat="0"/>
    <w:lsdException w:name="List Continue 4" w:semiHidden="0" w:unhideWhenUsed="0"/>
    <w:lsdException w:name="List Continue 5" w:semiHidden="0" w:unhideWhenUsed="0"/>
    <w:lsdException w:name="Message Header" w:semiHidden="0" w:unhideWhenUsed="0"/>
    <w:lsdException w:name="Subtitle" w:semiHidden="0" w:uiPriority="11" w:unhideWhenUsed="0"/>
    <w:lsdException w:name="Strong" w:semiHidden="0" w:uiPriority="22" w:unhideWhenUsed="0"/>
    <w:lsdException w:name="Emphasis" w:semiHidden="0" w:uiPriority="20" w:unhideWhenUsed="0"/>
    <w:lsdException w:name="HTML Top of Form" w:qFormat="0"/>
    <w:lsdException w:name="HTML Bottom of Form" w:qFormat="0"/>
    <w:lsdException w:name="Normal Table" w:qFormat="0"/>
    <w:lsdException w:name="annotation subject" w:semiHidden="0" w:unhideWhenUsed="0"/>
    <w:lsdException w:name="No List" w:qFormat="0"/>
    <w:lsdException w:name="Outline List 1" w:qFormat="0"/>
    <w:lsdException w:name="Outline List 2" w:qFormat="0"/>
    <w:lsdException w:name="Outline List 3" w:qFormat="0"/>
    <w:lsdException w:name="Balloon Text" w:semiHidden="0" w:unhideWhenUsed="0"/>
    <w:lsdException w:name="Table Grid" w:semiHidden="0" w:uiPriority="59"/>
    <w:lsdException w:name="Placeholder Text" w:qFormat="0"/>
    <w:lsdException w:name="No Spacing"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qFormat="0"/>
    <w:lsdException w:name="List Paragraph" w:semiHidden="0" w:unhideWhenUsed="0"/>
    <w:lsdException w:name="Quote" w:qFormat="0"/>
    <w:lsdException w:name="Intense Quote"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rsid w:val="001530C0"/>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1530C0"/>
    <w:pPr>
      <w:jc w:val="left"/>
    </w:pPr>
  </w:style>
  <w:style w:type="paragraph" w:styleId="a4">
    <w:name w:val="Date"/>
    <w:basedOn w:val="a"/>
    <w:next w:val="a"/>
    <w:link w:val="Char0"/>
    <w:uiPriority w:val="99"/>
    <w:semiHidden/>
    <w:unhideWhenUsed/>
    <w:qFormat/>
    <w:rsid w:val="001530C0"/>
    <w:pPr>
      <w:ind w:leftChars="2500" w:left="100"/>
    </w:pPr>
  </w:style>
  <w:style w:type="paragraph" w:styleId="a5">
    <w:name w:val="Balloon Text"/>
    <w:basedOn w:val="a"/>
    <w:link w:val="Char1"/>
    <w:uiPriority w:val="99"/>
    <w:qFormat/>
    <w:rsid w:val="001530C0"/>
    <w:rPr>
      <w:sz w:val="18"/>
      <w:szCs w:val="18"/>
    </w:rPr>
  </w:style>
  <w:style w:type="paragraph" w:styleId="a6">
    <w:name w:val="footer"/>
    <w:basedOn w:val="a"/>
    <w:link w:val="Char5"/>
    <w:uiPriority w:val="99"/>
    <w:unhideWhenUsed/>
    <w:qFormat/>
    <w:rsid w:val="001530C0"/>
    <w:pPr>
      <w:tabs>
        <w:tab w:val="center" w:pos="4153"/>
        <w:tab w:val="right" w:pos="8306"/>
      </w:tabs>
      <w:snapToGrid w:val="0"/>
      <w:jc w:val="left"/>
    </w:pPr>
    <w:rPr>
      <w:sz w:val="18"/>
      <w:szCs w:val="18"/>
    </w:rPr>
  </w:style>
  <w:style w:type="paragraph" w:styleId="a7">
    <w:name w:val="header"/>
    <w:basedOn w:val="a"/>
    <w:link w:val="Char50"/>
    <w:uiPriority w:val="99"/>
    <w:unhideWhenUsed/>
    <w:qFormat/>
    <w:rsid w:val="001530C0"/>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uiPriority w:val="99"/>
    <w:qFormat/>
    <w:rsid w:val="001530C0"/>
    <w:rPr>
      <w:b/>
      <w:bCs/>
    </w:rPr>
  </w:style>
  <w:style w:type="table" w:styleId="a9">
    <w:name w:val="Table Grid"/>
    <w:basedOn w:val="a1"/>
    <w:uiPriority w:val="59"/>
    <w:unhideWhenUsed/>
    <w:qFormat/>
    <w:rsid w:val="00153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1530C0"/>
    <w:rPr>
      <w:i/>
      <w:iCs/>
    </w:rPr>
  </w:style>
  <w:style w:type="character" w:styleId="ab">
    <w:name w:val="annotation reference"/>
    <w:basedOn w:val="a0"/>
    <w:uiPriority w:val="99"/>
    <w:qFormat/>
    <w:rsid w:val="001530C0"/>
    <w:rPr>
      <w:rFonts w:cs="Times New Roman"/>
      <w:sz w:val="21"/>
      <w:szCs w:val="21"/>
    </w:rPr>
  </w:style>
  <w:style w:type="character" w:customStyle="1" w:styleId="Char50">
    <w:name w:val="页眉 Char5"/>
    <w:basedOn w:val="a0"/>
    <w:link w:val="a7"/>
    <w:uiPriority w:val="99"/>
    <w:unhideWhenUsed/>
    <w:qFormat/>
    <w:locked/>
    <w:rsid w:val="001530C0"/>
    <w:rPr>
      <w:rFonts w:cs="Times New Roman"/>
      <w:sz w:val="18"/>
      <w:szCs w:val="18"/>
    </w:rPr>
  </w:style>
  <w:style w:type="character" w:customStyle="1" w:styleId="Char5">
    <w:name w:val="页脚 Char5"/>
    <w:basedOn w:val="a0"/>
    <w:link w:val="a6"/>
    <w:uiPriority w:val="99"/>
    <w:unhideWhenUsed/>
    <w:qFormat/>
    <w:locked/>
    <w:rsid w:val="001530C0"/>
    <w:rPr>
      <w:rFonts w:cs="Times New Roman"/>
      <w:sz w:val="18"/>
      <w:szCs w:val="18"/>
    </w:rPr>
  </w:style>
  <w:style w:type="character" w:customStyle="1" w:styleId="Char3">
    <w:name w:val="页脚 Char"/>
    <w:basedOn w:val="a0"/>
    <w:uiPriority w:val="99"/>
    <w:semiHidden/>
    <w:qFormat/>
    <w:rsid w:val="001530C0"/>
    <w:rPr>
      <w:rFonts w:ascii="Calibri" w:hAnsi="Calibri" w:cs="宋体"/>
      <w:sz w:val="18"/>
      <w:szCs w:val="18"/>
    </w:rPr>
  </w:style>
  <w:style w:type="character" w:customStyle="1" w:styleId="ac">
    <w:name w:val="页脚 字符"/>
    <w:basedOn w:val="a0"/>
    <w:uiPriority w:val="99"/>
    <w:semiHidden/>
    <w:qFormat/>
    <w:rsid w:val="001530C0"/>
    <w:rPr>
      <w:rFonts w:ascii="Calibri" w:hAnsi="Calibri" w:cs="宋体"/>
      <w:sz w:val="18"/>
      <w:szCs w:val="18"/>
    </w:rPr>
  </w:style>
  <w:style w:type="character" w:customStyle="1" w:styleId="Char20">
    <w:name w:val="页脚 Char2"/>
    <w:basedOn w:val="a0"/>
    <w:uiPriority w:val="99"/>
    <w:semiHidden/>
    <w:qFormat/>
    <w:rsid w:val="001530C0"/>
    <w:rPr>
      <w:rFonts w:ascii="Calibri" w:hAnsi="Calibri" w:cs="宋体"/>
      <w:sz w:val="18"/>
      <w:szCs w:val="18"/>
    </w:rPr>
  </w:style>
  <w:style w:type="character" w:customStyle="1" w:styleId="Char4">
    <w:name w:val="页脚 Char4"/>
    <w:basedOn w:val="a0"/>
    <w:uiPriority w:val="99"/>
    <w:semiHidden/>
    <w:qFormat/>
    <w:rsid w:val="001530C0"/>
    <w:rPr>
      <w:rFonts w:ascii="Calibri" w:hAnsi="Calibri" w:cs="宋体"/>
      <w:sz w:val="18"/>
      <w:szCs w:val="18"/>
    </w:rPr>
  </w:style>
  <w:style w:type="character" w:customStyle="1" w:styleId="Char30">
    <w:name w:val="页脚 Char3"/>
    <w:basedOn w:val="a0"/>
    <w:uiPriority w:val="99"/>
    <w:semiHidden/>
    <w:qFormat/>
    <w:rsid w:val="001530C0"/>
    <w:rPr>
      <w:rFonts w:ascii="Calibri" w:hAnsi="Calibri" w:cs="宋体"/>
      <w:sz w:val="18"/>
      <w:szCs w:val="18"/>
    </w:rPr>
  </w:style>
  <w:style w:type="character" w:customStyle="1" w:styleId="1">
    <w:name w:val="页脚 字符1"/>
    <w:basedOn w:val="a0"/>
    <w:uiPriority w:val="99"/>
    <w:semiHidden/>
    <w:qFormat/>
    <w:rsid w:val="001530C0"/>
    <w:rPr>
      <w:rFonts w:ascii="Calibri" w:hAnsi="Calibri" w:cs="宋体"/>
      <w:sz w:val="18"/>
      <w:szCs w:val="18"/>
    </w:rPr>
  </w:style>
  <w:style w:type="character" w:customStyle="1" w:styleId="Char10">
    <w:name w:val="页脚 Char1"/>
    <w:basedOn w:val="a0"/>
    <w:uiPriority w:val="99"/>
    <w:semiHidden/>
    <w:qFormat/>
    <w:rsid w:val="001530C0"/>
    <w:rPr>
      <w:rFonts w:ascii="Calibri" w:hAnsi="Calibri" w:cs="宋体"/>
      <w:sz w:val="18"/>
      <w:szCs w:val="18"/>
    </w:rPr>
  </w:style>
  <w:style w:type="character" w:customStyle="1" w:styleId="Char11">
    <w:name w:val="页脚 Char11"/>
    <w:basedOn w:val="a0"/>
    <w:uiPriority w:val="99"/>
    <w:semiHidden/>
    <w:qFormat/>
    <w:rsid w:val="001530C0"/>
    <w:rPr>
      <w:rFonts w:ascii="Calibri" w:hAnsi="Calibri" w:cs="宋体"/>
      <w:sz w:val="18"/>
      <w:szCs w:val="18"/>
    </w:rPr>
  </w:style>
  <w:style w:type="character" w:customStyle="1" w:styleId="Char6">
    <w:name w:val="页眉 Char"/>
    <w:basedOn w:val="a0"/>
    <w:uiPriority w:val="99"/>
    <w:semiHidden/>
    <w:qFormat/>
    <w:rsid w:val="001530C0"/>
    <w:rPr>
      <w:rFonts w:ascii="Calibri" w:hAnsi="Calibri" w:cs="宋体"/>
      <w:sz w:val="18"/>
      <w:szCs w:val="18"/>
    </w:rPr>
  </w:style>
  <w:style w:type="character" w:customStyle="1" w:styleId="ad">
    <w:name w:val="页眉 字符"/>
    <w:basedOn w:val="a0"/>
    <w:uiPriority w:val="99"/>
    <w:semiHidden/>
    <w:qFormat/>
    <w:rsid w:val="001530C0"/>
    <w:rPr>
      <w:rFonts w:ascii="Calibri" w:hAnsi="Calibri" w:cs="宋体"/>
      <w:sz w:val="18"/>
      <w:szCs w:val="18"/>
    </w:rPr>
  </w:style>
  <w:style w:type="character" w:customStyle="1" w:styleId="Char21">
    <w:name w:val="页眉 Char2"/>
    <w:basedOn w:val="a0"/>
    <w:uiPriority w:val="99"/>
    <w:semiHidden/>
    <w:qFormat/>
    <w:rsid w:val="001530C0"/>
    <w:rPr>
      <w:rFonts w:ascii="Calibri" w:hAnsi="Calibri" w:cs="宋体"/>
      <w:sz w:val="18"/>
      <w:szCs w:val="18"/>
    </w:rPr>
  </w:style>
  <w:style w:type="character" w:customStyle="1" w:styleId="Char40">
    <w:name w:val="页眉 Char4"/>
    <w:basedOn w:val="a0"/>
    <w:uiPriority w:val="99"/>
    <w:semiHidden/>
    <w:qFormat/>
    <w:rsid w:val="001530C0"/>
    <w:rPr>
      <w:rFonts w:ascii="Calibri" w:hAnsi="Calibri" w:cs="宋体"/>
      <w:sz w:val="18"/>
      <w:szCs w:val="18"/>
    </w:rPr>
  </w:style>
  <w:style w:type="character" w:customStyle="1" w:styleId="Char31">
    <w:name w:val="页眉 Char3"/>
    <w:basedOn w:val="a0"/>
    <w:uiPriority w:val="99"/>
    <w:semiHidden/>
    <w:qFormat/>
    <w:rsid w:val="001530C0"/>
    <w:rPr>
      <w:rFonts w:ascii="Calibri" w:hAnsi="Calibri" w:cs="宋体"/>
      <w:sz w:val="18"/>
      <w:szCs w:val="18"/>
    </w:rPr>
  </w:style>
  <w:style w:type="character" w:customStyle="1" w:styleId="10">
    <w:name w:val="页眉 字符1"/>
    <w:basedOn w:val="a0"/>
    <w:uiPriority w:val="99"/>
    <w:semiHidden/>
    <w:qFormat/>
    <w:rsid w:val="001530C0"/>
    <w:rPr>
      <w:rFonts w:ascii="Calibri" w:hAnsi="Calibri" w:cs="宋体"/>
      <w:sz w:val="18"/>
      <w:szCs w:val="18"/>
    </w:rPr>
  </w:style>
  <w:style w:type="character" w:customStyle="1" w:styleId="Char12">
    <w:name w:val="页眉 Char1"/>
    <w:basedOn w:val="a0"/>
    <w:uiPriority w:val="99"/>
    <w:semiHidden/>
    <w:qFormat/>
    <w:rsid w:val="001530C0"/>
    <w:rPr>
      <w:rFonts w:ascii="Calibri" w:hAnsi="Calibri" w:cs="宋体"/>
      <w:sz w:val="18"/>
      <w:szCs w:val="18"/>
    </w:rPr>
  </w:style>
  <w:style w:type="character" w:customStyle="1" w:styleId="Char110">
    <w:name w:val="页眉 Char11"/>
    <w:basedOn w:val="a0"/>
    <w:uiPriority w:val="99"/>
    <w:semiHidden/>
    <w:qFormat/>
    <w:rsid w:val="001530C0"/>
    <w:rPr>
      <w:rFonts w:ascii="Calibri" w:hAnsi="Calibri" w:cs="宋体"/>
      <w:sz w:val="18"/>
      <w:szCs w:val="18"/>
    </w:rPr>
  </w:style>
  <w:style w:type="character" w:customStyle="1" w:styleId="Char2">
    <w:name w:val="批注主题 Char"/>
    <w:basedOn w:val="Char"/>
    <w:link w:val="a8"/>
    <w:uiPriority w:val="99"/>
    <w:qFormat/>
    <w:locked/>
    <w:rsid w:val="001530C0"/>
    <w:rPr>
      <w:rFonts w:ascii="Calibri" w:hAnsi="Calibri" w:cs="宋体"/>
      <w:b/>
      <w:bCs/>
      <w:sz w:val="21"/>
      <w:szCs w:val="21"/>
    </w:rPr>
  </w:style>
  <w:style w:type="character" w:customStyle="1" w:styleId="Char">
    <w:name w:val="批注文字 Char"/>
    <w:basedOn w:val="a0"/>
    <w:link w:val="a3"/>
    <w:uiPriority w:val="99"/>
    <w:qFormat/>
    <w:locked/>
    <w:rsid w:val="001530C0"/>
    <w:rPr>
      <w:rFonts w:ascii="Calibri" w:hAnsi="Calibri" w:cs="宋体"/>
      <w:sz w:val="21"/>
      <w:szCs w:val="21"/>
    </w:rPr>
  </w:style>
  <w:style w:type="character" w:customStyle="1" w:styleId="Char1">
    <w:name w:val="批注框文本 Char"/>
    <w:basedOn w:val="a0"/>
    <w:link w:val="a5"/>
    <w:uiPriority w:val="99"/>
    <w:qFormat/>
    <w:locked/>
    <w:rsid w:val="001530C0"/>
    <w:rPr>
      <w:rFonts w:ascii="Calibri" w:hAnsi="Calibri" w:cs="宋体"/>
      <w:sz w:val="18"/>
      <w:szCs w:val="18"/>
    </w:rPr>
  </w:style>
  <w:style w:type="paragraph" w:customStyle="1" w:styleId="11">
    <w:name w:val="列出段落1"/>
    <w:basedOn w:val="a"/>
    <w:uiPriority w:val="99"/>
    <w:qFormat/>
    <w:rsid w:val="001530C0"/>
    <w:pPr>
      <w:ind w:firstLineChars="200" w:firstLine="420"/>
    </w:pPr>
  </w:style>
  <w:style w:type="paragraph" w:styleId="ae">
    <w:name w:val="List Paragraph"/>
    <w:basedOn w:val="a"/>
    <w:uiPriority w:val="99"/>
    <w:qFormat/>
    <w:rsid w:val="001530C0"/>
    <w:pPr>
      <w:ind w:firstLineChars="200" w:firstLine="420"/>
    </w:pPr>
  </w:style>
  <w:style w:type="paragraph" w:customStyle="1" w:styleId="12">
    <w:name w:val="修订1"/>
    <w:hidden/>
    <w:uiPriority w:val="99"/>
    <w:semiHidden/>
    <w:qFormat/>
    <w:rsid w:val="001530C0"/>
    <w:rPr>
      <w:rFonts w:ascii="Calibri" w:hAnsi="Calibri" w:cs="宋体"/>
      <w:kern w:val="2"/>
      <w:sz w:val="21"/>
      <w:szCs w:val="21"/>
    </w:rPr>
  </w:style>
  <w:style w:type="paragraph" w:customStyle="1" w:styleId="2">
    <w:name w:val="修订2"/>
    <w:hidden/>
    <w:uiPriority w:val="99"/>
    <w:semiHidden/>
    <w:qFormat/>
    <w:rsid w:val="001530C0"/>
    <w:rPr>
      <w:rFonts w:ascii="Calibri" w:hAnsi="Calibri" w:cs="宋体"/>
      <w:kern w:val="2"/>
      <w:sz w:val="21"/>
      <w:szCs w:val="21"/>
    </w:rPr>
  </w:style>
  <w:style w:type="character" w:customStyle="1" w:styleId="Char0">
    <w:name w:val="日期 Char"/>
    <w:basedOn w:val="a0"/>
    <w:link w:val="a4"/>
    <w:uiPriority w:val="99"/>
    <w:semiHidden/>
    <w:qFormat/>
    <w:rsid w:val="001530C0"/>
    <w:rPr>
      <w:rFonts w:ascii="Calibri" w:hAnsi="Calibri" w:cs="宋体"/>
      <w:kern w:val="2"/>
      <w:sz w:val="21"/>
      <w:szCs w:val="21"/>
    </w:rPr>
  </w:style>
  <w:style w:type="paragraph" w:customStyle="1" w:styleId="3">
    <w:name w:val="修订3"/>
    <w:hidden/>
    <w:uiPriority w:val="99"/>
    <w:semiHidden/>
    <w:qFormat/>
    <w:rsid w:val="001530C0"/>
    <w:rPr>
      <w:rFonts w:ascii="Calibri" w:hAnsi="Calibri" w:cs="宋体"/>
      <w:kern w:val="2"/>
      <w:sz w:val="21"/>
      <w:szCs w:val="21"/>
    </w:rPr>
  </w:style>
  <w:style w:type="paragraph" w:customStyle="1" w:styleId="4">
    <w:name w:val="修订4"/>
    <w:hidden/>
    <w:uiPriority w:val="99"/>
    <w:unhideWhenUsed/>
    <w:qFormat/>
    <w:rsid w:val="001530C0"/>
    <w:rPr>
      <w:rFonts w:ascii="Calibri" w:hAnsi="Calibri" w:cs="宋体"/>
      <w:kern w:val="2"/>
      <w:sz w:val="21"/>
      <w:szCs w:val="21"/>
    </w:rPr>
  </w:style>
  <w:style w:type="paragraph" w:customStyle="1" w:styleId="5">
    <w:name w:val="修订5"/>
    <w:hidden/>
    <w:uiPriority w:val="99"/>
    <w:unhideWhenUsed/>
    <w:qFormat/>
    <w:rsid w:val="001530C0"/>
    <w:rPr>
      <w:rFonts w:ascii="Calibri" w:hAnsi="Calibri" w:cs="宋体"/>
      <w:kern w:val="2"/>
      <w:sz w:val="21"/>
      <w:szCs w:val="21"/>
    </w:rPr>
  </w:style>
  <w:style w:type="paragraph" w:customStyle="1" w:styleId="6">
    <w:name w:val="修订6"/>
    <w:hidden/>
    <w:uiPriority w:val="99"/>
    <w:unhideWhenUsed/>
    <w:qFormat/>
    <w:rsid w:val="001530C0"/>
    <w:rPr>
      <w:rFonts w:ascii="Calibri" w:hAnsi="Calibri" w:cs="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46E8A-F7FB-4829-A002-8DC174F0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5647</Characters>
  <Application>Microsoft Office Word</Application>
  <DocSecurity>4</DocSecurity>
  <Lines>47</Lines>
  <Paragraphs>13</Paragraphs>
  <ScaleCrop>false</ScaleCrop>
  <Company>CNSTOCK</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2018-09-12T02:55:00Z</cp:lastPrinted>
  <dcterms:created xsi:type="dcterms:W3CDTF">2026-02-12T16:00:00Z</dcterms:created>
  <dcterms:modified xsi:type="dcterms:W3CDTF">2026-02-12T16:00:00Z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22A8423921394CF194BF7C74AE282D78_13</vt:lpwstr>
  </property>
  <property fmtid="{D5CDD505-2E9C-101B-9397-08002B2CF9AE}" pid="4" name="KSOTemplateDocerSaveRecord">
    <vt:lpwstr>eyJoZGlkIjoiOTE4Mzk2YjliNTc0M2Q5NTQwNjc5MmQxYThhYjkyNTciLCJ1c2VySWQiOiI2MTM2Mjg1NjMifQ==</vt:lpwstr>
  </property>
</Properties>
</file>