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4D3C" w:rsidRDefault="00AC4D3C">
      <w:pPr>
        <w:pStyle w:val="XBRL2"/>
        <w:spacing w:before="156"/>
        <w:rPr>
          <w:lang w:eastAsia="zh-CN"/>
        </w:rPr>
      </w:pPr>
      <w:bookmarkStart w:id="0" w:name="_Toc510201001"/>
      <w:r>
        <w:rPr>
          <w:lang w:eastAsia="zh-CN"/>
        </w:rPr>
        <w:t xml:space="preserve">　</w:t>
      </w:r>
      <w:r>
        <w:rPr>
          <w:lang w:eastAsia="zh-CN"/>
        </w:rPr>
        <w:t xml:space="preserve"> </w:t>
      </w:r>
    </w:p>
    <w:bookmarkEnd w:id="0"/>
    <w:p w:rsidR="00AC4D3C" w:rsidRDefault="00AC4D3C">
      <w:pPr>
        <w:pStyle w:val="XBRL2"/>
        <w:spacing w:before="156"/>
        <w:divId w:val="1147169090"/>
        <w:rPr>
          <w:lang w:eastAsia="zh-CN"/>
        </w:rPr>
      </w:pPr>
      <w:r>
        <w:rPr>
          <w:lang w:eastAsia="zh-CN"/>
        </w:rPr>
        <w:t xml:space="preserve">　</w:t>
      </w:r>
      <w:r>
        <w:rPr>
          <w:lang w:eastAsia="zh-CN"/>
        </w:rPr>
        <w:t xml:space="preserve"> </w:t>
      </w:r>
    </w:p>
    <w:p w:rsidR="00326C75" w:rsidRPr="00326C75" w:rsidRDefault="00326C75">
      <w:pPr>
        <w:jc w:val="center"/>
        <w:rPr>
          <w:rFonts w:cs="Times New Roman"/>
          <w:b/>
          <w:color w:val="000000"/>
          <w:sz w:val="48"/>
          <w:szCs w:val="48"/>
          <w:lang/>
        </w:rPr>
      </w:pPr>
      <w:r>
        <w:rPr>
          <w:rFonts w:cs="Times New Roman"/>
          <w:b/>
          <w:color w:val="000000"/>
          <w:sz w:val="48"/>
          <w:szCs w:val="48"/>
          <w:lang/>
        </w:rPr>
        <w:t>华宝基金管理有限公司</w:t>
      </w:r>
    </w:p>
    <w:p w:rsidR="00AC4D3C" w:rsidRDefault="00AC4D3C">
      <w:pPr>
        <w:jc w:val="center"/>
        <w:rPr>
          <w:rFonts w:cs="Times New Roman"/>
          <w:b/>
          <w:color w:val="000000"/>
          <w:sz w:val="48"/>
          <w:szCs w:val="48"/>
        </w:rPr>
      </w:pPr>
      <w:r>
        <w:rPr>
          <w:rFonts w:cs="Times New Roman" w:hint="eastAsia"/>
          <w:b/>
          <w:color w:val="000000"/>
          <w:sz w:val="48"/>
          <w:szCs w:val="48"/>
        </w:rPr>
        <w:t>华宝中证银行交易型开放式指数证券投资基金联接基金基金经理变更公告</w:t>
      </w:r>
    </w:p>
    <w:p w:rsidR="00AC4D3C" w:rsidRDefault="00AC4D3C">
      <w:pPr>
        <w:spacing w:line="360" w:lineRule="auto"/>
        <w:jc w:val="center"/>
        <w:rPr>
          <w:b/>
          <w:bCs/>
          <w:sz w:val="24"/>
          <w:szCs w:val="30"/>
        </w:rPr>
      </w:pPr>
      <w:r>
        <w:rPr>
          <w:rFonts w:hint="eastAsia"/>
          <w:b/>
          <w:bCs/>
          <w:sz w:val="24"/>
          <w:szCs w:val="30"/>
        </w:rPr>
        <w:t>公告送出日期：2026年2月12日</w:t>
      </w:r>
    </w:p>
    <w:p w:rsidR="00AC4D3C" w:rsidRDefault="00AC4D3C">
      <w:pPr>
        <w:pStyle w:val="XBRLTitle1"/>
        <w:spacing w:before="156"/>
        <w:jc w:val="left"/>
        <w:rPr>
          <w:rFonts w:hint="eastAsia"/>
        </w:rPr>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华宝中证银行交易型开放式指数证券投资基金联接基金</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华宝银行ETF联接</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240019</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华宝基金管理有限公司</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Pr>
                <w:rFonts w:hint="eastAsia"/>
                <w:szCs w:val="21"/>
              </w:rPr>
              <w:t>《公开募集证券投资基金信息披露管理办法》</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解聘基金经理</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丰晨成</w:t>
            </w:r>
          </w:p>
        </w:tc>
      </w:tr>
      <w:tr w:rsidR="00AC4D3C">
        <w:tc>
          <w:tcPr>
            <w:tcW w:w="2518" w:type="dxa"/>
            <w:tcBorders>
              <w:top w:val="single" w:sz="4" w:space="0" w:color="000000"/>
              <w:left w:val="single" w:sz="4" w:space="0" w:color="000000"/>
              <w:bottom w:val="single" w:sz="4" w:space="0" w:color="000000"/>
              <w:right w:val="single" w:sz="4" w:space="0" w:color="000000"/>
            </w:tcBorders>
            <w:hideMark/>
          </w:tcPr>
          <w:p w:rsidR="00AC4D3C" w:rsidRDefault="00AC4D3C">
            <w:pPr>
              <w:spacing w:line="312" w:lineRule="exact"/>
              <w:rPr>
                <w:rFonts w:hint="eastAsia"/>
              </w:rPr>
            </w:pPr>
            <w:r w:rsidRPr="004F55F8">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C4D3C" w:rsidRDefault="00AC4D3C">
            <w:pPr>
              <w:spacing w:line="312" w:lineRule="exact"/>
              <w:rPr>
                <w:rFonts w:hint="eastAsia"/>
              </w:rPr>
            </w:pPr>
            <w:r w:rsidRPr="004F55F8">
              <w:rPr>
                <w:rFonts w:hint="eastAsia"/>
                <w:color w:val="000000"/>
                <w:kern w:val="0"/>
                <w:szCs w:val="21"/>
              </w:rPr>
              <w:t>胡洁</w:t>
            </w:r>
          </w:p>
        </w:tc>
      </w:tr>
    </w:tbl>
    <w:p w:rsidR="00AC4D3C" w:rsidRDefault="00AC4D3C">
      <w:pPr>
        <w:pStyle w:val="XBRLTitle1"/>
        <w:spacing w:before="156" w:line="360" w:lineRule="auto"/>
        <w:jc w:val="left"/>
        <w:divId w:val="528761657"/>
        <w:rPr>
          <w:rFonts w:hint="eastAsia"/>
        </w:rPr>
      </w:pPr>
      <w:bookmarkStart w:id="13" w:name="_Toc34322062"/>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401"/>
      <w:bookmarkStart w:id="23" w:name="m401_tab"/>
      <w:bookmarkStart w:id="24" w:name="m201"/>
      <w:bookmarkStart w:id="25" w:name="m201_01"/>
      <w:r>
        <w:rPr>
          <w:rFonts w:hAnsi="宋体" w:hint="eastAsia"/>
          <w:szCs w:val="24"/>
        </w:rPr>
        <w:t>离任基金经理的相关信息</w:t>
      </w:r>
      <w:bookmarkEnd w:id="13"/>
      <w:r>
        <w:rPr>
          <w:rFonts w:hAnsi="宋体" w:hint="eastAsia"/>
          <w:szCs w:val="24"/>
        </w:rPr>
        <w:t xml:space="preserve"> </w:t>
      </w:r>
      <w:bookmarkEnd w:id="11"/>
      <w:bookmarkEnd w:id="12"/>
      <w:bookmarkEnd w:id="14"/>
      <w:bookmarkEnd w:id="15"/>
      <w:bookmarkEnd w:id="16"/>
      <w:bookmarkEnd w:id="17"/>
      <w:bookmarkEnd w:id="18"/>
      <w:bookmarkEnd w:id="19"/>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AC4D3C">
        <w:trPr>
          <w:divId w:val="1926915814"/>
        </w:trPr>
        <w:tc>
          <w:tcPr>
            <w:tcW w:w="2518" w:type="dxa"/>
            <w:tcBorders>
              <w:top w:val="single" w:sz="4" w:space="0" w:color="auto"/>
              <w:left w:val="single" w:sz="4" w:space="0" w:color="auto"/>
              <w:bottom w:val="single" w:sz="4" w:space="0" w:color="auto"/>
              <w:right w:val="single" w:sz="4" w:space="0" w:color="auto"/>
            </w:tcBorders>
            <w:hideMark/>
          </w:tcPr>
          <w:p w:rsidR="00AC4D3C" w:rsidRDefault="00AC4D3C">
            <w:pPr>
              <w:spacing w:line="312" w:lineRule="exact"/>
              <w:rPr>
                <w:rFonts w:hint="eastAsia"/>
              </w:rPr>
            </w:pPr>
            <w:r w:rsidRPr="004F55F8">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C4D3C" w:rsidRDefault="00AC4D3C">
            <w:pPr>
              <w:spacing w:line="312" w:lineRule="exact"/>
              <w:rPr>
                <w:rFonts w:hint="eastAsia"/>
              </w:rPr>
            </w:pPr>
            <w:r w:rsidRPr="004F55F8">
              <w:rPr>
                <w:rFonts w:hint="eastAsia"/>
                <w:color w:val="000000"/>
                <w:kern w:val="0"/>
                <w:szCs w:val="21"/>
              </w:rPr>
              <w:t>胡洁</w:t>
            </w:r>
          </w:p>
        </w:tc>
      </w:tr>
      <w:tr w:rsidR="00AC4D3C">
        <w:trPr>
          <w:divId w:val="1926915814"/>
        </w:trPr>
        <w:tc>
          <w:tcPr>
            <w:tcW w:w="2518" w:type="dxa"/>
            <w:tcBorders>
              <w:top w:val="single" w:sz="4" w:space="0" w:color="auto"/>
              <w:left w:val="single" w:sz="4" w:space="0" w:color="auto"/>
              <w:bottom w:val="single" w:sz="4" w:space="0" w:color="auto"/>
              <w:right w:val="single" w:sz="4" w:space="0" w:color="auto"/>
            </w:tcBorders>
            <w:hideMark/>
          </w:tcPr>
          <w:p w:rsidR="00AC4D3C" w:rsidRDefault="00AC4D3C">
            <w:pPr>
              <w:spacing w:line="312" w:lineRule="exact"/>
              <w:rPr>
                <w:rFonts w:hint="eastAsia"/>
              </w:rPr>
            </w:pPr>
            <w:r w:rsidRPr="004F55F8">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C4D3C" w:rsidRDefault="00AC4D3C">
            <w:pPr>
              <w:spacing w:line="312" w:lineRule="exact"/>
              <w:rPr>
                <w:rFonts w:hint="eastAsia"/>
              </w:rPr>
            </w:pPr>
            <w:r w:rsidRPr="004F55F8">
              <w:rPr>
                <w:rFonts w:hint="eastAsia"/>
                <w:color w:val="000000"/>
                <w:kern w:val="0"/>
                <w:szCs w:val="21"/>
              </w:rPr>
              <w:t>个人原因</w:t>
            </w:r>
          </w:p>
        </w:tc>
      </w:tr>
      <w:tr w:rsidR="00AC4D3C">
        <w:trPr>
          <w:divId w:val="1926915814"/>
        </w:trPr>
        <w:tc>
          <w:tcPr>
            <w:tcW w:w="2518" w:type="dxa"/>
            <w:tcBorders>
              <w:top w:val="single" w:sz="4" w:space="0" w:color="auto"/>
              <w:left w:val="single" w:sz="4" w:space="0" w:color="auto"/>
              <w:bottom w:val="single" w:sz="4" w:space="0" w:color="auto"/>
              <w:right w:val="single" w:sz="4" w:space="0" w:color="auto"/>
            </w:tcBorders>
            <w:hideMark/>
          </w:tcPr>
          <w:p w:rsidR="00AC4D3C" w:rsidRDefault="00AC4D3C">
            <w:pPr>
              <w:spacing w:line="312" w:lineRule="exact"/>
              <w:rPr>
                <w:rFonts w:hint="eastAsia"/>
              </w:rPr>
            </w:pPr>
            <w:r w:rsidRPr="004F55F8">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C4D3C" w:rsidRDefault="00AC4D3C">
            <w:pPr>
              <w:spacing w:line="312" w:lineRule="exact"/>
              <w:rPr>
                <w:rFonts w:hint="eastAsia"/>
              </w:rPr>
            </w:pPr>
            <w:r w:rsidRPr="004F55F8">
              <w:rPr>
                <w:rFonts w:hint="eastAsia"/>
                <w:color w:val="000000"/>
                <w:kern w:val="0"/>
                <w:szCs w:val="21"/>
              </w:rPr>
              <w:t>2026年2月12日</w:t>
            </w:r>
          </w:p>
        </w:tc>
      </w:tr>
      <w:tr w:rsidR="00AC4D3C">
        <w:trPr>
          <w:divId w:val="1926915814"/>
        </w:trPr>
        <w:tc>
          <w:tcPr>
            <w:tcW w:w="2518" w:type="dxa"/>
            <w:tcBorders>
              <w:top w:val="single" w:sz="4" w:space="0" w:color="auto"/>
              <w:left w:val="single" w:sz="4" w:space="0" w:color="auto"/>
              <w:bottom w:val="single" w:sz="4" w:space="0" w:color="auto"/>
              <w:right w:val="single" w:sz="4" w:space="0" w:color="auto"/>
            </w:tcBorders>
            <w:hideMark/>
          </w:tcPr>
          <w:p w:rsidR="00AC4D3C" w:rsidRDefault="00AC4D3C">
            <w:pPr>
              <w:spacing w:line="312" w:lineRule="exact"/>
              <w:rPr>
                <w:rFonts w:hint="eastAsia"/>
              </w:rPr>
            </w:pPr>
            <w:r w:rsidRPr="004F55F8">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C4D3C" w:rsidRDefault="00AC4D3C">
            <w:pPr>
              <w:spacing w:line="312" w:lineRule="exact"/>
              <w:rPr>
                <w:rFonts w:hint="eastAsia"/>
              </w:rPr>
            </w:pPr>
            <w:r w:rsidRPr="004F55F8">
              <w:rPr>
                <w:rFonts w:hint="eastAsia"/>
                <w:color w:val="000000"/>
                <w:kern w:val="0"/>
                <w:szCs w:val="21"/>
              </w:rPr>
              <w:t>-</w:t>
            </w:r>
          </w:p>
        </w:tc>
      </w:tr>
      <w:tr w:rsidR="00AC4D3C">
        <w:trPr>
          <w:divId w:val="1926915814"/>
        </w:trPr>
        <w:tc>
          <w:tcPr>
            <w:tcW w:w="2518" w:type="dxa"/>
            <w:tcBorders>
              <w:top w:val="single" w:sz="4" w:space="0" w:color="auto"/>
              <w:left w:val="single" w:sz="4" w:space="0" w:color="auto"/>
              <w:bottom w:val="single" w:sz="4" w:space="0" w:color="auto"/>
              <w:right w:val="single" w:sz="4" w:space="0" w:color="auto"/>
            </w:tcBorders>
            <w:hideMark/>
          </w:tcPr>
          <w:p w:rsidR="00AC4D3C" w:rsidRDefault="00AC4D3C">
            <w:pPr>
              <w:spacing w:line="312" w:lineRule="exact"/>
              <w:rPr>
                <w:rFonts w:hint="eastAsia"/>
              </w:rPr>
            </w:pPr>
            <w:r w:rsidRPr="004F55F8">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C4D3C" w:rsidRDefault="00AC4D3C">
            <w:pPr>
              <w:spacing w:line="312" w:lineRule="exact"/>
              <w:rPr>
                <w:rFonts w:hint="eastAsia"/>
              </w:rPr>
            </w:pPr>
            <w:r w:rsidRPr="004F55F8">
              <w:rPr>
                <w:rFonts w:hint="eastAsia"/>
                <w:color w:val="000000"/>
                <w:kern w:val="0"/>
                <w:szCs w:val="21"/>
              </w:rPr>
              <w:t>是</w:t>
            </w:r>
          </w:p>
        </w:tc>
      </w:tr>
    </w:tbl>
    <w:p w:rsidR="00AC4D3C" w:rsidRDefault="00AC4D3C">
      <w:pPr>
        <w:spacing w:line="360" w:lineRule="auto"/>
        <w:jc w:val="center"/>
        <w:divId w:val="1926915814"/>
        <w:rPr>
          <w:rFonts w:hint="eastAsia"/>
          <w:sz w:val="28"/>
          <w:szCs w:val="30"/>
        </w:rPr>
      </w:pPr>
      <w:r>
        <w:rPr>
          <w:rFonts w:hint="eastAsia"/>
          <w:sz w:val="28"/>
          <w:szCs w:val="30"/>
        </w:rPr>
        <w:t xml:space="preserve">　 </w:t>
      </w:r>
    </w:p>
    <w:p w:rsidR="00AC4D3C" w:rsidRDefault="00AC4D3C">
      <w:pPr>
        <w:spacing w:line="360" w:lineRule="auto"/>
        <w:ind w:firstLineChars="600" w:firstLine="1446"/>
        <w:jc w:val="right"/>
        <w:rPr>
          <w:rFonts w:hint="eastAsia"/>
          <w:b/>
          <w:bCs/>
          <w:sz w:val="24"/>
          <w:szCs w:val="30"/>
        </w:rPr>
      </w:pPr>
      <w:r>
        <w:rPr>
          <w:rFonts w:hint="eastAsia"/>
          <w:b/>
          <w:bCs/>
          <w:sz w:val="24"/>
          <w:szCs w:val="30"/>
        </w:rPr>
        <w:t xml:space="preserve">　 </w:t>
      </w:r>
    </w:p>
    <w:p w:rsidR="00AC4D3C" w:rsidRDefault="00AC4D3C">
      <w:pPr>
        <w:spacing w:line="360" w:lineRule="auto"/>
        <w:ind w:firstLineChars="600" w:firstLine="1446"/>
        <w:jc w:val="right"/>
        <w:rPr>
          <w:rFonts w:hint="eastAsia"/>
          <w:b/>
          <w:bCs/>
          <w:sz w:val="24"/>
          <w:szCs w:val="30"/>
        </w:rPr>
      </w:pPr>
      <w:r>
        <w:rPr>
          <w:rFonts w:hint="eastAsia"/>
          <w:b/>
          <w:bCs/>
          <w:sz w:val="24"/>
          <w:szCs w:val="30"/>
        </w:rPr>
        <w:t xml:space="preserve">　 </w:t>
      </w:r>
    </w:p>
    <w:p w:rsidR="00AC4D3C" w:rsidRDefault="00AC4D3C">
      <w:pPr>
        <w:spacing w:line="360" w:lineRule="auto"/>
        <w:ind w:firstLineChars="600" w:firstLine="1446"/>
        <w:jc w:val="right"/>
        <w:rPr>
          <w:rFonts w:hint="eastAsia"/>
        </w:rPr>
      </w:pPr>
      <w:r>
        <w:rPr>
          <w:rFonts w:hint="eastAsia"/>
          <w:b/>
          <w:bCs/>
          <w:sz w:val="24"/>
          <w:szCs w:val="24"/>
        </w:rPr>
        <w:t>华宝基金管理有限公司</w:t>
      </w:r>
    </w:p>
    <w:p w:rsidR="00AC4D3C" w:rsidRDefault="00AC4D3C">
      <w:pPr>
        <w:spacing w:line="360" w:lineRule="auto"/>
        <w:ind w:firstLineChars="600" w:firstLine="1446"/>
        <w:jc w:val="right"/>
        <w:rPr>
          <w:rFonts w:hint="eastAsia"/>
        </w:rPr>
      </w:pPr>
      <w:r>
        <w:rPr>
          <w:rFonts w:hint="eastAsia"/>
          <w:b/>
          <w:bCs/>
          <w:sz w:val="24"/>
          <w:szCs w:val="24"/>
        </w:rPr>
        <w:t>2026年2月12日</w:t>
      </w:r>
      <w:bookmarkEnd w:id="25"/>
      <w:r>
        <w:rPr>
          <w:rFonts w:hint="eastAsia"/>
          <w:b/>
          <w:bCs/>
          <w:sz w:val="24"/>
          <w:szCs w:val="24"/>
        </w:rPr>
        <w:t xml:space="preserve"> </w:t>
      </w:r>
    </w:p>
    <w:sectPr w:rsidR="00AC4D3C">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957" w:rsidRDefault="0015195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151957" w:rsidRDefault="0015195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3C" w:rsidRDefault="00AC4D3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326C7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326C7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3C" w:rsidRDefault="00AC4D3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02680C">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02680C">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AC4D3C" w:rsidRDefault="00AC4D3C">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957" w:rsidRDefault="0015195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151957" w:rsidRDefault="0015195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3C" w:rsidRDefault="00AC4D3C">
    <w:pPr>
      <w:pStyle w:val="a7"/>
      <w:jc w:val="right"/>
    </w:pPr>
    <w:r>
      <w:rPr>
        <w:rFonts w:hint="eastAsia"/>
      </w:rPr>
      <w:t>华宝中证银行交易型开放式指数证券投资基金联接基金基金经理变更公告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3C" w:rsidRDefault="00AC4D3C">
    <w:pPr>
      <w:pStyle w:val="a7"/>
      <w:jc w:val="right"/>
      <w:rPr>
        <w:rFonts w:hint="eastAsia"/>
      </w:rPr>
    </w:pPr>
    <w:r>
      <w:rPr>
        <w:rFonts w:hint="eastAsia"/>
      </w:rPr>
      <w:t>华宝中证银行交易型开放式指数证券投资基金联接基金基金经理变更公告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5F8"/>
    <w:rsid w:val="0002680C"/>
    <w:rsid w:val="00151957"/>
    <w:rsid w:val="00326C75"/>
    <w:rsid w:val="004F55F8"/>
    <w:rsid w:val="00AC4D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520708274">
      <w:marLeft w:val="0"/>
      <w:marRight w:val="0"/>
      <w:marTop w:val="0"/>
      <w:marBottom w:val="0"/>
      <w:divBdr>
        <w:top w:val="none" w:sz="0" w:space="0" w:color="auto"/>
        <w:left w:val="none" w:sz="0" w:space="0" w:color="auto"/>
        <w:bottom w:val="none" w:sz="0" w:space="0" w:color="auto"/>
        <w:right w:val="none" w:sz="0" w:space="0" w:color="auto"/>
      </w:divBdr>
    </w:div>
    <w:div w:id="528761657">
      <w:marLeft w:val="0"/>
      <w:marRight w:val="0"/>
      <w:marTop w:val="0"/>
      <w:marBottom w:val="0"/>
      <w:divBdr>
        <w:top w:val="none" w:sz="0" w:space="0" w:color="auto"/>
        <w:left w:val="none" w:sz="0" w:space="0" w:color="auto"/>
        <w:bottom w:val="none" w:sz="0" w:space="0" w:color="auto"/>
        <w:right w:val="none" w:sz="0" w:space="0" w:color="auto"/>
      </w:divBdr>
      <w:divsChild>
        <w:div w:id="1926915814">
          <w:marLeft w:val="0"/>
          <w:marRight w:val="0"/>
          <w:marTop w:val="0"/>
          <w:marBottom w:val="0"/>
          <w:divBdr>
            <w:top w:val="none" w:sz="0" w:space="0" w:color="auto"/>
            <w:left w:val="none" w:sz="0" w:space="0" w:color="auto"/>
            <w:bottom w:val="none" w:sz="0" w:space="0" w:color="auto"/>
            <w:right w:val="none" w:sz="0" w:space="0" w:color="auto"/>
          </w:divBdr>
        </w:div>
      </w:divsChild>
    </w:div>
    <w:div w:id="793913567">
      <w:marLeft w:val="0"/>
      <w:marRight w:val="0"/>
      <w:marTop w:val="0"/>
      <w:marBottom w:val="0"/>
      <w:divBdr>
        <w:top w:val="none" w:sz="0" w:space="0" w:color="auto"/>
        <w:left w:val="none" w:sz="0" w:space="0" w:color="auto"/>
        <w:bottom w:val="none" w:sz="0" w:space="0" w:color="auto"/>
        <w:right w:val="none" w:sz="0" w:space="0" w:color="auto"/>
      </w:divBdr>
    </w:div>
    <w:div w:id="11471690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46D3-8A3B-4054-AC71-2BDE7354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4</DocSecurity>
  <Lines>2</Lines>
  <Paragraphs>1</Paragraphs>
  <ScaleCrop>false</ScaleCrop>
  <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