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FA" w:rsidRPr="004E519B" w:rsidRDefault="003A41FA" w:rsidP="008B302D">
      <w:pPr>
        <w:spacing w:line="360" w:lineRule="auto"/>
        <w:jc w:val="center"/>
        <w:rPr>
          <w:rFonts w:ascii="宋体" w:hAnsi="宋体" w:cs="Arial"/>
          <w:b/>
          <w:sz w:val="24"/>
        </w:rPr>
      </w:pPr>
      <w:r w:rsidRPr="004E519B">
        <w:rPr>
          <w:rFonts w:ascii="宋体" w:hAnsi="宋体" w:cs="Arial"/>
          <w:b/>
          <w:sz w:val="24"/>
        </w:rPr>
        <w:t>关于新增</w:t>
      </w:r>
      <w:r w:rsidR="00D51B82" w:rsidRPr="004E519B">
        <w:rPr>
          <w:rFonts w:ascii="宋体" w:hAnsi="宋体" w:cs="Arial" w:hint="eastAsia"/>
          <w:b/>
          <w:sz w:val="24"/>
        </w:rPr>
        <w:t>中国</w:t>
      </w:r>
      <w:r w:rsidR="000E0B78" w:rsidRPr="004E519B">
        <w:rPr>
          <w:rFonts w:ascii="宋体" w:hAnsi="宋体" w:cs="Arial" w:hint="eastAsia"/>
          <w:b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b/>
          <w:sz w:val="24"/>
        </w:rPr>
        <w:t>e</w:t>
      </w:r>
      <w:r w:rsidR="000E0B78" w:rsidRPr="004E519B">
        <w:rPr>
          <w:rFonts w:ascii="宋体" w:hAnsi="宋体" w:cs="Arial" w:hint="eastAsia"/>
          <w:b/>
          <w:sz w:val="24"/>
        </w:rPr>
        <w:t>+平台</w:t>
      </w:r>
      <w:r w:rsidRPr="004E519B">
        <w:rPr>
          <w:rFonts w:ascii="宋体" w:hAnsi="宋体" w:cs="Arial"/>
          <w:b/>
          <w:sz w:val="24"/>
        </w:rPr>
        <w:t>为</w:t>
      </w:r>
      <w:r w:rsidR="008B302D" w:rsidRPr="008B302D">
        <w:rPr>
          <w:rFonts w:ascii="宋体" w:hAnsi="宋体" w:cs="Arial"/>
          <w:b/>
          <w:sz w:val="24"/>
        </w:rPr>
        <w:t>摩根双债增利债券型证券投资基金</w:t>
      </w:r>
      <w:r w:rsidRPr="004E519B">
        <w:rPr>
          <w:rFonts w:ascii="宋体" w:hAnsi="宋体" w:cs="Arial"/>
          <w:b/>
          <w:sz w:val="24"/>
        </w:rPr>
        <w:t>代销机构的公告</w:t>
      </w:r>
    </w:p>
    <w:p w:rsidR="003A41FA" w:rsidRPr="000D36A6" w:rsidRDefault="003A41FA" w:rsidP="003A41FA">
      <w:pPr>
        <w:spacing w:line="360" w:lineRule="auto"/>
        <w:rPr>
          <w:rFonts w:ascii="宋体" w:hAnsi="宋体" w:cs="Arial"/>
          <w:sz w:val="24"/>
        </w:rPr>
      </w:pPr>
    </w:p>
    <w:p w:rsidR="008E2EDD" w:rsidRDefault="008E2708" w:rsidP="008E2EDD">
      <w:pPr>
        <w:spacing w:line="360" w:lineRule="auto"/>
        <w:ind w:firstLine="435"/>
        <w:rPr>
          <w:rFonts w:ascii="宋体" w:hAnsi="宋体"/>
          <w:sz w:val="24"/>
        </w:rPr>
      </w:pPr>
      <w:r w:rsidRPr="004E519B">
        <w:rPr>
          <w:rFonts w:ascii="宋体" w:hAnsi="宋体" w:cs="Arial" w:hint="eastAsia"/>
          <w:sz w:val="24"/>
        </w:rPr>
        <w:t>摩根基金管理（中国）有限公司</w:t>
      </w:r>
      <w:r w:rsidR="003A41FA" w:rsidRPr="004E519B">
        <w:rPr>
          <w:rFonts w:ascii="宋体" w:hAnsi="宋体" w:cs="Arial"/>
          <w:sz w:val="24"/>
        </w:rPr>
        <w:t>已与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</w:t>
      </w:r>
      <w:r w:rsidR="003A41FA" w:rsidRPr="004E519B">
        <w:rPr>
          <w:rFonts w:ascii="宋体" w:hAnsi="宋体" w:cs="Arial"/>
          <w:sz w:val="24"/>
        </w:rPr>
        <w:t>签订了</w:t>
      </w:r>
      <w:r w:rsidR="0069739A" w:rsidRPr="004E519B">
        <w:rPr>
          <w:rFonts w:ascii="宋体" w:hAnsi="宋体" w:cs="Arial" w:hint="eastAsia"/>
          <w:sz w:val="24"/>
        </w:rPr>
        <w:t>基金</w:t>
      </w:r>
      <w:r w:rsidR="003A41FA" w:rsidRPr="004E519B">
        <w:rPr>
          <w:rFonts w:ascii="宋体" w:hAnsi="宋体" w:cs="Arial"/>
          <w:sz w:val="24"/>
        </w:rPr>
        <w:t>销售代理协议，现决定自</w:t>
      </w:r>
      <w:r w:rsidR="00413ED2" w:rsidRPr="004E519B">
        <w:rPr>
          <w:rFonts w:ascii="宋体" w:hAnsi="宋体" w:cs="Arial" w:hint="eastAsia"/>
          <w:sz w:val="24"/>
        </w:rPr>
        <w:t>本公告之日</w:t>
      </w:r>
      <w:r w:rsidR="003A41FA" w:rsidRPr="004E519B">
        <w:rPr>
          <w:rFonts w:ascii="宋体" w:hAnsi="宋体" w:cs="Arial"/>
          <w:sz w:val="24"/>
        </w:rPr>
        <w:t>起，新增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="003A41FA" w:rsidRPr="004E519B">
        <w:rPr>
          <w:rFonts w:ascii="宋体" w:hAnsi="宋体" w:cs="Arial"/>
          <w:sz w:val="24"/>
        </w:rPr>
        <w:t>为</w:t>
      </w:r>
      <w:r w:rsidR="008E2EDD" w:rsidRPr="008E2EDD">
        <w:rPr>
          <w:rFonts w:ascii="宋体" w:hAnsi="宋体" w:cs="Arial"/>
          <w:sz w:val="24"/>
        </w:rPr>
        <w:t>摩根双债增利债券型证券投资基金</w:t>
      </w:r>
      <w:r w:rsidR="008E2EDD">
        <w:rPr>
          <w:rFonts w:ascii="宋体" w:hAnsi="宋体" w:cs="Arial" w:hint="eastAsia"/>
          <w:sz w:val="24"/>
        </w:rPr>
        <w:t>（A类份额代码：</w:t>
      </w:r>
      <w:r w:rsidR="008E2EDD" w:rsidRPr="008E2EDD">
        <w:rPr>
          <w:rFonts w:ascii="宋体" w:hAnsi="宋体" w:cs="Arial"/>
          <w:sz w:val="24"/>
        </w:rPr>
        <w:t>000377</w:t>
      </w:r>
      <w:r w:rsidR="008E2EDD">
        <w:rPr>
          <w:rFonts w:ascii="宋体" w:hAnsi="宋体" w:cs="Arial" w:hint="eastAsia"/>
          <w:sz w:val="24"/>
        </w:rPr>
        <w:t>；C类份额代码：</w:t>
      </w:r>
      <w:r w:rsidR="008E2EDD" w:rsidRPr="008E2EDD">
        <w:rPr>
          <w:rFonts w:ascii="宋体" w:hAnsi="宋体" w:cs="Arial"/>
          <w:sz w:val="24"/>
        </w:rPr>
        <w:t>00037</w:t>
      </w:r>
      <w:r w:rsidR="008E2EDD">
        <w:rPr>
          <w:rFonts w:ascii="宋体" w:hAnsi="宋体" w:cs="Arial" w:hint="eastAsia"/>
          <w:sz w:val="24"/>
        </w:rPr>
        <w:t>8；D类份额代码：023813）</w:t>
      </w:r>
      <w:r w:rsidR="000A0F00" w:rsidRPr="004E519B">
        <w:rPr>
          <w:rFonts w:ascii="宋体" w:hAnsi="宋体" w:hint="eastAsia"/>
          <w:sz w:val="24"/>
        </w:rPr>
        <w:t>的代销机构</w:t>
      </w:r>
      <w:r w:rsidR="006F5A73" w:rsidRPr="004E519B">
        <w:rPr>
          <w:rFonts w:ascii="宋体" w:hAnsi="宋体" w:hint="eastAsia"/>
          <w:sz w:val="24"/>
        </w:rPr>
        <w:t>。</w:t>
      </w:r>
    </w:p>
    <w:p w:rsidR="00CE7183" w:rsidRDefault="003A41FA" w:rsidP="008E2EDD">
      <w:pPr>
        <w:spacing w:line="360" w:lineRule="auto"/>
        <w:ind w:firstLine="435"/>
        <w:rPr>
          <w:rFonts w:ascii="宋体" w:hAnsi="宋体" w:cs="Arial"/>
          <w:sz w:val="24"/>
        </w:rPr>
      </w:pPr>
      <w:r w:rsidRPr="004E519B">
        <w:rPr>
          <w:rFonts w:ascii="宋体" w:hAnsi="宋体" w:cs="Arial"/>
          <w:sz w:val="24"/>
        </w:rPr>
        <w:t>投资人可通过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Pr="004E519B">
        <w:rPr>
          <w:rFonts w:ascii="宋体" w:hAnsi="宋体" w:cs="Arial"/>
          <w:sz w:val="24"/>
        </w:rPr>
        <w:t>开展基金的申购、赎回、定期定额等相关业务。具体的业务流程、办理时间和办理方式以</w:t>
      </w:r>
      <w:r w:rsidR="00D51B82" w:rsidRPr="004E519B">
        <w:rPr>
          <w:rFonts w:ascii="宋体" w:hAnsi="宋体" w:cs="Arial" w:hint="eastAsia"/>
          <w:sz w:val="24"/>
        </w:rPr>
        <w:t>中国</w:t>
      </w:r>
      <w:r w:rsidR="000E0B78" w:rsidRPr="004E519B">
        <w:rPr>
          <w:rFonts w:ascii="宋体" w:hAnsi="宋体" w:cs="Arial" w:hint="eastAsia"/>
          <w:sz w:val="24"/>
        </w:rPr>
        <w:t>民生银行股份有限公司同业</w:t>
      </w:r>
      <w:r w:rsidR="008301B3" w:rsidRPr="004E519B">
        <w:rPr>
          <w:rFonts w:ascii="宋体" w:hAnsi="宋体" w:cs="Arial" w:hint="eastAsia"/>
          <w:sz w:val="24"/>
        </w:rPr>
        <w:t>e</w:t>
      </w:r>
      <w:r w:rsidR="000E0B78" w:rsidRPr="004E519B">
        <w:rPr>
          <w:rFonts w:ascii="宋体" w:hAnsi="宋体" w:cs="Arial" w:hint="eastAsia"/>
          <w:sz w:val="24"/>
        </w:rPr>
        <w:t>+平台</w:t>
      </w:r>
      <w:r w:rsidRPr="004E519B">
        <w:rPr>
          <w:rFonts w:ascii="宋体" w:hAnsi="宋体" w:cs="Arial"/>
          <w:sz w:val="24"/>
        </w:rPr>
        <w:t xml:space="preserve">的规定为准。 </w:t>
      </w:r>
    </w:p>
    <w:p w:rsidR="00AB4C9E" w:rsidRPr="004417D7" w:rsidRDefault="00AB4C9E" w:rsidP="008E2ED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Calibri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hAnsi="Calibri" w:cs="Calibri"/>
          <w:color w:val="000000"/>
          <w:kern w:val="0"/>
          <w:sz w:val="24"/>
          <w:szCs w:val="21"/>
        </w:rPr>
        <w:t>有关</w:t>
      </w:r>
      <w:r w:rsidR="008E2EDD" w:rsidRPr="008E2EDD">
        <w:rPr>
          <w:rFonts w:ascii="Calibri" w:hAnsi="Calibri" w:cs="Calibri"/>
          <w:color w:val="000000"/>
          <w:kern w:val="0"/>
          <w:sz w:val="24"/>
          <w:szCs w:val="21"/>
        </w:rPr>
        <w:t>摩根双债增利债券型证券投资基金</w:t>
      </w:r>
      <w:r w:rsidR="008E2EDD">
        <w:rPr>
          <w:rFonts w:ascii="宋体" w:hAnsi="宋体" w:cs="Arial" w:hint="eastAsia"/>
          <w:sz w:val="24"/>
        </w:rPr>
        <w:t>（A类份额代码：</w:t>
      </w:r>
      <w:r w:rsidR="008E2EDD" w:rsidRPr="008E2EDD">
        <w:rPr>
          <w:rFonts w:ascii="宋体" w:hAnsi="宋体" w:cs="Arial"/>
          <w:sz w:val="24"/>
        </w:rPr>
        <w:t>000377</w:t>
      </w:r>
      <w:r w:rsidR="008E2EDD">
        <w:rPr>
          <w:rFonts w:ascii="宋体" w:hAnsi="宋体" w:cs="Arial" w:hint="eastAsia"/>
          <w:sz w:val="24"/>
        </w:rPr>
        <w:t>；C类份额代码：</w:t>
      </w:r>
      <w:r w:rsidR="008E2EDD" w:rsidRPr="008E2EDD">
        <w:rPr>
          <w:rFonts w:ascii="宋体" w:hAnsi="宋体" w:cs="Arial"/>
          <w:sz w:val="24"/>
        </w:rPr>
        <w:t>00037</w:t>
      </w:r>
      <w:r w:rsidR="008E2EDD">
        <w:rPr>
          <w:rFonts w:ascii="宋体" w:hAnsi="宋体" w:cs="Arial" w:hint="eastAsia"/>
          <w:sz w:val="24"/>
        </w:rPr>
        <w:t>8；D类份额代码：023813）</w:t>
      </w:r>
      <w:r w:rsidRPr="004417D7">
        <w:rPr>
          <w:rFonts w:ascii="Calibri" w:hAnsi="Calibri" w:cs="Calibri"/>
          <w:color w:val="000000"/>
          <w:kern w:val="0"/>
          <w:sz w:val="24"/>
          <w:szCs w:val="21"/>
        </w:rPr>
        <w:t>销售的具体事宜请仔细阅读</w:t>
      </w:r>
      <w:r w:rsidR="00165272">
        <w:rPr>
          <w:rFonts w:ascii="Calibri" w:hAnsi="Calibri" w:cs="Calibri" w:hint="eastAsia"/>
          <w:color w:val="000000"/>
          <w:kern w:val="0"/>
          <w:sz w:val="24"/>
          <w:szCs w:val="21"/>
        </w:rPr>
        <w:t>本</w:t>
      </w:r>
      <w:r w:rsidRPr="004417D7">
        <w:rPr>
          <w:rFonts w:ascii="Calibri" w:hAnsi="Calibri" w:cs="Calibri"/>
          <w:color w:val="000000"/>
          <w:kern w:val="0"/>
          <w:sz w:val="24"/>
          <w:szCs w:val="21"/>
        </w:rPr>
        <w:t>基金的招募说明书、基金产品资料概要及基金合同等相关法律文件。</w:t>
      </w:r>
    </w:p>
    <w:p w:rsidR="006F5A73" w:rsidRPr="00AB4C9E" w:rsidRDefault="006F5A73" w:rsidP="008301B3">
      <w:pPr>
        <w:widowControl/>
        <w:shd w:val="clear" w:color="auto" w:fill="FFFFFF"/>
        <w:spacing w:after="180"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p w:rsidR="003A41FA" w:rsidRPr="004E519B" w:rsidRDefault="003A41FA" w:rsidP="003A41FA">
      <w:pPr>
        <w:spacing w:line="360" w:lineRule="auto"/>
        <w:rPr>
          <w:rFonts w:ascii="宋体" w:hAnsi="宋体" w:cs="Arial"/>
          <w:b/>
          <w:sz w:val="24"/>
        </w:rPr>
      </w:pPr>
      <w:r w:rsidRPr="004E519B">
        <w:rPr>
          <w:rFonts w:ascii="宋体" w:hAnsi="宋体" w:cs="Arial"/>
          <w:b/>
          <w:sz w:val="24"/>
        </w:rPr>
        <w:t xml:space="preserve">投资者可通过以下途径咨询有关详情：　</w:t>
      </w:r>
    </w:p>
    <w:p w:rsidR="003A41FA" w:rsidRPr="001E3CA0" w:rsidRDefault="003A41FA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>1、</w:t>
      </w:r>
      <w:r w:rsidR="00D51B82" w:rsidRPr="001E3CA0">
        <w:rPr>
          <w:rFonts w:ascii="宋体" w:hAnsi="宋体" w:cs="Arial" w:hint="eastAsia"/>
          <w:sz w:val="24"/>
        </w:rPr>
        <w:t>中国民生银行股份有限公司</w:t>
      </w:r>
    </w:p>
    <w:p w:rsidR="0069739A" w:rsidRPr="001E3CA0" w:rsidRDefault="0069739A" w:rsidP="0069739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>客服电话：</w:t>
      </w:r>
      <w:r w:rsidR="00D51B82" w:rsidRPr="001E3CA0">
        <w:rPr>
          <w:rFonts w:ascii="宋体" w:hAnsi="宋体" w:cs="Arial"/>
          <w:sz w:val="24"/>
        </w:rPr>
        <w:t>95568</w:t>
      </w:r>
    </w:p>
    <w:p w:rsidR="003A41FA" w:rsidRPr="001E3CA0" w:rsidRDefault="00D63235" w:rsidP="00D63235">
      <w:pPr>
        <w:tabs>
          <w:tab w:val="left" w:pos="1956"/>
        </w:tabs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公司</w:t>
      </w:r>
      <w:r w:rsidR="003A41FA" w:rsidRPr="001E3CA0">
        <w:rPr>
          <w:rFonts w:ascii="宋体" w:hAnsi="宋体" w:cs="Arial"/>
          <w:sz w:val="24"/>
        </w:rPr>
        <w:t>网</w:t>
      </w:r>
      <w:r w:rsidR="0069739A" w:rsidRPr="001E3CA0">
        <w:rPr>
          <w:rFonts w:ascii="宋体" w:hAnsi="宋体" w:cs="Arial" w:hint="eastAsia"/>
          <w:sz w:val="24"/>
        </w:rPr>
        <w:t>址</w:t>
      </w:r>
      <w:r w:rsidR="003A41FA" w:rsidRPr="001E3CA0">
        <w:rPr>
          <w:rFonts w:ascii="宋体" w:hAnsi="宋体" w:cs="Arial"/>
          <w:sz w:val="24"/>
        </w:rPr>
        <w:t>：</w:t>
      </w:r>
      <w:r w:rsidR="00D51B82" w:rsidRPr="001E3CA0">
        <w:rPr>
          <w:rFonts w:ascii="宋体" w:hAnsi="宋体" w:cs="Arial"/>
          <w:sz w:val="24"/>
        </w:rPr>
        <w:t>www.cmbc.com.cn</w:t>
      </w:r>
      <w:r w:rsidR="00852A01" w:rsidRPr="001E3CA0">
        <w:rPr>
          <w:rFonts w:ascii="宋体" w:hAnsi="宋体" w:cs="Arial"/>
          <w:sz w:val="24"/>
        </w:rPr>
        <w:t xml:space="preserve"> </w:t>
      </w:r>
    </w:p>
    <w:p w:rsidR="003A41FA" w:rsidRPr="001E3CA0" w:rsidRDefault="003A41FA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>2、</w:t>
      </w:r>
      <w:r w:rsidR="00BB35A5" w:rsidRPr="001E3CA0">
        <w:rPr>
          <w:rFonts w:ascii="宋体" w:hAnsi="宋体" w:cs="Arial" w:hint="eastAsia"/>
          <w:sz w:val="24"/>
        </w:rPr>
        <w:t>摩根基金管理（中国）有限公司</w:t>
      </w:r>
    </w:p>
    <w:p w:rsidR="0069739A" w:rsidRPr="001E3CA0" w:rsidRDefault="0069739A" w:rsidP="0069739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客服电话</w:t>
      </w:r>
      <w:r w:rsidRPr="001E3CA0">
        <w:rPr>
          <w:rFonts w:ascii="宋体" w:hAnsi="宋体" w:cs="Arial"/>
          <w:sz w:val="24"/>
        </w:rPr>
        <w:t>：400</w:t>
      </w:r>
      <w:r w:rsidRPr="001E3CA0">
        <w:rPr>
          <w:rFonts w:ascii="宋体" w:hAnsi="宋体" w:cs="Arial" w:hint="eastAsia"/>
          <w:sz w:val="24"/>
        </w:rPr>
        <w:t>-</w:t>
      </w:r>
      <w:r w:rsidRPr="001E3CA0">
        <w:rPr>
          <w:rFonts w:ascii="宋体" w:hAnsi="宋体" w:cs="Arial"/>
          <w:sz w:val="24"/>
        </w:rPr>
        <w:t>889</w:t>
      </w:r>
      <w:r w:rsidRPr="001E3CA0">
        <w:rPr>
          <w:rFonts w:ascii="宋体" w:hAnsi="宋体" w:cs="Arial" w:hint="eastAsia"/>
          <w:sz w:val="24"/>
        </w:rPr>
        <w:t>-</w:t>
      </w:r>
      <w:r w:rsidRPr="001E3CA0">
        <w:rPr>
          <w:rFonts w:ascii="宋体" w:hAnsi="宋体" w:cs="Arial"/>
          <w:sz w:val="24"/>
        </w:rPr>
        <w:t>4888 </w:t>
      </w:r>
    </w:p>
    <w:p w:rsidR="003A41FA" w:rsidRPr="001E3CA0" w:rsidRDefault="00D63235" w:rsidP="003A41FA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 w:hint="eastAsia"/>
          <w:sz w:val="24"/>
        </w:rPr>
        <w:t>公司</w:t>
      </w:r>
      <w:r w:rsidR="003A41FA" w:rsidRPr="001E3CA0">
        <w:rPr>
          <w:rFonts w:ascii="宋体" w:hAnsi="宋体" w:cs="Arial"/>
          <w:sz w:val="24"/>
        </w:rPr>
        <w:t>网</w:t>
      </w:r>
      <w:r w:rsidR="0069739A" w:rsidRPr="001E3CA0">
        <w:rPr>
          <w:rFonts w:ascii="宋体" w:hAnsi="宋体" w:cs="Arial" w:hint="eastAsia"/>
          <w:sz w:val="24"/>
        </w:rPr>
        <w:t>址</w:t>
      </w:r>
      <w:r w:rsidR="003A41FA" w:rsidRPr="001E3CA0">
        <w:rPr>
          <w:rFonts w:ascii="宋体" w:hAnsi="宋体" w:cs="Arial"/>
          <w:sz w:val="24"/>
        </w:rPr>
        <w:t>：</w:t>
      </w:r>
      <w:r w:rsidR="00B262CE" w:rsidRPr="001E3CA0">
        <w:rPr>
          <w:rFonts w:ascii="宋体" w:hAnsi="宋体" w:cs="Arial"/>
          <w:sz w:val="24"/>
        </w:rPr>
        <w:t>am.jpmorgan.com/cn</w:t>
      </w:r>
    </w:p>
    <w:p w:rsidR="00D63235" w:rsidRPr="001E3CA0" w:rsidRDefault="00D63235" w:rsidP="00D63235">
      <w:pPr>
        <w:spacing w:line="360" w:lineRule="auto"/>
        <w:rPr>
          <w:rFonts w:ascii="宋体" w:hAnsi="宋体" w:cs="Arial"/>
          <w:sz w:val="24"/>
        </w:rPr>
      </w:pPr>
    </w:p>
    <w:p w:rsidR="003A41FA" w:rsidRPr="001E3CA0" w:rsidRDefault="003A41FA" w:rsidP="00D63235">
      <w:pPr>
        <w:spacing w:line="360" w:lineRule="auto"/>
        <w:rPr>
          <w:rFonts w:ascii="宋体" w:hAnsi="宋体" w:cs="Arial"/>
          <w:sz w:val="24"/>
        </w:rPr>
      </w:pPr>
      <w:r w:rsidRPr="001E3CA0">
        <w:rPr>
          <w:rFonts w:ascii="宋体" w:hAnsi="宋体" w:cs="Arial"/>
          <w:sz w:val="24"/>
        </w:rPr>
        <w:t xml:space="preserve">特此公告。　</w:t>
      </w:r>
    </w:p>
    <w:p w:rsidR="00D51B82" w:rsidRPr="004E519B" w:rsidRDefault="00D51B82" w:rsidP="00D51B82">
      <w:pPr>
        <w:spacing w:line="360" w:lineRule="auto"/>
        <w:ind w:firstLine="480"/>
        <w:rPr>
          <w:rFonts w:ascii="宋体" w:hAnsi="宋体" w:cs="Arial"/>
          <w:sz w:val="24"/>
        </w:rPr>
      </w:pPr>
    </w:p>
    <w:p w:rsidR="003A41FA" w:rsidRPr="00793CD6" w:rsidRDefault="00C54288" w:rsidP="003A41FA">
      <w:pPr>
        <w:spacing w:line="360" w:lineRule="auto"/>
        <w:jc w:val="right"/>
        <w:rPr>
          <w:rFonts w:ascii="宋体" w:hAnsi="宋体" w:cs="Arial"/>
          <w:sz w:val="24"/>
        </w:rPr>
      </w:pPr>
      <w:r w:rsidRPr="004E519B">
        <w:rPr>
          <w:rFonts w:ascii="宋体" w:hAnsi="宋体" w:cs="Arial" w:hint="eastAsia"/>
          <w:sz w:val="24"/>
        </w:rPr>
        <w:t>摩根基金管理（中国）</w:t>
      </w:r>
      <w:r w:rsidRPr="00793CD6">
        <w:rPr>
          <w:rFonts w:ascii="宋体" w:hAnsi="宋体" w:cs="Arial" w:hint="eastAsia"/>
          <w:sz w:val="24"/>
        </w:rPr>
        <w:t>有限公司</w:t>
      </w:r>
    </w:p>
    <w:p w:rsidR="00143703" w:rsidRPr="008838D7" w:rsidRDefault="00D63235" w:rsidP="00C54288">
      <w:pPr>
        <w:spacing w:line="360" w:lineRule="auto"/>
        <w:jc w:val="right"/>
        <w:rPr>
          <w:rFonts w:ascii="宋体" w:hAnsi="宋体" w:cs="Arial"/>
          <w:sz w:val="24"/>
        </w:rPr>
      </w:pPr>
      <w:r w:rsidRPr="00793CD6">
        <w:rPr>
          <w:rFonts w:ascii="宋体" w:hAnsi="宋体" w:hint="eastAsia"/>
          <w:sz w:val="24"/>
        </w:rPr>
        <w:t>二〇二</w:t>
      </w:r>
      <w:r w:rsidR="008E2EDD" w:rsidRPr="00793CD6">
        <w:rPr>
          <w:rFonts w:ascii="宋体" w:hAnsi="宋体" w:hint="eastAsia"/>
          <w:sz w:val="24"/>
        </w:rPr>
        <w:t>六</w:t>
      </w:r>
      <w:r w:rsidR="00C54288" w:rsidRPr="00793CD6">
        <w:rPr>
          <w:rFonts w:ascii="宋体" w:hAnsi="宋体" w:hint="eastAsia"/>
          <w:sz w:val="24"/>
        </w:rPr>
        <w:t>年</w:t>
      </w:r>
      <w:r w:rsidR="008E2EDD" w:rsidRPr="00793CD6">
        <w:rPr>
          <w:rFonts w:ascii="宋体" w:hAnsi="宋体" w:hint="eastAsia"/>
          <w:sz w:val="24"/>
        </w:rPr>
        <w:t>二</w:t>
      </w:r>
      <w:r w:rsidR="00C54288" w:rsidRPr="00793CD6">
        <w:rPr>
          <w:rFonts w:ascii="宋体" w:hAnsi="宋体" w:hint="eastAsia"/>
          <w:sz w:val="24"/>
        </w:rPr>
        <w:t>月</w:t>
      </w:r>
      <w:r w:rsidR="00793CD6" w:rsidRPr="00793CD6">
        <w:rPr>
          <w:rFonts w:ascii="宋体" w:hAnsi="宋体" w:hint="eastAsia"/>
          <w:sz w:val="24"/>
        </w:rPr>
        <w:t>十二</w:t>
      </w:r>
      <w:r w:rsidR="00C54288" w:rsidRPr="00793CD6">
        <w:rPr>
          <w:rFonts w:ascii="宋体" w:hAnsi="宋体" w:hint="eastAsia"/>
          <w:sz w:val="24"/>
        </w:rPr>
        <w:t>日</w:t>
      </w:r>
    </w:p>
    <w:sectPr w:rsidR="00143703" w:rsidRPr="008838D7" w:rsidSect="0021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F6" w:rsidRDefault="002851F6" w:rsidP="00BA45FF">
      <w:r>
        <w:separator/>
      </w:r>
    </w:p>
  </w:endnote>
  <w:endnote w:type="continuationSeparator" w:id="0">
    <w:p w:rsidR="002851F6" w:rsidRDefault="002851F6" w:rsidP="00BA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F6" w:rsidRDefault="002851F6" w:rsidP="00BA45FF">
      <w:r>
        <w:separator/>
      </w:r>
    </w:p>
  </w:footnote>
  <w:footnote w:type="continuationSeparator" w:id="0">
    <w:p w:rsidR="002851F6" w:rsidRDefault="002851F6" w:rsidP="00BA4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2D5"/>
    <w:rsid w:val="00000A65"/>
    <w:rsid w:val="000A0F00"/>
    <w:rsid w:val="000B31A8"/>
    <w:rsid w:val="000D36A6"/>
    <w:rsid w:val="000E0B78"/>
    <w:rsid w:val="000E659E"/>
    <w:rsid w:val="00143703"/>
    <w:rsid w:val="00165272"/>
    <w:rsid w:val="00173533"/>
    <w:rsid w:val="001E3CA0"/>
    <w:rsid w:val="001F3BFC"/>
    <w:rsid w:val="00210570"/>
    <w:rsid w:val="00212A77"/>
    <w:rsid w:val="00242534"/>
    <w:rsid w:val="00251944"/>
    <w:rsid w:val="00267BD7"/>
    <w:rsid w:val="002851F6"/>
    <w:rsid w:val="002A0321"/>
    <w:rsid w:val="002A22D5"/>
    <w:rsid w:val="002C5A1D"/>
    <w:rsid w:val="002E6D65"/>
    <w:rsid w:val="002F7C9B"/>
    <w:rsid w:val="0035304A"/>
    <w:rsid w:val="00357CAB"/>
    <w:rsid w:val="003A41FA"/>
    <w:rsid w:val="00413ED2"/>
    <w:rsid w:val="00460B64"/>
    <w:rsid w:val="00467E7D"/>
    <w:rsid w:val="004A4F05"/>
    <w:rsid w:val="004C764C"/>
    <w:rsid w:val="004E519B"/>
    <w:rsid w:val="00511A8C"/>
    <w:rsid w:val="005259A2"/>
    <w:rsid w:val="00572D0D"/>
    <w:rsid w:val="00594C1A"/>
    <w:rsid w:val="005F267F"/>
    <w:rsid w:val="0069739A"/>
    <w:rsid w:val="006A1421"/>
    <w:rsid w:val="006B23DB"/>
    <w:rsid w:val="006B602F"/>
    <w:rsid w:val="006C0505"/>
    <w:rsid w:val="006F5A73"/>
    <w:rsid w:val="00746FAC"/>
    <w:rsid w:val="007746ED"/>
    <w:rsid w:val="00780C01"/>
    <w:rsid w:val="00793CD6"/>
    <w:rsid w:val="00794280"/>
    <w:rsid w:val="007A4063"/>
    <w:rsid w:val="007D2158"/>
    <w:rsid w:val="00806B21"/>
    <w:rsid w:val="008301B3"/>
    <w:rsid w:val="00845662"/>
    <w:rsid w:val="00852A01"/>
    <w:rsid w:val="00857673"/>
    <w:rsid w:val="00865A51"/>
    <w:rsid w:val="008838D7"/>
    <w:rsid w:val="00891894"/>
    <w:rsid w:val="008A36B1"/>
    <w:rsid w:val="008B302D"/>
    <w:rsid w:val="008C3F76"/>
    <w:rsid w:val="008E2708"/>
    <w:rsid w:val="008E2EDD"/>
    <w:rsid w:val="008E2FE5"/>
    <w:rsid w:val="0090021D"/>
    <w:rsid w:val="0091380F"/>
    <w:rsid w:val="00927B86"/>
    <w:rsid w:val="00985B7B"/>
    <w:rsid w:val="009D366D"/>
    <w:rsid w:val="00A02E9C"/>
    <w:rsid w:val="00A042AE"/>
    <w:rsid w:val="00AA347C"/>
    <w:rsid w:val="00AB4C9E"/>
    <w:rsid w:val="00AE6367"/>
    <w:rsid w:val="00B262CE"/>
    <w:rsid w:val="00B857CD"/>
    <w:rsid w:val="00BA45FF"/>
    <w:rsid w:val="00BB35A5"/>
    <w:rsid w:val="00C3259E"/>
    <w:rsid w:val="00C54288"/>
    <w:rsid w:val="00C744B4"/>
    <w:rsid w:val="00CA18F9"/>
    <w:rsid w:val="00CA4DB2"/>
    <w:rsid w:val="00CC6770"/>
    <w:rsid w:val="00CE7183"/>
    <w:rsid w:val="00CF6D3C"/>
    <w:rsid w:val="00D02A7C"/>
    <w:rsid w:val="00D0382F"/>
    <w:rsid w:val="00D23278"/>
    <w:rsid w:val="00D51B82"/>
    <w:rsid w:val="00D63235"/>
    <w:rsid w:val="00D94B0A"/>
    <w:rsid w:val="00DC024B"/>
    <w:rsid w:val="00DD469A"/>
    <w:rsid w:val="00E00B0A"/>
    <w:rsid w:val="00E115F3"/>
    <w:rsid w:val="00E22AD9"/>
    <w:rsid w:val="00E33D12"/>
    <w:rsid w:val="00E52774"/>
    <w:rsid w:val="00E532FE"/>
    <w:rsid w:val="00E63603"/>
    <w:rsid w:val="00E76684"/>
    <w:rsid w:val="00EE033A"/>
    <w:rsid w:val="00EF50D2"/>
    <w:rsid w:val="00F07649"/>
    <w:rsid w:val="00F10F26"/>
    <w:rsid w:val="00F50175"/>
    <w:rsid w:val="00FA7A43"/>
    <w:rsid w:val="00FB2DF0"/>
    <w:rsid w:val="00FB73B9"/>
    <w:rsid w:val="00FE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5F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5F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0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0F2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52A01"/>
    <w:rPr>
      <w:color w:val="0563C1" w:themeColor="hyperlink"/>
      <w:u w:val="single"/>
    </w:rPr>
  </w:style>
  <w:style w:type="paragraph" w:customStyle="1" w:styleId="1">
    <w:name w:val="列出段落1"/>
    <w:basedOn w:val="a"/>
    <w:qFormat/>
    <w:rsid w:val="00985B7B"/>
    <w:pPr>
      <w:spacing w:line="360" w:lineRule="auto"/>
      <w:ind w:firstLineChars="200" w:firstLine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2026-02-11T16:03:00Z</dcterms:created>
  <dcterms:modified xsi:type="dcterms:W3CDTF">2026-02-11T16:03:00Z</dcterms:modified>
</cp:coreProperties>
</file>