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46" w:rsidRPr="00ED0FAB" w:rsidRDefault="00ED0FAB">
      <w:pPr>
        <w:widowControl/>
        <w:kinsoku w:val="0"/>
        <w:autoSpaceDE w:val="0"/>
        <w:autoSpaceDN w:val="0"/>
        <w:adjustRightInd w:val="0"/>
        <w:snapToGrid w:val="0"/>
        <w:spacing w:before="168" w:line="391" w:lineRule="auto"/>
        <w:ind w:leftChars="200" w:left="640" w:rightChars="200" w:right="640"/>
        <w:jc w:val="center"/>
        <w:textAlignment w:val="baseline"/>
        <w:rPr>
          <w:rFonts w:ascii="宋体" w:eastAsia="宋体" w:cs="宋体"/>
          <w:snapToGrid w:val="0"/>
          <w:color w:val="000000"/>
          <w:spacing w:val="-8"/>
          <w:kern w:val="0"/>
          <w:sz w:val="30"/>
          <w:szCs w:val="30"/>
        </w:rPr>
      </w:pPr>
      <w:r w:rsidRPr="00ED0FAB">
        <w:rPr>
          <w:rFonts w:ascii="宋体" w:eastAsia="宋体" w:cs="宋体" w:hint="eastAsia"/>
          <w:snapToGrid w:val="0"/>
          <w:color w:val="000000"/>
          <w:spacing w:val="-8"/>
          <w:kern w:val="0"/>
          <w:sz w:val="30"/>
          <w:szCs w:val="30"/>
        </w:rPr>
        <w:t>关于中银恒嘉60天滚动持有短债债券型</w:t>
      </w:r>
      <w:bookmarkStart w:id="0" w:name="_GoBack"/>
      <w:bookmarkEnd w:id="0"/>
      <w:r w:rsidRPr="00ED0FAB">
        <w:rPr>
          <w:rFonts w:ascii="宋体" w:eastAsia="宋体" w:cs="宋体" w:hint="eastAsia"/>
          <w:snapToGrid w:val="0"/>
          <w:color w:val="000000"/>
          <w:spacing w:val="-8"/>
          <w:kern w:val="0"/>
          <w:sz w:val="30"/>
          <w:szCs w:val="30"/>
        </w:rPr>
        <w:t>证券投资基金暂停大额申购、转换转入及定期定额投资业务的公告</w:t>
      </w:r>
    </w:p>
    <w:p w:rsidR="00637C46" w:rsidRPr="00ED0FAB" w:rsidRDefault="00ED0FAB">
      <w:pPr>
        <w:widowControl/>
        <w:jc w:val="center"/>
        <w:rPr>
          <w:rFonts w:ascii="宋体" w:eastAsia="宋体" w:cs="宋体"/>
          <w:b/>
          <w:kern w:val="0"/>
          <w:sz w:val="30"/>
          <w:szCs w:val="30"/>
        </w:rPr>
      </w:pPr>
      <w:r w:rsidRPr="00ED0FAB">
        <w:rPr>
          <w:rFonts w:ascii="宋体" w:eastAsia="宋体"/>
          <w:color w:val="000000"/>
          <w:sz w:val="24"/>
          <w:szCs w:val="24"/>
        </w:rPr>
        <w:t>公告送出日期：</w:t>
      </w:r>
      <w:r w:rsidRPr="00ED0FAB">
        <w:rPr>
          <w:rFonts w:ascii="宋体" w:eastAsia="宋体" w:hint="eastAsia"/>
          <w:kern w:val="0"/>
          <w:sz w:val="24"/>
          <w:szCs w:val="24"/>
        </w:rPr>
        <w:t>2026年02月12日</w:t>
      </w:r>
    </w:p>
    <w:p w:rsidR="00637C46" w:rsidRPr="00ED0FAB" w:rsidRDefault="00ED0FAB">
      <w:pPr>
        <w:pStyle w:val="2"/>
        <w:spacing w:line="560" w:lineRule="exact"/>
        <w:rPr>
          <w:rFonts w:ascii="宋体" w:eastAsia="宋体"/>
          <w:bCs w:val="0"/>
          <w:color w:val="000000"/>
          <w:sz w:val="24"/>
          <w:szCs w:val="24"/>
        </w:rPr>
      </w:pPr>
      <w:bookmarkStart w:id="1" w:name="_Toc275961405"/>
      <w:r w:rsidRPr="00ED0FAB">
        <w:rPr>
          <w:rFonts w:ascii="宋体" w:eastAsia="宋体"/>
          <w:bCs w:val="0"/>
          <w:color w:val="000000"/>
          <w:sz w:val="24"/>
          <w:szCs w:val="24"/>
        </w:rPr>
        <w:t>1 公告基本信息</w:t>
      </w:r>
      <w:bookmarkEnd w:id="1"/>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1984"/>
        <w:gridCol w:w="1246"/>
        <w:gridCol w:w="809"/>
        <w:gridCol w:w="2224"/>
      </w:tblGrid>
      <w:tr w:rsidR="00637C46" w:rsidRPr="00ED0FAB">
        <w:trPr>
          <w:jc w:val="center"/>
        </w:trPr>
        <w:tc>
          <w:tcPr>
            <w:tcW w:w="3256" w:type="dxa"/>
          </w:tcPr>
          <w:p w:rsidR="00637C46" w:rsidRPr="00ED0FAB" w:rsidRDefault="00ED0FAB">
            <w:pPr>
              <w:spacing w:line="360" w:lineRule="auto"/>
              <w:jc w:val="left"/>
              <w:rPr>
                <w:rFonts w:ascii="宋体" w:eastAsia="宋体"/>
                <w:color w:val="000000"/>
                <w:sz w:val="24"/>
                <w:szCs w:val="24"/>
              </w:rPr>
            </w:pPr>
            <w:r w:rsidRPr="00ED0FAB">
              <w:rPr>
                <w:rFonts w:ascii="宋体" w:eastAsia="宋体"/>
                <w:color w:val="000000"/>
                <w:sz w:val="24"/>
                <w:szCs w:val="24"/>
              </w:rPr>
              <w:t>基金名称</w:t>
            </w:r>
          </w:p>
        </w:tc>
        <w:tc>
          <w:tcPr>
            <w:tcW w:w="6263" w:type="dxa"/>
            <w:gridSpan w:val="4"/>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中银恒嘉60天滚动持有短债债券型证券投资基金</w:t>
            </w:r>
          </w:p>
        </w:tc>
      </w:tr>
      <w:tr w:rsidR="00637C46" w:rsidRPr="00ED0FAB">
        <w:trPr>
          <w:jc w:val="center"/>
        </w:trPr>
        <w:tc>
          <w:tcPr>
            <w:tcW w:w="3256" w:type="dxa"/>
          </w:tcPr>
          <w:p w:rsidR="00637C46" w:rsidRPr="00ED0FAB" w:rsidRDefault="00ED0FAB">
            <w:pPr>
              <w:spacing w:line="360" w:lineRule="auto"/>
              <w:jc w:val="left"/>
              <w:rPr>
                <w:rFonts w:ascii="宋体" w:eastAsia="宋体"/>
                <w:color w:val="000000"/>
                <w:kern w:val="0"/>
                <w:sz w:val="24"/>
                <w:szCs w:val="24"/>
              </w:rPr>
            </w:pPr>
            <w:r w:rsidRPr="00ED0FAB">
              <w:rPr>
                <w:rFonts w:ascii="宋体" w:eastAsia="宋体"/>
                <w:color w:val="000000"/>
                <w:sz w:val="24"/>
                <w:szCs w:val="24"/>
              </w:rPr>
              <w:t>基金简称</w:t>
            </w:r>
          </w:p>
        </w:tc>
        <w:tc>
          <w:tcPr>
            <w:tcW w:w="6263" w:type="dxa"/>
            <w:gridSpan w:val="4"/>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中银恒嘉60天滚动持有短债</w:t>
            </w:r>
          </w:p>
        </w:tc>
      </w:tr>
      <w:tr w:rsidR="00637C46" w:rsidRPr="00ED0FAB">
        <w:trPr>
          <w:jc w:val="center"/>
        </w:trPr>
        <w:tc>
          <w:tcPr>
            <w:tcW w:w="3256" w:type="dxa"/>
            <w:vAlign w:val="center"/>
          </w:tcPr>
          <w:p w:rsidR="00637C46" w:rsidRPr="00ED0FAB" w:rsidRDefault="00ED0FAB">
            <w:pPr>
              <w:spacing w:line="360" w:lineRule="auto"/>
              <w:jc w:val="left"/>
              <w:rPr>
                <w:rFonts w:ascii="宋体" w:eastAsia="宋体"/>
                <w:color w:val="000000"/>
                <w:sz w:val="24"/>
                <w:szCs w:val="24"/>
              </w:rPr>
            </w:pPr>
            <w:r w:rsidRPr="00ED0FAB">
              <w:rPr>
                <w:rFonts w:ascii="宋体" w:eastAsia="宋体"/>
                <w:color w:val="000000"/>
                <w:sz w:val="24"/>
                <w:szCs w:val="24"/>
              </w:rPr>
              <w:t>基金主代码</w:t>
            </w:r>
          </w:p>
        </w:tc>
        <w:tc>
          <w:tcPr>
            <w:tcW w:w="6263" w:type="dxa"/>
            <w:gridSpan w:val="4"/>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013838</w:t>
            </w:r>
          </w:p>
        </w:tc>
      </w:tr>
      <w:tr w:rsidR="00637C46" w:rsidRPr="00ED0FAB">
        <w:trPr>
          <w:jc w:val="center"/>
        </w:trPr>
        <w:tc>
          <w:tcPr>
            <w:tcW w:w="3256" w:type="dxa"/>
          </w:tcPr>
          <w:p w:rsidR="00637C46" w:rsidRPr="00ED0FAB" w:rsidRDefault="00ED0FAB">
            <w:pPr>
              <w:spacing w:line="360" w:lineRule="auto"/>
              <w:jc w:val="left"/>
              <w:rPr>
                <w:rFonts w:ascii="宋体" w:eastAsia="宋体"/>
                <w:color w:val="000000"/>
                <w:kern w:val="0"/>
                <w:sz w:val="24"/>
                <w:szCs w:val="24"/>
              </w:rPr>
            </w:pPr>
            <w:r w:rsidRPr="00ED0FAB">
              <w:rPr>
                <w:rFonts w:ascii="宋体" w:eastAsia="宋体"/>
                <w:color w:val="000000"/>
                <w:sz w:val="24"/>
                <w:szCs w:val="24"/>
              </w:rPr>
              <w:t>基金管理人名称</w:t>
            </w:r>
          </w:p>
        </w:tc>
        <w:tc>
          <w:tcPr>
            <w:tcW w:w="6263" w:type="dxa"/>
            <w:gridSpan w:val="4"/>
            <w:vAlign w:val="center"/>
          </w:tcPr>
          <w:p w:rsidR="00637C46" w:rsidRPr="00ED0FAB" w:rsidRDefault="00ED0FAB">
            <w:pPr>
              <w:spacing w:line="360" w:lineRule="auto"/>
              <w:jc w:val="left"/>
              <w:rPr>
                <w:rFonts w:ascii="宋体" w:eastAsia="宋体"/>
                <w:sz w:val="24"/>
                <w:szCs w:val="24"/>
              </w:rPr>
            </w:pPr>
            <w:r w:rsidRPr="00ED0FAB">
              <w:rPr>
                <w:rFonts w:ascii="宋体" w:eastAsia="宋体"/>
                <w:sz w:val="24"/>
                <w:szCs w:val="24"/>
              </w:rPr>
              <w:t>中银基金管理有限公司</w:t>
            </w:r>
          </w:p>
        </w:tc>
      </w:tr>
      <w:tr w:rsidR="00637C46" w:rsidRPr="00ED0FAB">
        <w:trPr>
          <w:jc w:val="center"/>
        </w:trPr>
        <w:tc>
          <w:tcPr>
            <w:tcW w:w="3256" w:type="dxa"/>
          </w:tcPr>
          <w:p w:rsidR="00637C46" w:rsidRPr="00ED0FAB" w:rsidRDefault="00ED0FAB">
            <w:pPr>
              <w:spacing w:line="360" w:lineRule="auto"/>
              <w:jc w:val="left"/>
              <w:rPr>
                <w:rFonts w:ascii="宋体" w:eastAsia="宋体"/>
                <w:color w:val="000000"/>
                <w:kern w:val="0"/>
                <w:sz w:val="24"/>
                <w:szCs w:val="24"/>
              </w:rPr>
            </w:pPr>
            <w:r w:rsidRPr="00ED0FAB">
              <w:rPr>
                <w:rFonts w:ascii="宋体" w:eastAsia="宋体"/>
                <w:color w:val="000000"/>
                <w:sz w:val="24"/>
                <w:szCs w:val="24"/>
              </w:rPr>
              <w:t>公告依据</w:t>
            </w:r>
          </w:p>
        </w:tc>
        <w:tc>
          <w:tcPr>
            <w:tcW w:w="6263" w:type="dxa"/>
            <w:gridSpan w:val="4"/>
            <w:vAlign w:val="center"/>
          </w:tcPr>
          <w:p w:rsidR="00637C46" w:rsidRPr="00ED0FAB" w:rsidRDefault="00ED0FAB">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sidRPr="00ED0FAB">
              <w:rPr>
                <w:rFonts w:ascii="宋体" w:eastAsia="宋体" w:cs="宋体"/>
                <w:snapToGrid w:val="0"/>
                <w:color w:val="000000"/>
                <w:spacing w:val="-8"/>
                <w:kern w:val="0"/>
                <w:sz w:val="24"/>
                <w:szCs w:val="24"/>
              </w:rPr>
              <w:t>相关法律法规及</w:t>
            </w:r>
            <w:r w:rsidRPr="00ED0FAB">
              <w:rPr>
                <w:rFonts w:ascii="宋体" w:eastAsia="宋体" w:cs="宋体" w:hint="eastAsia"/>
                <w:snapToGrid w:val="0"/>
                <w:color w:val="000000"/>
                <w:spacing w:val="-8"/>
                <w:kern w:val="0"/>
                <w:sz w:val="24"/>
                <w:szCs w:val="24"/>
              </w:rPr>
              <w:t>《中银恒嘉60天滚动持有短债债券型证券投资基金基金合同》和《中银恒嘉60天滚动持有短债债券型证券投资基金招募说明书》</w:t>
            </w:r>
            <w:r w:rsidRPr="00ED0FAB">
              <w:rPr>
                <w:rFonts w:ascii="宋体" w:eastAsia="宋体" w:cs="宋体"/>
                <w:snapToGrid w:val="0"/>
                <w:color w:val="000000"/>
                <w:spacing w:val="-8"/>
                <w:kern w:val="0"/>
                <w:sz w:val="24"/>
                <w:szCs w:val="24"/>
              </w:rPr>
              <w:t>的有关规定</w:t>
            </w:r>
          </w:p>
        </w:tc>
      </w:tr>
      <w:tr w:rsidR="00637C46" w:rsidRPr="00ED0FAB">
        <w:trPr>
          <w:trHeight w:val="1106"/>
          <w:jc w:val="center"/>
        </w:trPr>
        <w:tc>
          <w:tcPr>
            <w:tcW w:w="3256" w:type="dxa"/>
            <w:vMerge w:val="restart"/>
            <w:vAlign w:val="center"/>
          </w:tcPr>
          <w:p w:rsidR="00637C46" w:rsidRPr="00ED0FAB" w:rsidRDefault="00637C46">
            <w:pPr>
              <w:spacing w:line="360" w:lineRule="auto"/>
              <w:jc w:val="left"/>
              <w:rPr>
                <w:rFonts w:ascii="宋体" w:eastAsia="宋体"/>
                <w:color w:val="000000"/>
                <w:sz w:val="24"/>
                <w:szCs w:val="24"/>
              </w:rPr>
            </w:pPr>
          </w:p>
          <w:p w:rsidR="00637C46" w:rsidRPr="00ED0FAB" w:rsidRDefault="00ED0FAB">
            <w:pPr>
              <w:spacing w:line="360" w:lineRule="auto"/>
              <w:jc w:val="left"/>
            </w:pPr>
            <w:r w:rsidRPr="00ED0FAB">
              <w:rPr>
                <w:rFonts w:ascii="宋体" w:eastAsia="宋体"/>
                <w:color w:val="000000"/>
                <w:sz w:val="24"/>
                <w:szCs w:val="24"/>
              </w:rPr>
              <w:t>暂停相关业务的起始日、金额及原因说明</w:t>
            </w:r>
          </w:p>
          <w:p w:rsidR="00637C46" w:rsidRPr="00ED0FAB" w:rsidRDefault="00637C46">
            <w:pPr>
              <w:spacing w:line="360" w:lineRule="auto"/>
              <w:jc w:val="left"/>
              <w:rPr>
                <w:rFonts w:ascii="宋体" w:eastAsia="宋体"/>
                <w:color w:val="000000"/>
                <w:sz w:val="24"/>
                <w:szCs w:val="24"/>
              </w:rPr>
            </w:pPr>
          </w:p>
          <w:p w:rsidR="00637C46" w:rsidRPr="00ED0FAB" w:rsidRDefault="00637C46">
            <w:pPr>
              <w:spacing w:line="360" w:lineRule="auto"/>
              <w:jc w:val="left"/>
            </w:pPr>
          </w:p>
        </w:tc>
        <w:tc>
          <w:tcPr>
            <w:tcW w:w="3230" w:type="dxa"/>
            <w:gridSpan w:val="2"/>
          </w:tcPr>
          <w:p w:rsidR="00637C46" w:rsidRPr="00ED0FAB" w:rsidRDefault="00ED0FAB">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sidRPr="00ED0FAB">
              <w:rPr>
                <w:rFonts w:ascii="宋体" w:eastAsia="宋体" w:cs="宋体"/>
                <w:snapToGrid w:val="0"/>
                <w:color w:val="000000"/>
                <w:spacing w:val="-8"/>
                <w:kern w:val="0"/>
                <w:sz w:val="24"/>
                <w:szCs w:val="24"/>
              </w:rPr>
              <w:t>暂停</w:t>
            </w:r>
            <w:r w:rsidRPr="00ED0FAB">
              <w:rPr>
                <w:rFonts w:ascii="宋体" w:eastAsia="宋体" w:cs="宋体" w:hint="eastAsia"/>
                <w:snapToGrid w:val="0"/>
                <w:color w:val="000000"/>
                <w:spacing w:val="-5"/>
                <w:kern w:val="0"/>
                <w:sz w:val="24"/>
                <w:szCs w:val="24"/>
              </w:rPr>
              <w:t>大额申购、转换转入及定期定额投资</w:t>
            </w:r>
            <w:r w:rsidRPr="00ED0FAB">
              <w:rPr>
                <w:rFonts w:ascii="宋体" w:eastAsia="宋体" w:cs="宋体"/>
                <w:snapToGrid w:val="0"/>
                <w:color w:val="000000"/>
                <w:spacing w:val="-8"/>
                <w:kern w:val="0"/>
                <w:sz w:val="24"/>
                <w:szCs w:val="24"/>
              </w:rPr>
              <w:t>起始日</w:t>
            </w:r>
          </w:p>
        </w:tc>
        <w:tc>
          <w:tcPr>
            <w:tcW w:w="3033" w:type="dxa"/>
            <w:gridSpan w:val="2"/>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kern w:val="0"/>
                <w:sz w:val="24"/>
                <w:szCs w:val="24"/>
              </w:rPr>
              <w:t>2026年02月12日</w:t>
            </w:r>
          </w:p>
        </w:tc>
      </w:tr>
      <w:tr w:rsidR="00637C46" w:rsidRPr="00ED0FAB">
        <w:trPr>
          <w:trHeight w:val="980"/>
          <w:jc w:val="center"/>
        </w:trPr>
        <w:tc>
          <w:tcPr>
            <w:tcW w:w="3256" w:type="dxa"/>
            <w:vMerge/>
          </w:tcPr>
          <w:p w:rsidR="00637C46" w:rsidRPr="00ED0FAB" w:rsidRDefault="00637C46"/>
        </w:tc>
        <w:tc>
          <w:tcPr>
            <w:tcW w:w="3230" w:type="dxa"/>
            <w:gridSpan w:val="2"/>
            <w:vAlign w:val="center"/>
          </w:tcPr>
          <w:p w:rsidR="00637C46" w:rsidRPr="00ED0FAB" w:rsidRDefault="00ED0FAB">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sidRPr="00ED0FAB">
              <w:rPr>
                <w:rFonts w:ascii="宋体" w:eastAsia="宋体" w:cs="宋体"/>
                <w:snapToGrid w:val="0"/>
                <w:color w:val="000000"/>
                <w:spacing w:val="-8"/>
                <w:kern w:val="0"/>
                <w:sz w:val="24"/>
                <w:szCs w:val="24"/>
              </w:rPr>
              <w:t>限制</w:t>
            </w:r>
            <w:r w:rsidRPr="00ED0FAB">
              <w:rPr>
                <w:rFonts w:ascii="宋体" w:eastAsia="宋体" w:cs="宋体" w:hint="eastAsia"/>
                <w:snapToGrid w:val="0"/>
                <w:color w:val="000000"/>
                <w:spacing w:val="-5"/>
                <w:kern w:val="0"/>
                <w:sz w:val="24"/>
                <w:szCs w:val="24"/>
              </w:rPr>
              <w:t>大额申购、转换转入及定期定额投资</w:t>
            </w:r>
            <w:r w:rsidRPr="00ED0FAB">
              <w:rPr>
                <w:rFonts w:ascii="宋体" w:eastAsia="宋体" w:cs="宋体"/>
                <w:snapToGrid w:val="0"/>
                <w:color w:val="000000"/>
                <w:spacing w:val="-8"/>
                <w:kern w:val="0"/>
                <w:sz w:val="24"/>
                <w:szCs w:val="24"/>
              </w:rPr>
              <w:t>金额（单位：</w:t>
            </w:r>
            <w:r w:rsidRPr="00ED0FAB">
              <w:rPr>
                <w:rFonts w:ascii="宋体" w:eastAsia="宋体" w:cs="宋体" w:hint="eastAsia"/>
                <w:snapToGrid w:val="0"/>
                <w:color w:val="000000"/>
                <w:spacing w:val="-8"/>
                <w:kern w:val="0"/>
                <w:sz w:val="24"/>
                <w:szCs w:val="24"/>
              </w:rPr>
              <w:t>元</w:t>
            </w:r>
            <w:r w:rsidRPr="00ED0FAB">
              <w:rPr>
                <w:rFonts w:ascii="宋体" w:eastAsia="宋体" w:cs="宋体"/>
                <w:snapToGrid w:val="0"/>
                <w:color w:val="000000"/>
                <w:spacing w:val="-8"/>
                <w:kern w:val="0"/>
                <w:sz w:val="24"/>
                <w:szCs w:val="24"/>
              </w:rPr>
              <w:t>）</w:t>
            </w:r>
          </w:p>
        </w:tc>
        <w:tc>
          <w:tcPr>
            <w:tcW w:w="3033" w:type="dxa"/>
            <w:gridSpan w:val="2"/>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100,000</w:t>
            </w:r>
          </w:p>
        </w:tc>
      </w:tr>
      <w:tr w:rsidR="00637C46" w:rsidRPr="00ED0FAB">
        <w:trPr>
          <w:trHeight w:val="1187"/>
          <w:jc w:val="center"/>
        </w:trPr>
        <w:tc>
          <w:tcPr>
            <w:tcW w:w="3256" w:type="dxa"/>
            <w:vMerge/>
          </w:tcPr>
          <w:p w:rsidR="00637C46" w:rsidRPr="00ED0FAB" w:rsidRDefault="00637C46"/>
        </w:tc>
        <w:tc>
          <w:tcPr>
            <w:tcW w:w="3230" w:type="dxa"/>
            <w:gridSpan w:val="2"/>
          </w:tcPr>
          <w:p w:rsidR="00637C46" w:rsidRPr="00ED0FAB" w:rsidRDefault="00ED0FAB">
            <w:pPr>
              <w:widowControl/>
              <w:kinsoku w:val="0"/>
              <w:autoSpaceDE w:val="0"/>
              <w:autoSpaceDN w:val="0"/>
              <w:adjustRightInd w:val="0"/>
              <w:snapToGrid w:val="0"/>
              <w:spacing w:before="245" w:line="360" w:lineRule="auto"/>
              <w:ind w:left="108"/>
              <w:jc w:val="left"/>
              <w:textAlignment w:val="baseline"/>
              <w:rPr>
                <w:rFonts w:ascii="宋体" w:eastAsia="宋体"/>
                <w:color w:val="000000"/>
                <w:kern w:val="0"/>
                <w:sz w:val="24"/>
                <w:szCs w:val="24"/>
              </w:rPr>
            </w:pPr>
            <w:r w:rsidRPr="00ED0FAB">
              <w:rPr>
                <w:rFonts w:ascii="宋体" w:eastAsia="宋体" w:cs="宋体"/>
                <w:snapToGrid w:val="0"/>
                <w:color w:val="000000"/>
                <w:spacing w:val="-8"/>
                <w:kern w:val="0"/>
                <w:sz w:val="24"/>
                <w:szCs w:val="24"/>
              </w:rPr>
              <w:t>暂停</w:t>
            </w:r>
            <w:r w:rsidRPr="00ED0FAB">
              <w:rPr>
                <w:rFonts w:ascii="宋体" w:eastAsia="宋体" w:cs="宋体" w:hint="eastAsia"/>
                <w:snapToGrid w:val="0"/>
                <w:color w:val="000000"/>
                <w:spacing w:val="-5"/>
                <w:kern w:val="0"/>
                <w:sz w:val="24"/>
                <w:szCs w:val="24"/>
              </w:rPr>
              <w:t>大额申购、转换转入及定期定额投资</w:t>
            </w:r>
            <w:r w:rsidRPr="00ED0FAB">
              <w:rPr>
                <w:rFonts w:ascii="宋体" w:eastAsia="宋体" w:cs="宋体"/>
                <w:snapToGrid w:val="0"/>
                <w:color w:val="000000"/>
                <w:spacing w:val="-8"/>
                <w:kern w:val="0"/>
                <w:sz w:val="24"/>
                <w:szCs w:val="24"/>
              </w:rPr>
              <w:t>的原因说明</w:t>
            </w:r>
          </w:p>
        </w:tc>
        <w:tc>
          <w:tcPr>
            <w:tcW w:w="3033" w:type="dxa"/>
            <w:gridSpan w:val="2"/>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保护基金份额持有人利益</w:t>
            </w:r>
            <w:r w:rsidRPr="00ED0FAB">
              <w:rPr>
                <w:rFonts w:ascii="宋体" w:eastAsia="宋体"/>
                <w:sz w:val="24"/>
                <w:szCs w:val="24"/>
              </w:rPr>
              <w:t xml:space="preserve"> </w:t>
            </w:r>
          </w:p>
        </w:tc>
      </w:tr>
      <w:tr w:rsidR="00637C46" w:rsidRPr="00ED0FAB">
        <w:trPr>
          <w:jc w:val="center"/>
        </w:trPr>
        <w:tc>
          <w:tcPr>
            <w:tcW w:w="3256" w:type="dxa"/>
            <w:vAlign w:val="center"/>
          </w:tcPr>
          <w:p w:rsidR="00637C46" w:rsidRPr="00ED0FAB" w:rsidRDefault="00ED0FAB">
            <w:pPr>
              <w:spacing w:line="360" w:lineRule="auto"/>
              <w:jc w:val="left"/>
            </w:pPr>
            <w:r w:rsidRPr="00ED0FAB">
              <w:rPr>
                <w:rFonts w:ascii="宋体" w:eastAsia="宋体"/>
                <w:color w:val="000000"/>
                <w:sz w:val="24"/>
                <w:szCs w:val="24"/>
              </w:rPr>
              <w:t>下属分级基金的基金简称</w:t>
            </w:r>
          </w:p>
        </w:tc>
        <w:tc>
          <w:tcPr>
            <w:tcW w:w="1984" w:type="dxa"/>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中银恒嘉60天滚动持有短债A</w:t>
            </w:r>
          </w:p>
        </w:tc>
        <w:tc>
          <w:tcPr>
            <w:tcW w:w="2055" w:type="dxa"/>
            <w:gridSpan w:val="2"/>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中银恒嘉60天滚动持有短债C</w:t>
            </w:r>
          </w:p>
        </w:tc>
        <w:tc>
          <w:tcPr>
            <w:tcW w:w="2224" w:type="dxa"/>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中银恒嘉60天滚动持有短债E</w:t>
            </w:r>
          </w:p>
        </w:tc>
      </w:tr>
      <w:tr w:rsidR="00637C46" w:rsidRPr="00ED0FAB">
        <w:trPr>
          <w:jc w:val="center"/>
        </w:trPr>
        <w:tc>
          <w:tcPr>
            <w:tcW w:w="3256" w:type="dxa"/>
            <w:vAlign w:val="center"/>
          </w:tcPr>
          <w:p w:rsidR="00637C46" w:rsidRPr="00ED0FAB" w:rsidRDefault="00ED0FAB">
            <w:pPr>
              <w:spacing w:line="360" w:lineRule="auto"/>
              <w:jc w:val="left"/>
            </w:pPr>
            <w:r w:rsidRPr="00ED0FAB">
              <w:rPr>
                <w:rFonts w:ascii="宋体" w:eastAsia="宋体"/>
                <w:color w:val="000000"/>
                <w:sz w:val="24"/>
                <w:szCs w:val="24"/>
              </w:rPr>
              <w:t>下属分级基金的交易代码</w:t>
            </w:r>
          </w:p>
        </w:tc>
        <w:tc>
          <w:tcPr>
            <w:tcW w:w="1984" w:type="dxa"/>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013838</w:t>
            </w:r>
          </w:p>
        </w:tc>
        <w:tc>
          <w:tcPr>
            <w:tcW w:w="2055" w:type="dxa"/>
            <w:gridSpan w:val="2"/>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013839</w:t>
            </w:r>
          </w:p>
        </w:tc>
        <w:tc>
          <w:tcPr>
            <w:tcW w:w="2224" w:type="dxa"/>
            <w:vAlign w:val="center"/>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015501</w:t>
            </w:r>
          </w:p>
        </w:tc>
      </w:tr>
      <w:tr w:rsidR="00637C46" w:rsidRPr="00ED0FAB">
        <w:trPr>
          <w:jc w:val="center"/>
        </w:trPr>
        <w:tc>
          <w:tcPr>
            <w:tcW w:w="3256" w:type="dxa"/>
            <w:vAlign w:val="center"/>
          </w:tcPr>
          <w:p w:rsidR="00637C46" w:rsidRPr="00ED0FAB" w:rsidRDefault="00ED0FAB">
            <w:pPr>
              <w:spacing w:line="360" w:lineRule="auto"/>
              <w:jc w:val="left"/>
              <w:rPr>
                <w:rFonts w:eastAsia="宋体"/>
              </w:rPr>
            </w:pPr>
            <w:r w:rsidRPr="00ED0FAB">
              <w:rPr>
                <w:rFonts w:ascii="宋体" w:eastAsia="宋体"/>
                <w:color w:val="000000"/>
                <w:sz w:val="24"/>
                <w:szCs w:val="24"/>
              </w:rPr>
              <w:t>该分级基金是否暂停</w:t>
            </w:r>
            <w:r w:rsidRPr="00ED0FAB">
              <w:rPr>
                <w:rFonts w:ascii="宋体" w:eastAsia="宋体" w:hint="eastAsia"/>
                <w:color w:val="000000"/>
                <w:sz w:val="24"/>
                <w:szCs w:val="24"/>
              </w:rPr>
              <w:t>大额申购、转换转入及定期定额投资</w:t>
            </w:r>
          </w:p>
        </w:tc>
        <w:tc>
          <w:tcPr>
            <w:tcW w:w="1984" w:type="dxa"/>
          </w:tcPr>
          <w:p w:rsidR="00637C46" w:rsidRPr="00ED0FAB" w:rsidRDefault="00ED0FAB">
            <w:pPr>
              <w:spacing w:line="360" w:lineRule="auto"/>
              <w:jc w:val="left"/>
              <w:rPr>
                <w:rFonts w:ascii="宋体" w:eastAsia="宋体"/>
                <w:sz w:val="24"/>
                <w:szCs w:val="24"/>
              </w:rPr>
            </w:pPr>
            <w:r w:rsidRPr="00ED0FAB">
              <w:rPr>
                <w:rFonts w:ascii="宋体" w:eastAsia="宋体" w:hint="eastAsia"/>
                <w:color w:val="000000"/>
                <w:sz w:val="24"/>
                <w:szCs w:val="24"/>
              </w:rPr>
              <w:t>是</w:t>
            </w:r>
          </w:p>
          <w:p w:rsidR="00637C46" w:rsidRPr="00ED0FAB" w:rsidRDefault="00637C46">
            <w:pPr>
              <w:spacing w:line="360" w:lineRule="auto"/>
              <w:jc w:val="left"/>
              <w:rPr>
                <w:rFonts w:ascii="宋体" w:eastAsia="宋体"/>
              </w:rPr>
            </w:pPr>
          </w:p>
        </w:tc>
        <w:tc>
          <w:tcPr>
            <w:tcW w:w="2055" w:type="dxa"/>
            <w:gridSpan w:val="2"/>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是</w:t>
            </w:r>
          </w:p>
        </w:tc>
        <w:tc>
          <w:tcPr>
            <w:tcW w:w="2224" w:type="dxa"/>
          </w:tcPr>
          <w:p w:rsidR="00637C46" w:rsidRPr="00ED0FAB" w:rsidRDefault="00ED0FAB">
            <w:pPr>
              <w:spacing w:line="360" w:lineRule="auto"/>
              <w:jc w:val="left"/>
              <w:rPr>
                <w:rFonts w:ascii="宋体" w:eastAsia="宋体"/>
                <w:sz w:val="24"/>
                <w:szCs w:val="24"/>
              </w:rPr>
            </w:pPr>
            <w:r w:rsidRPr="00ED0FAB">
              <w:rPr>
                <w:rFonts w:ascii="宋体" w:eastAsia="宋体" w:hint="eastAsia"/>
                <w:sz w:val="24"/>
                <w:szCs w:val="24"/>
              </w:rPr>
              <w:t>是</w:t>
            </w:r>
          </w:p>
        </w:tc>
      </w:tr>
    </w:tbl>
    <w:p w:rsidR="00637C46" w:rsidRPr="00ED0FAB" w:rsidRDefault="00ED0FAB">
      <w:pPr>
        <w:pStyle w:val="2"/>
        <w:spacing w:line="560" w:lineRule="exact"/>
        <w:rPr>
          <w:rFonts w:ascii="宋体" w:eastAsia="宋体"/>
          <w:bCs w:val="0"/>
          <w:color w:val="000000"/>
          <w:sz w:val="24"/>
          <w:szCs w:val="24"/>
        </w:rPr>
      </w:pPr>
      <w:bookmarkStart w:id="2" w:name="_Toc275961406"/>
      <w:r w:rsidRPr="00ED0FAB">
        <w:rPr>
          <w:rFonts w:ascii="宋体" w:eastAsia="宋体"/>
          <w:bCs w:val="0"/>
          <w:color w:val="000000"/>
          <w:sz w:val="24"/>
          <w:szCs w:val="24"/>
        </w:rPr>
        <w:lastRenderedPageBreak/>
        <w:t>2其他需要提示的事项</w:t>
      </w:r>
      <w:bookmarkEnd w:id="2"/>
    </w:p>
    <w:p w:rsidR="00637C46" w:rsidRPr="00ED0FAB" w:rsidRDefault="00ED0FAB" w:rsidP="002D5323">
      <w:pPr>
        <w:spacing w:beforeLines="10" w:line="360" w:lineRule="auto"/>
        <w:ind w:firstLineChars="200" w:firstLine="480"/>
        <w:rPr>
          <w:rFonts w:ascii="宋体" w:eastAsia="宋体"/>
          <w:color w:val="000000"/>
          <w:sz w:val="24"/>
          <w:szCs w:val="24"/>
        </w:rPr>
      </w:pPr>
      <w:r w:rsidRPr="00ED0FAB">
        <w:rPr>
          <w:rFonts w:ascii="宋体" w:eastAsia="宋体"/>
          <w:color w:val="000000"/>
          <w:sz w:val="24"/>
          <w:szCs w:val="24"/>
        </w:rPr>
        <w:t>上述业务调整适用</w:t>
      </w:r>
      <w:r w:rsidRPr="00ED0FAB">
        <w:rPr>
          <w:rFonts w:ascii="宋体" w:eastAsia="宋体" w:hint="eastAsia"/>
          <w:color w:val="000000"/>
          <w:sz w:val="24"/>
          <w:szCs w:val="24"/>
        </w:rPr>
        <w:t>于</w:t>
      </w:r>
      <w:r w:rsidRPr="00ED0FAB">
        <w:rPr>
          <w:rFonts w:ascii="宋体" w:eastAsia="宋体"/>
          <w:color w:val="000000"/>
          <w:sz w:val="24"/>
          <w:szCs w:val="24"/>
        </w:rPr>
        <w:t>代销机构、基金管理人直销中心柜台、基金管理人电子直销平台。</w:t>
      </w:r>
    </w:p>
    <w:p w:rsidR="00637C46" w:rsidRPr="00ED0FAB" w:rsidRDefault="00ED0FAB" w:rsidP="002D5323">
      <w:pPr>
        <w:spacing w:beforeLines="10" w:line="360" w:lineRule="auto"/>
        <w:ind w:firstLine="480"/>
      </w:pPr>
      <w:r w:rsidRPr="00ED0FAB">
        <w:rPr>
          <w:rFonts w:ascii="宋体" w:eastAsia="宋体" w:hint="eastAsia"/>
          <w:color w:val="000000"/>
          <w:sz w:val="24"/>
          <w:szCs w:val="24"/>
        </w:rPr>
        <w:t>自2026年02月12日起，本基金A类、C类和E类基金份额均暂停接受单日单个基金账户单笔或累计超过10万元（不含10万元）的申购、转换转入及定期定额投资申请。如单日单个基金账户单笔申购、转换转入及定期定额投资本基金的金额超过10万元（不含10万元），对该笔申购、转换转入及定期定额投资申请本公司有权拒绝；如单日单个基金账户多笔累计申购、转换转入及定期定额投资本基金单一类别的金额超过10万元（不含10万元），对超过限额的该笔或多笔申购、转换转入及定期定额投资申请本公司有权拒绝。</w:t>
      </w:r>
    </w:p>
    <w:p w:rsidR="00637C46" w:rsidRPr="00ED0FAB" w:rsidRDefault="00ED0FAB" w:rsidP="002D5323">
      <w:pPr>
        <w:spacing w:beforeLines="10" w:line="360" w:lineRule="auto"/>
        <w:ind w:firstLine="480"/>
      </w:pPr>
      <w:r w:rsidRPr="00ED0FAB">
        <w:rPr>
          <w:rFonts w:ascii="宋体" w:eastAsia="宋体" w:hint="eastAsia"/>
          <w:color w:val="000000"/>
          <w:sz w:val="24"/>
          <w:szCs w:val="24"/>
        </w:rPr>
        <w:t>在本基金暂停大额申购、转换转入和定期定额投资业务期间，本基金的赎回等业务正常办理。</w:t>
      </w:r>
    </w:p>
    <w:p w:rsidR="00637C46" w:rsidRPr="00ED0FAB" w:rsidRDefault="00ED0FAB" w:rsidP="002D5323">
      <w:pPr>
        <w:spacing w:beforeLines="10" w:line="360" w:lineRule="auto"/>
        <w:ind w:firstLine="480"/>
      </w:pPr>
      <w:r w:rsidRPr="00ED0FAB">
        <w:rPr>
          <w:rFonts w:ascii="宋体" w:eastAsia="宋体" w:hint="eastAsia"/>
          <w:color w:val="000000"/>
          <w:sz w:val="24"/>
          <w:szCs w:val="24"/>
        </w:rPr>
        <w:t>本基金暂不向金融机构自营账户销售（基金管理人自有资金除外），如未来本基金开放向金融机构自营账户公开销售或对销售对象的范围予以进一步限定，基金管理人将另行公告。</w:t>
      </w:r>
    </w:p>
    <w:p w:rsidR="00637C46" w:rsidRPr="00ED0FAB" w:rsidRDefault="00ED0FAB" w:rsidP="002D5323">
      <w:pPr>
        <w:spacing w:beforeLines="10" w:line="360" w:lineRule="auto"/>
        <w:ind w:firstLine="480"/>
      </w:pPr>
      <w:r w:rsidRPr="00ED0FAB">
        <w:rPr>
          <w:rFonts w:ascii="宋体" w:eastAsia="宋体" w:hint="eastAsia"/>
          <w:color w:val="000000"/>
          <w:sz w:val="24"/>
          <w:szCs w:val="24"/>
        </w:rPr>
        <w:t>2026年2月24日起本基金将恢复单一投资者单日申购及定期定额投资限额为1000 万（不含1000 万）、（个人投资者、公募资产管理产品、职业年金、企业年金计划及基金管理人以自有资金投资的情况除外），届时将不再另行公告。</w:t>
      </w:r>
    </w:p>
    <w:p w:rsidR="00637C46" w:rsidRPr="00ED0FAB" w:rsidRDefault="00ED0FAB" w:rsidP="002D5323">
      <w:pPr>
        <w:spacing w:beforeLines="10" w:line="360" w:lineRule="auto"/>
        <w:ind w:firstLine="480"/>
      </w:pPr>
      <w:r w:rsidRPr="00ED0FAB">
        <w:rPr>
          <w:rFonts w:ascii="宋体" w:eastAsia="宋体" w:hint="eastAsia"/>
          <w:color w:val="000000"/>
          <w:sz w:val="24"/>
          <w:szCs w:val="24"/>
        </w:rPr>
        <w:t>投资者如欲了解详情，可登陆本公司网站（www.bocim.com）或拨打客户服务电话：400-888-5566；021-38834788。</w:t>
      </w:r>
    </w:p>
    <w:p w:rsidR="00637C46" w:rsidRPr="00ED0FAB" w:rsidRDefault="00ED0FAB" w:rsidP="002D5323">
      <w:pPr>
        <w:spacing w:beforeLines="10" w:line="360" w:lineRule="auto"/>
        <w:ind w:firstLineChars="200" w:firstLine="480"/>
        <w:rPr>
          <w:rFonts w:ascii="宋体" w:eastAsia="宋体"/>
          <w:color w:val="000000"/>
          <w:sz w:val="24"/>
          <w:szCs w:val="24"/>
        </w:rPr>
      </w:pPr>
      <w:r w:rsidRPr="00ED0FAB">
        <w:rPr>
          <w:rFonts w:ascii="宋体" w:eastAsia="宋体"/>
          <w:color w:val="000000"/>
          <w:sz w:val="24"/>
          <w:szCs w:val="24"/>
        </w:rPr>
        <w:t>风险提示：</w:t>
      </w:r>
    </w:p>
    <w:p w:rsidR="00637C46" w:rsidRPr="00ED0FAB" w:rsidRDefault="00ED0FAB" w:rsidP="002D5323">
      <w:pPr>
        <w:spacing w:beforeLines="10" w:line="360" w:lineRule="auto"/>
        <w:ind w:firstLineChars="200" w:firstLine="480"/>
        <w:rPr>
          <w:rFonts w:ascii="宋体" w:eastAsia="宋体"/>
          <w:color w:val="000000"/>
          <w:sz w:val="24"/>
          <w:szCs w:val="24"/>
        </w:rPr>
      </w:pPr>
      <w:r w:rsidRPr="00ED0FAB">
        <w:rPr>
          <w:rFonts w:ascii="宋体" w:eastAsia="宋体" w:hint="eastAsia"/>
          <w:color w:val="000000"/>
          <w:sz w:val="24"/>
          <w:szCs w:val="24"/>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买者自负”原则，在做出投资决策后，基金运营状况与基金净值变化引致的投资风险，由投资者自行负担。</w:t>
      </w:r>
    </w:p>
    <w:p w:rsidR="00637C46" w:rsidRPr="00ED0FAB" w:rsidRDefault="00ED0FAB" w:rsidP="002D5323">
      <w:pPr>
        <w:spacing w:beforeLines="10" w:line="360" w:lineRule="auto"/>
        <w:ind w:firstLineChars="200" w:firstLine="480"/>
        <w:rPr>
          <w:rFonts w:ascii="宋体" w:eastAsia="宋体"/>
          <w:color w:val="000000"/>
          <w:sz w:val="24"/>
          <w:szCs w:val="24"/>
        </w:rPr>
      </w:pPr>
      <w:r w:rsidRPr="00ED0FAB">
        <w:rPr>
          <w:rFonts w:ascii="宋体" w:eastAsia="宋体" w:hint="eastAsia"/>
          <w:color w:val="000000"/>
          <w:sz w:val="24"/>
          <w:szCs w:val="24"/>
        </w:rPr>
        <w:t>投资者投资本基金前应认真阅读基金合同、招募说明书、产品资料概要等文件，了解拟投资基金的风险收益特征，并根据自身投资目的、投资期限、投资经</w:t>
      </w:r>
      <w:r w:rsidRPr="00ED0FAB">
        <w:rPr>
          <w:rFonts w:ascii="宋体" w:eastAsia="宋体" w:hint="eastAsia"/>
          <w:color w:val="000000"/>
          <w:sz w:val="24"/>
          <w:szCs w:val="24"/>
        </w:rPr>
        <w:lastRenderedPageBreak/>
        <w:t>验、资产状况等判断基金是否和投资者的风险承受能力相匹配，并按照销售机构的要求完成风险承受能力与产品风险之间的匹配检验。</w:t>
      </w:r>
    </w:p>
    <w:p w:rsidR="00637C46" w:rsidRPr="00ED0FAB" w:rsidRDefault="00ED0FAB" w:rsidP="002D5323">
      <w:pPr>
        <w:spacing w:beforeLines="10" w:line="360" w:lineRule="auto"/>
        <w:ind w:firstLineChars="200" w:firstLine="480"/>
        <w:rPr>
          <w:rFonts w:ascii="宋体" w:eastAsia="宋体"/>
          <w:color w:val="000000"/>
          <w:sz w:val="24"/>
          <w:szCs w:val="24"/>
        </w:rPr>
      </w:pPr>
      <w:bookmarkStart w:id="3" w:name="_Hlk129784011"/>
      <w:r w:rsidRPr="00ED0FAB">
        <w:rPr>
          <w:rFonts w:ascii="宋体" w:eastAsia="宋体" w:hint="eastAsia"/>
          <w:color w:val="000000"/>
          <w:sz w:val="24"/>
          <w:szCs w:val="24"/>
        </w:rPr>
        <w:t>投资者应当充分了解基金定期定额投资和银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敬请注意投资风险。</w:t>
      </w:r>
    </w:p>
    <w:bookmarkEnd w:id="3"/>
    <w:p w:rsidR="00637C46" w:rsidRPr="00ED0FAB" w:rsidRDefault="00ED0FAB" w:rsidP="002D5323">
      <w:pPr>
        <w:spacing w:beforeLines="10" w:line="360" w:lineRule="auto"/>
        <w:ind w:firstLineChars="200" w:firstLine="480"/>
        <w:rPr>
          <w:rFonts w:ascii="宋体" w:eastAsia="宋体"/>
          <w:color w:val="000000"/>
          <w:sz w:val="24"/>
          <w:szCs w:val="24"/>
        </w:rPr>
      </w:pPr>
      <w:r w:rsidRPr="00ED0FAB">
        <w:rPr>
          <w:rFonts w:ascii="宋体" w:eastAsia="宋体"/>
          <w:color w:val="000000"/>
          <w:sz w:val="24"/>
          <w:szCs w:val="24"/>
        </w:rPr>
        <w:t>特此公告。</w:t>
      </w:r>
    </w:p>
    <w:p w:rsidR="00637C46" w:rsidRPr="00ED0FAB" w:rsidRDefault="00637C46">
      <w:pPr>
        <w:spacing w:line="560" w:lineRule="exact"/>
        <w:ind w:firstLine="420"/>
        <w:jc w:val="right"/>
        <w:rPr>
          <w:rFonts w:ascii="宋体" w:eastAsia="宋体"/>
          <w:sz w:val="24"/>
          <w:szCs w:val="24"/>
        </w:rPr>
      </w:pPr>
    </w:p>
    <w:p w:rsidR="00637C46" w:rsidRPr="00ED0FAB" w:rsidRDefault="00ED0FAB">
      <w:pPr>
        <w:spacing w:line="560" w:lineRule="exact"/>
        <w:ind w:firstLine="420"/>
        <w:jc w:val="right"/>
        <w:rPr>
          <w:rFonts w:ascii="宋体" w:eastAsia="宋体"/>
          <w:sz w:val="24"/>
          <w:szCs w:val="24"/>
        </w:rPr>
      </w:pPr>
      <w:r w:rsidRPr="00ED0FAB">
        <w:rPr>
          <w:rFonts w:ascii="宋体" w:eastAsia="宋体"/>
          <w:sz w:val="24"/>
          <w:szCs w:val="24"/>
        </w:rPr>
        <w:t>中银基金管理有限公司</w:t>
      </w:r>
    </w:p>
    <w:p w:rsidR="00637C46" w:rsidRDefault="00ED0FAB">
      <w:pPr>
        <w:spacing w:line="560" w:lineRule="exact"/>
        <w:ind w:firstLine="420"/>
        <w:jc w:val="right"/>
        <w:rPr>
          <w:rFonts w:ascii="宋体" w:eastAsia="宋体"/>
          <w:sz w:val="24"/>
          <w:szCs w:val="24"/>
        </w:rPr>
      </w:pPr>
      <w:r w:rsidRPr="00ED0FAB">
        <w:rPr>
          <w:rFonts w:ascii="宋体" w:eastAsia="宋体" w:hint="eastAsia"/>
          <w:kern w:val="0"/>
          <w:sz w:val="24"/>
          <w:szCs w:val="24"/>
        </w:rPr>
        <w:t>2026年02月12日</w:t>
      </w:r>
    </w:p>
    <w:sectPr w:rsidR="00637C46" w:rsidSect="007407E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FAB" w:rsidRDefault="00ED0FAB" w:rsidP="00ED0FAB">
      <w:r>
        <w:separator/>
      </w:r>
    </w:p>
  </w:endnote>
  <w:endnote w:type="continuationSeparator" w:id="0">
    <w:p w:rsidR="00ED0FAB" w:rsidRDefault="00ED0FAB" w:rsidP="00ED0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FAB" w:rsidRDefault="00ED0FAB" w:rsidP="00ED0FAB">
      <w:r>
        <w:separator/>
      </w:r>
    </w:p>
  </w:footnote>
  <w:footnote w:type="continuationSeparator" w:id="0">
    <w:p w:rsidR="00ED0FAB" w:rsidRDefault="00ED0FAB" w:rsidP="00ED0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ODg2ODM1YzliOTA5OTViNjFlNWNlNTM0NzFlNWViYTYifQ=="/>
  </w:docVars>
  <w:rsids>
    <w:rsidRoot w:val="00637C46"/>
    <w:rsid w:val="002D5323"/>
    <w:rsid w:val="00637C46"/>
    <w:rsid w:val="007407EA"/>
    <w:rsid w:val="00ED0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407EA"/>
    <w:pPr>
      <w:widowControl w:val="0"/>
      <w:jc w:val="both"/>
    </w:pPr>
    <w:rPr>
      <w:rFonts w:eastAsia="方正仿宋简体"/>
      <w:kern w:val="2"/>
      <w:sz w:val="32"/>
    </w:rPr>
  </w:style>
  <w:style w:type="paragraph" w:styleId="1">
    <w:name w:val="heading 1"/>
    <w:basedOn w:val="a"/>
    <w:next w:val="a"/>
    <w:rsid w:val="007407EA"/>
    <w:pPr>
      <w:keepNext/>
      <w:keepLines/>
      <w:spacing w:before="340" w:after="330" w:line="578" w:lineRule="auto"/>
      <w:outlineLvl w:val="0"/>
    </w:pPr>
    <w:rPr>
      <w:rFonts w:eastAsia="宋体"/>
      <w:b/>
      <w:bCs/>
      <w:kern w:val="44"/>
      <w:sz w:val="44"/>
      <w:szCs w:val="44"/>
    </w:rPr>
  </w:style>
  <w:style w:type="paragraph" w:styleId="2">
    <w:name w:val="heading 2"/>
    <w:basedOn w:val="a"/>
    <w:next w:val="a"/>
    <w:rsid w:val="007407EA"/>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7407E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7407EA"/>
    <w:pPr>
      <w:jc w:val="left"/>
    </w:pPr>
  </w:style>
  <w:style w:type="paragraph" w:styleId="a4">
    <w:name w:val="Balloon Text"/>
    <w:basedOn w:val="a"/>
    <w:rsid w:val="007407EA"/>
    <w:rPr>
      <w:sz w:val="18"/>
      <w:szCs w:val="18"/>
    </w:rPr>
  </w:style>
  <w:style w:type="paragraph" w:styleId="a5">
    <w:name w:val="footer"/>
    <w:basedOn w:val="a"/>
    <w:rsid w:val="007407EA"/>
    <w:pPr>
      <w:tabs>
        <w:tab w:val="center" w:pos="4153"/>
        <w:tab w:val="right" w:pos="8306"/>
      </w:tabs>
      <w:snapToGrid w:val="0"/>
      <w:jc w:val="left"/>
    </w:pPr>
    <w:rPr>
      <w:sz w:val="18"/>
      <w:szCs w:val="18"/>
    </w:rPr>
  </w:style>
  <w:style w:type="paragraph" w:styleId="a6">
    <w:name w:val="header"/>
    <w:basedOn w:val="a"/>
    <w:rsid w:val="007407EA"/>
    <w:pPr>
      <w:pBdr>
        <w:bottom w:val="single" w:sz="6" w:space="1" w:color="auto"/>
      </w:pBdr>
      <w:tabs>
        <w:tab w:val="center" w:pos="4153"/>
        <w:tab w:val="right" w:pos="8306"/>
      </w:tabs>
      <w:snapToGrid w:val="0"/>
      <w:jc w:val="center"/>
    </w:pPr>
    <w:rPr>
      <w:sz w:val="18"/>
      <w:szCs w:val="18"/>
    </w:rPr>
  </w:style>
  <w:style w:type="paragraph" w:styleId="a7">
    <w:name w:val="footnote text"/>
    <w:basedOn w:val="a"/>
    <w:rsid w:val="007407EA"/>
    <w:pPr>
      <w:snapToGrid w:val="0"/>
      <w:jc w:val="left"/>
    </w:pPr>
    <w:rPr>
      <w:rFonts w:eastAsia="宋体"/>
      <w:sz w:val="18"/>
    </w:rPr>
  </w:style>
  <w:style w:type="paragraph" w:styleId="a8">
    <w:name w:val="annotation subject"/>
    <w:basedOn w:val="a3"/>
    <w:next w:val="a3"/>
    <w:rsid w:val="007407EA"/>
    <w:rPr>
      <w:b/>
      <w:bCs/>
    </w:rPr>
  </w:style>
  <w:style w:type="character" w:styleId="a9">
    <w:name w:val="annotation reference"/>
    <w:basedOn w:val="a0"/>
    <w:rsid w:val="007407EA"/>
    <w:rPr>
      <w:sz w:val="21"/>
      <w:szCs w:val="21"/>
    </w:rPr>
  </w:style>
  <w:style w:type="character" w:styleId="aa">
    <w:name w:val="footnote reference"/>
    <w:basedOn w:val="a0"/>
    <w:rsid w:val="007407EA"/>
    <w:rPr>
      <w:vertAlign w:val="superscript"/>
    </w:rPr>
  </w:style>
  <w:style w:type="paragraph" w:customStyle="1" w:styleId="10">
    <w:name w:val="修订1"/>
    <w:rsid w:val="007407EA"/>
    <w:rPr>
      <w:rFonts w:eastAsia="方正仿宋简体"/>
      <w:kern w:val="2"/>
      <w:sz w:val="32"/>
    </w:rPr>
  </w:style>
  <w:style w:type="paragraph" w:customStyle="1" w:styleId="20">
    <w:name w:val="修订2"/>
    <w:rsid w:val="007407EA"/>
    <w:rPr>
      <w:rFonts w:eastAsia="方正仿宋简体"/>
      <w:kern w:val="2"/>
      <w:sz w:val="32"/>
    </w:rPr>
  </w:style>
  <w:style w:type="paragraph" w:styleId="11">
    <w:name w:val="toc 1"/>
    <w:basedOn w:val="a"/>
    <w:next w:val="a"/>
    <w:autoRedefine/>
    <w:rsid w:val="007407EA"/>
  </w:style>
  <w:style w:type="paragraph" w:styleId="21">
    <w:name w:val="toc 2"/>
    <w:basedOn w:val="a"/>
    <w:next w:val="a"/>
    <w:autoRedefine/>
    <w:rsid w:val="007407EA"/>
    <w:pPr>
      <w:ind w:left="420"/>
    </w:pPr>
  </w:style>
  <w:style w:type="paragraph" w:styleId="30">
    <w:name w:val="toc 3"/>
    <w:basedOn w:val="a"/>
    <w:next w:val="a"/>
    <w:autoRedefine/>
    <w:rsid w:val="007407EA"/>
    <w:pPr>
      <w:ind w:left="840"/>
    </w:pPr>
  </w:style>
  <w:style w:type="paragraph" w:styleId="4">
    <w:name w:val="toc 4"/>
    <w:basedOn w:val="a"/>
    <w:next w:val="a"/>
    <w:autoRedefine/>
    <w:rsid w:val="007407EA"/>
    <w:pPr>
      <w:ind w:left="1260"/>
    </w:pPr>
  </w:style>
  <w:style w:type="paragraph" w:styleId="5">
    <w:name w:val="toc 5"/>
    <w:basedOn w:val="a"/>
    <w:next w:val="a"/>
    <w:autoRedefine/>
    <w:rsid w:val="007407EA"/>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1322</Characters>
  <Application>Microsoft Office Word</Application>
  <DocSecurity>4</DocSecurity>
  <Lines>11</Lines>
  <Paragraphs>3</Paragraphs>
  <ScaleCrop>false</ScaleCrop>
  <Company>微软中国</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2026-02-11T16:01:00Z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E23A47FA435345C8B99C32C31A9D6CDA</vt:lpwstr>
  </property>
</Properties>
</file>