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037" w:rsidRDefault="002D470A">
      <w:pPr>
        <w:widowControl/>
        <w:jc w:val="center"/>
        <w:rPr>
          <w:rFonts w:eastAsia="宋体" w:cs="Arial"/>
          <w:b/>
          <w:color w:val="000000" w:themeColor="text1"/>
          <w:kern w:val="0"/>
          <w:szCs w:val="32"/>
        </w:rPr>
      </w:pPr>
      <w:r>
        <w:rPr>
          <w:rFonts w:eastAsia="宋体" w:cs="Arial"/>
          <w:b/>
          <w:color w:val="000000" w:themeColor="text1"/>
          <w:kern w:val="0"/>
          <w:szCs w:val="32"/>
        </w:rPr>
        <w:t>海富通瑞颐</w:t>
      </w:r>
      <w:r>
        <w:rPr>
          <w:rFonts w:eastAsia="宋体" w:cs="Arial"/>
          <w:b/>
          <w:color w:val="000000" w:themeColor="text1"/>
          <w:kern w:val="0"/>
          <w:szCs w:val="32"/>
        </w:rPr>
        <w:t>30</w:t>
      </w:r>
      <w:r>
        <w:rPr>
          <w:rFonts w:eastAsia="宋体" w:cs="Arial"/>
          <w:b/>
          <w:color w:val="000000" w:themeColor="text1"/>
          <w:kern w:val="0"/>
          <w:szCs w:val="32"/>
        </w:rPr>
        <w:t>天滚动持有债券型证券投资基金开放</w:t>
      </w:r>
    </w:p>
    <w:p w:rsidR="00BE0037" w:rsidRDefault="002D470A">
      <w:pPr>
        <w:widowControl/>
        <w:jc w:val="center"/>
        <w:rPr>
          <w:rFonts w:eastAsia="宋体" w:cs="Arial"/>
          <w:b/>
          <w:color w:val="000000" w:themeColor="text1"/>
          <w:kern w:val="0"/>
          <w:szCs w:val="32"/>
        </w:rPr>
      </w:pPr>
      <w:r>
        <w:rPr>
          <w:rFonts w:eastAsia="宋体" w:cs="Arial"/>
          <w:b/>
          <w:color w:val="000000" w:themeColor="text1"/>
          <w:kern w:val="0"/>
          <w:szCs w:val="32"/>
        </w:rPr>
        <w:t>日常申购、赎回、转换和定期定额投资业务公告</w:t>
      </w:r>
    </w:p>
    <w:p w:rsidR="00BE0037" w:rsidRDefault="002D470A">
      <w:pPr>
        <w:spacing w:line="560" w:lineRule="exact"/>
        <w:jc w:val="center"/>
        <w:rPr>
          <w:rFonts w:eastAsia="宋体" w:cs="Arial"/>
          <w:bCs/>
          <w:color w:val="000000" w:themeColor="text1"/>
          <w:sz w:val="24"/>
          <w:szCs w:val="24"/>
        </w:rPr>
      </w:pPr>
      <w:r>
        <w:rPr>
          <w:rFonts w:eastAsia="宋体" w:cs="Arial"/>
          <w:color w:val="000000" w:themeColor="text1"/>
          <w:sz w:val="24"/>
          <w:szCs w:val="24"/>
        </w:rPr>
        <w:t>公告送出日期：</w:t>
      </w:r>
      <w:r>
        <w:rPr>
          <w:rFonts w:eastAsia="宋体" w:cs="Arial"/>
          <w:bCs/>
          <w:color w:val="000000" w:themeColor="text1"/>
          <w:sz w:val="24"/>
          <w:szCs w:val="24"/>
        </w:rPr>
        <w:t>2026</w:t>
      </w:r>
      <w:r>
        <w:rPr>
          <w:rFonts w:eastAsia="宋体" w:cs="Arial"/>
          <w:bCs/>
          <w:color w:val="000000" w:themeColor="text1"/>
          <w:sz w:val="24"/>
          <w:szCs w:val="24"/>
        </w:rPr>
        <w:t>年</w:t>
      </w:r>
      <w:r>
        <w:rPr>
          <w:rFonts w:eastAsia="宋体" w:cs="Arial"/>
          <w:bCs/>
          <w:color w:val="000000" w:themeColor="text1"/>
          <w:sz w:val="24"/>
          <w:szCs w:val="24"/>
        </w:rPr>
        <w:t>2</w:t>
      </w:r>
      <w:r>
        <w:rPr>
          <w:rFonts w:eastAsia="宋体" w:cs="Arial"/>
          <w:bCs/>
          <w:color w:val="000000" w:themeColor="text1"/>
          <w:sz w:val="24"/>
          <w:szCs w:val="24"/>
        </w:rPr>
        <w:t>月</w:t>
      </w:r>
      <w:r>
        <w:rPr>
          <w:rFonts w:eastAsia="宋体" w:cs="Arial"/>
          <w:bCs/>
          <w:color w:val="000000" w:themeColor="text1"/>
          <w:sz w:val="24"/>
          <w:szCs w:val="24"/>
        </w:rPr>
        <w:t>12</w:t>
      </w:r>
      <w:r>
        <w:rPr>
          <w:rFonts w:eastAsia="宋体" w:cs="Arial"/>
          <w:bCs/>
          <w:color w:val="000000" w:themeColor="text1"/>
          <w:sz w:val="24"/>
          <w:szCs w:val="24"/>
        </w:rPr>
        <w:t>日</w:t>
      </w:r>
    </w:p>
    <w:p w:rsidR="00BE0037" w:rsidRDefault="002D470A">
      <w:pPr>
        <w:pStyle w:val="2"/>
        <w:spacing w:line="560" w:lineRule="exact"/>
        <w:rPr>
          <w:rFonts w:ascii="Times New Roman" w:eastAsia="宋体" w:hAnsi="Times New Roman" w:cs="Arial"/>
          <w:bCs w:val="0"/>
          <w:color w:val="000000" w:themeColor="text1"/>
          <w:sz w:val="24"/>
          <w:szCs w:val="24"/>
        </w:rPr>
      </w:pPr>
      <w:bookmarkStart w:id="0" w:name="_Toc275961395"/>
      <w:r>
        <w:rPr>
          <w:rFonts w:ascii="Times New Roman" w:eastAsia="宋体" w:hAnsi="Times New Roman" w:cs="Arial"/>
          <w:bCs w:val="0"/>
          <w:color w:val="000000" w:themeColor="text1"/>
          <w:sz w:val="24"/>
          <w:szCs w:val="24"/>
        </w:rPr>
        <w:t xml:space="preserve">1 </w:t>
      </w:r>
      <w:r>
        <w:rPr>
          <w:rFonts w:ascii="Times New Roman" w:eastAsia="宋体" w:hAnsi="Times New Roman" w:cs="Arial"/>
          <w:bCs w:val="0"/>
          <w:color w:val="000000" w:themeColor="text1"/>
          <w:sz w:val="24"/>
          <w:szCs w:val="24"/>
        </w:rPr>
        <w:t>公告基本信息</w:t>
      </w:r>
      <w:bookmarkEnd w:id="0"/>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2"/>
        <w:gridCol w:w="3048"/>
        <w:gridCol w:w="3048"/>
      </w:tblGrid>
      <w:tr w:rsidR="00BE0037">
        <w:trPr>
          <w:jc w:val="center"/>
        </w:trPr>
        <w:tc>
          <w:tcPr>
            <w:tcW w:w="3502" w:type="dxa"/>
          </w:tcPr>
          <w:p w:rsidR="00BE0037" w:rsidRDefault="002D470A">
            <w:pPr>
              <w:spacing w:line="560" w:lineRule="exact"/>
              <w:rPr>
                <w:rFonts w:eastAsia="宋体" w:cs="Arial"/>
                <w:color w:val="000000" w:themeColor="text1"/>
                <w:sz w:val="24"/>
                <w:szCs w:val="24"/>
              </w:rPr>
            </w:pPr>
            <w:r>
              <w:rPr>
                <w:rFonts w:eastAsia="宋体" w:cs="Arial"/>
                <w:color w:val="000000" w:themeColor="text1"/>
                <w:sz w:val="24"/>
                <w:szCs w:val="24"/>
              </w:rPr>
              <w:t>基金名称</w:t>
            </w:r>
          </w:p>
        </w:tc>
        <w:tc>
          <w:tcPr>
            <w:tcW w:w="6096" w:type="dxa"/>
            <w:gridSpan w:val="2"/>
            <w:vAlign w:val="center"/>
          </w:tcPr>
          <w:p w:rsidR="00BE0037" w:rsidRDefault="002D470A">
            <w:pPr>
              <w:rPr>
                <w:rFonts w:eastAsia="宋体" w:cs="Arial"/>
                <w:color w:val="000000" w:themeColor="text1"/>
                <w:sz w:val="24"/>
                <w:szCs w:val="24"/>
              </w:rPr>
            </w:pPr>
            <w:r>
              <w:rPr>
                <w:rFonts w:eastAsia="宋体" w:cs="Arial"/>
                <w:color w:val="000000" w:themeColor="text1"/>
                <w:sz w:val="24"/>
                <w:szCs w:val="24"/>
              </w:rPr>
              <w:t>海富通瑞颐</w:t>
            </w:r>
            <w:r>
              <w:rPr>
                <w:rFonts w:eastAsia="宋体" w:cs="Arial"/>
                <w:color w:val="000000" w:themeColor="text1"/>
                <w:sz w:val="24"/>
                <w:szCs w:val="24"/>
              </w:rPr>
              <w:t>30</w:t>
            </w:r>
            <w:r>
              <w:rPr>
                <w:rFonts w:eastAsia="宋体" w:cs="Arial"/>
                <w:color w:val="000000" w:themeColor="text1"/>
                <w:sz w:val="24"/>
                <w:szCs w:val="24"/>
              </w:rPr>
              <w:t>天滚动持有债券型证券投资基金</w:t>
            </w:r>
          </w:p>
        </w:tc>
      </w:tr>
      <w:tr w:rsidR="00BE0037">
        <w:trPr>
          <w:jc w:val="center"/>
        </w:trPr>
        <w:tc>
          <w:tcPr>
            <w:tcW w:w="3502" w:type="dxa"/>
          </w:tcPr>
          <w:p w:rsidR="00BE0037" w:rsidRDefault="002D470A">
            <w:pPr>
              <w:spacing w:line="560" w:lineRule="exact"/>
              <w:rPr>
                <w:rFonts w:eastAsia="宋体" w:cs="Arial"/>
                <w:color w:val="000000" w:themeColor="text1"/>
                <w:sz w:val="24"/>
                <w:szCs w:val="24"/>
              </w:rPr>
            </w:pPr>
            <w:r>
              <w:rPr>
                <w:rFonts w:eastAsia="宋体" w:cs="Arial"/>
                <w:color w:val="000000" w:themeColor="text1"/>
                <w:sz w:val="24"/>
                <w:szCs w:val="24"/>
              </w:rPr>
              <w:t>基金简称</w:t>
            </w:r>
          </w:p>
        </w:tc>
        <w:tc>
          <w:tcPr>
            <w:tcW w:w="6096" w:type="dxa"/>
            <w:gridSpan w:val="2"/>
            <w:vAlign w:val="center"/>
          </w:tcPr>
          <w:p w:rsidR="00BE0037" w:rsidRDefault="002D470A">
            <w:pPr>
              <w:rPr>
                <w:rFonts w:eastAsia="宋体" w:cs="Arial"/>
                <w:color w:val="000000" w:themeColor="text1"/>
                <w:sz w:val="24"/>
                <w:szCs w:val="24"/>
              </w:rPr>
            </w:pPr>
            <w:r>
              <w:rPr>
                <w:rFonts w:eastAsia="宋体" w:cs="Arial"/>
                <w:color w:val="000000" w:themeColor="text1"/>
                <w:sz w:val="24"/>
                <w:szCs w:val="24"/>
              </w:rPr>
              <w:t>海富通瑞颐</w:t>
            </w:r>
            <w:r>
              <w:rPr>
                <w:rFonts w:eastAsia="宋体" w:cs="Arial"/>
                <w:color w:val="000000" w:themeColor="text1"/>
                <w:sz w:val="24"/>
                <w:szCs w:val="24"/>
              </w:rPr>
              <w:t>30</w:t>
            </w:r>
            <w:r>
              <w:rPr>
                <w:rFonts w:eastAsia="宋体" w:cs="Arial"/>
                <w:color w:val="000000" w:themeColor="text1"/>
                <w:sz w:val="24"/>
                <w:szCs w:val="24"/>
              </w:rPr>
              <w:t>天滚动持有债券</w:t>
            </w:r>
          </w:p>
        </w:tc>
      </w:tr>
      <w:tr w:rsidR="00BE0037">
        <w:trPr>
          <w:jc w:val="center"/>
        </w:trPr>
        <w:tc>
          <w:tcPr>
            <w:tcW w:w="3502" w:type="dxa"/>
            <w:vAlign w:val="center"/>
          </w:tcPr>
          <w:p w:rsidR="00BE0037" w:rsidRDefault="002D470A">
            <w:pPr>
              <w:spacing w:line="560" w:lineRule="exact"/>
              <w:rPr>
                <w:rFonts w:eastAsia="宋体" w:cs="Arial"/>
                <w:color w:val="000000" w:themeColor="text1"/>
                <w:sz w:val="24"/>
                <w:szCs w:val="24"/>
              </w:rPr>
            </w:pPr>
            <w:r>
              <w:rPr>
                <w:rFonts w:eastAsia="宋体" w:cs="Arial"/>
                <w:color w:val="000000" w:themeColor="text1"/>
                <w:sz w:val="24"/>
                <w:szCs w:val="24"/>
              </w:rPr>
              <w:t>基金主代码</w:t>
            </w:r>
          </w:p>
        </w:tc>
        <w:tc>
          <w:tcPr>
            <w:tcW w:w="6096" w:type="dxa"/>
            <w:gridSpan w:val="2"/>
            <w:vAlign w:val="center"/>
          </w:tcPr>
          <w:p w:rsidR="00BE0037" w:rsidRDefault="002D470A">
            <w:pPr>
              <w:rPr>
                <w:rFonts w:eastAsia="宋体" w:cs="Arial"/>
                <w:color w:val="000000" w:themeColor="text1"/>
                <w:sz w:val="24"/>
                <w:szCs w:val="24"/>
              </w:rPr>
            </w:pPr>
            <w:r>
              <w:rPr>
                <w:rFonts w:eastAsia="宋体" w:cs="Arial"/>
                <w:color w:val="000000" w:themeColor="text1"/>
                <w:sz w:val="24"/>
                <w:szCs w:val="24"/>
              </w:rPr>
              <w:t>025114</w:t>
            </w:r>
          </w:p>
        </w:tc>
      </w:tr>
      <w:tr w:rsidR="00BE0037">
        <w:trPr>
          <w:jc w:val="center"/>
        </w:trPr>
        <w:tc>
          <w:tcPr>
            <w:tcW w:w="3502" w:type="dxa"/>
          </w:tcPr>
          <w:p w:rsidR="00BE0037" w:rsidRDefault="002D470A">
            <w:pPr>
              <w:spacing w:line="560" w:lineRule="exact"/>
              <w:rPr>
                <w:rFonts w:eastAsia="宋体" w:cs="Arial"/>
                <w:color w:val="000000" w:themeColor="text1"/>
                <w:sz w:val="24"/>
                <w:szCs w:val="24"/>
              </w:rPr>
            </w:pPr>
            <w:r>
              <w:rPr>
                <w:rFonts w:eastAsia="宋体" w:cs="Arial"/>
                <w:color w:val="000000" w:themeColor="text1"/>
                <w:sz w:val="24"/>
                <w:szCs w:val="24"/>
              </w:rPr>
              <w:t>基金运作方式</w:t>
            </w:r>
          </w:p>
        </w:tc>
        <w:tc>
          <w:tcPr>
            <w:tcW w:w="6096" w:type="dxa"/>
            <w:gridSpan w:val="2"/>
            <w:vAlign w:val="center"/>
          </w:tcPr>
          <w:p w:rsidR="00BE0037" w:rsidRDefault="002D470A">
            <w:pPr>
              <w:rPr>
                <w:rFonts w:eastAsia="宋体" w:cs="Arial"/>
                <w:color w:val="000000" w:themeColor="text1"/>
                <w:sz w:val="24"/>
                <w:szCs w:val="24"/>
              </w:rPr>
            </w:pPr>
            <w:r>
              <w:rPr>
                <w:rFonts w:eastAsia="宋体" w:cs="Arial"/>
                <w:color w:val="000000" w:themeColor="text1"/>
                <w:sz w:val="24"/>
                <w:szCs w:val="24"/>
              </w:rPr>
              <w:t>契约型开放式</w:t>
            </w:r>
          </w:p>
        </w:tc>
      </w:tr>
      <w:tr w:rsidR="00BE0037">
        <w:trPr>
          <w:jc w:val="center"/>
        </w:trPr>
        <w:tc>
          <w:tcPr>
            <w:tcW w:w="3502" w:type="dxa"/>
          </w:tcPr>
          <w:p w:rsidR="00BE0037" w:rsidRDefault="002D470A">
            <w:pPr>
              <w:spacing w:line="560" w:lineRule="exact"/>
              <w:rPr>
                <w:rFonts w:eastAsia="宋体" w:cs="Arial"/>
                <w:color w:val="000000" w:themeColor="text1"/>
                <w:sz w:val="24"/>
                <w:szCs w:val="24"/>
              </w:rPr>
            </w:pPr>
            <w:r>
              <w:rPr>
                <w:rFonts w:eastAsia="宋体" w:cs="Arial"/>
                <w:color w:val="000000" w:themeColor="text1"/>
                <w:sz w:val="24"/>
                <w:szCs w:val="24"/>
              </w:rPr>
              <w:t>基金合同生效日</w:t>
            </w:r>
          </w:p>
        </w:tc>
        <w:tc>
          <w:tcPr>
            <w:tcW w:w="6096" w:type="dxa"/>
            <w:gridSpan w:val="2"/>
            <w:vAlign w:val="center"/>
          </w:tcPr>
          <w:p w:rsidR="00BE0037" w:rsidRDefault="002D470A">
            <w:pPr>
              <w:rPr>
                <w:rFonts w:eastAsia="宋体" w:cs="Arial"/>
                <w:color w:val="000000" w:themeColor="text1"/>
                <w:sz w:val="24"/>
                <w:szCs w:val="24"/>
              </w:rPr>
            </w:pPr>
            <w:r>
              <w:rPr>
                <w:rFonts w:eastAsia="宋体" w:cs="Arial"/>
                <w:color w:val="000000" w:themeColor="text1"/>
                <w:sz w:val="24"/>
                <w:szCs w:val="24"/>
              </w:rPr>
              <w:t>2026</w:t>
            </w:r>
            <w:r>
              <w:rPr>
                <w:rFonts w:eastAsia="宋体" w:cs="Arial"/>
                <w:color w:val="000000" w:themeColor="text1"/>
                <w:sz w:val="24"/>
                <w:szCs w:val="24"/>
              </w:rPr>
              <w:t>年</w:t>
            </w:r>
            <w:r>
              <w:rPr>
                <w:rFonts w:eastAsia="宋体" w:cs="Arial"/>
                <w:color w:val="000000" w:themeColor="text1"/>
                <w:sz w:val="24"/>
                <w:szCs w:val="24"/>
              </w:rPr>
              <w:t>1</w:t>
            </w:r>
            <w:r>
              <w:rPr>
                <w:rFonts w:eastAsia="宋体" w:cs="Arial"/>
                <w:color w:val="000000" w:themeColor="text1"/>
                <w:sz w:val="24"/>
                <w:szCs w:val="24"/>
              </w:rPr>
              <w:t>月</w:t>
            </w:r>
            <w:r>
              <w:rPr>
                <w:rFonts w:eastAsia="宋体" w:cs="Arial"/>
                <w:color w:val="000000" w:themeColor="text1"/>
                <w:sz w:val="24"/>
                <w:szCs w:val="24"/>
              </w:rPr>
              <w:t>20</w:t>
            </w:r>
            <w:r>
              <w:rPr>
                <w:rFonts w:eastAsia="宋体" w:cs="Arial"/>
                <w:color w:val="000000" w:themeColor="text1"/>
                <w:sz w:val="24"/>
                <w:szCs w:val="24"/>
              </w:rPr>
              <w:t>日</w:t>
            </w:r>
          </w:p>
        </w:tc>
      </w:tr>
      <w:tr w:rsidR="00BE0037">
        <w:trPr>
          <w:jc w:val="center"/>
        </w:trPr>
        <w:tc>
          <w:tcPr>
            <w:tcW w:w="3502" w:type="dxa"/>
          </w:tcPr>
          <w:p w:rsidR="00BE0037" w:rsidRDefault="002D470A">
            <w:pPr>
              <w:spacing w:line="560" w:lineRule="exact"/>
              <w:rPr>
                <w:rFonts w:eastAsia="宋体" w:cs="Arial"/>
                <w:color w:val="000000" w:themeColor="text1"/>
                <w:sz w:val="24"/>
                <w:szCs w:val="24"/>
              </w:rPr>
            </w:pPr>
            <w:r>
              <w:rPr>
                <w:rFonts w:eastAsia="宋体" w:cs="Arial"/>
                <w:color w:val="000000" w:themeColor="text1"/>
                <w:sz w:val="24"/>
                <w:szCs w:val="24"/>
              </w:rPr>
              <w:t>基金管理人名称</w:t>
            </w:r>
          </w:p>
        </w:tc>
        <w:tc>
          <w:tcPr>
            <w:tcW w:w="6096" w:type="dxa"/>
            <w:gridSpan w:val="2"/>
            <w:vAlign w:val="center"/>
          </w:tcPr>
          <w:p w:rsidR="00BE0037" w:rsidRDefault="002D470A">
            <w:pPr>
              <w:rPr>
                <w:rFonts w:eastAsia="宋体" w:cs="Arial"/>
                <w:color w:val="000000" w:themeColor="text1"/>
                <w:sz w:val="24"/>
                <w:szCs w:val="24"/>
              </w:rPr>
            </w:pPr>
            <w:r>
              <w:rPr>
                <w:rFonts w:eastAsia="宋体" w:cs="Arial"/>
                <w:color w:val="000000" w:themeColor="text1"/>
                <w:sz w:val="24"/>
                <w:szCs w:val="24"/>
              </w:rPr>
              <w:t>海富通基金管理有限公司</w:t>
            </w:r>
          </w:p>
        </w:tc>
      </w:tr>
      <w:tr w:rsidR="00BE0037">
        <w:trPr>
          <w:jc w:val="center"/>
        </w:trPr>
        <w:tc>
          <w:tcPr>
            <w:tcW w:w="3502" w:type="dxa"/>
          </w:tcPr>
          <w:p w:rsidR="00BE0037" w:rsidRDefault="002D470A">
            <w:pPr>
              <w:spacing w:line="560" w:lineRule="exact"/>
              <w:rPr>
                <w:rFonts w:eastAsia="宋体" w:cs="Arial"/>
                <w:color w:val="000000" w:themeColor="text1"/>
                <w:sz w:val="24"/>
                <w:szCs w:val="24"/>
              </w:rPr>
            </w:pPr>
            <w:r>
              <w:rPr>
                <w:rFonts w:eastAsia="宋体" w:cs="Arial"/>
                <w:color w:val="000000" w:themeColor="text1"/>
                <w:sz w:val="24"/>
                <w:szCs w:val="24"/>
              </w:rPr>
              <w:t>基金托管人名称</w:t>
            </w:r>
          </w:p>
        </w:tc>
        <w:tc>
          <w:tcPr>
            <w:tcW w:w="6096" w:type="dxa"/>
            <w:gridSpan w:val="2"/>
            <w:vAlign w:val="center"/>
          </w:tcPr>
          <w:p w:rsidR="00BE0037" w:rsidRDefault="002D470A">
            <w:pPr>
              <w:rPr>
                <w:rFonts w:eastAsia="宋体" w:cs="Arial"/>
                <w:color w:val="000000" w:themeColor="text1"/>
                <w:sz w:val="24"/>
                <w:szCs w:val="24"/>
              </w:rPr>
            </w:pPr>
            <w:r>
              <w:rPr>
                <w:rFonts w:eastAsia="宋体" w:cs="Arial"/>
                <w:color w:val="000000" w:themeColor="text1"/>
                <w:sz w:val="24"/>
                <w:szCs w:val="24"/>
              </w:rPr>
              <w:t>招商银行股份有限公司</w:t>
            </w:r>
          </w:p>
        </w:tc>
      </w:tr>
      <w:tr w:rsidR="00BE0037">
        <w:trPr>
          <w:jc w:val="center"/>
        </w:trPr>
        <w:tc>
          <w:tcPr>
            <w:tcW w:w="3502" w:type="dxa"/>
          </w:tcPr>
          <w:p w:rsidR="00BE0037" w:rsidRDefault="002D470A">
            <w:pPr>
              <w:spacing w:line="560" w:lineRule="exact"/>
              <w:rPr>
                <w:rFonts w:eastAsia="宋体" w:cs="Arial"/>
                <w:color w:val="000000" w:themeColor="text1"/>
                <w:sz w:val="24"/>
                <w:szCs w:val="24"/>
              </w:rPr>
            </w:pPr>
            <w:r>
              <w:rPr>
                <w:rFonts w:eastAsia="宋体" w:cs="Arial"/>
                <w:color w:val="000000" w:themeColor="text1"/>
                <w:sz w:val="24"/>
                <w:szCs w:val="24"/>
              </w:rPr>
              <w:t>基金注册登记机构名称</w:t>
            </w:r>
          </w:p>
        </w:tc>
        <w:tc>
          <w:tcPr>
            <w:tcW w:w="6096" w:type="dxa"/>
            <w:gridSpan w:val="2"/>
            <w:vAlign w:val="center"/>
          </w:tcPr>
          <w:p w:rsidR="00BE0037" w:rsidRDefault="002D470A">
            <w:pPr>
              <w:rPr>
                <w:rFonts w:eastAsia="宋体" w:cs="Arial"/>
                <w:color w:val="000000" w:themeColor="text1"/>
                <w:sz w:val="24"/>
                <w:szCs w:val="24"/>
              </w:rPr>
            </w:pPr>
            <w:r>
              <w:rPr>
                <w:rFonts w:eastAsia="宋体" w:cs="Arial"/>
                <w:color w:val="000000" w:themeColor="text1"/>
                <w:sz w:val="24"/>
                <w:szCs w:val="24"/>
              </w:rPr>
              <w:t>海富通基金管理有限公司</w:t>
            </w:r>
          </w:p>
        </w:tc>
      </w:tr>
      <w:tr w:rsidR="00BE0037">
        <w:trPr>
          <w:jc w:val="center"/>
        </w:trPr>
        <w:tc>
          <w:tcPr>
            <w:tcW w:w="3502" w:type="dxa"/>
          </w:tcPr>
          <w:p w:rsidR="00BE0037" w:rsidRDefault="002D470A">
            <w:pPr>
              <w:spacing w:line="560" w:lineRule="exact"/>
              <w:rPr>
                <w:rFonts w:eastAsia="宋体" w:cs="Arial"/>
                <w:color w:val="000000" w:themeColor="text1"/>
                <w:sz w:val="24"/>
                <w:szCs w:val="24"/>
              </w:rPr>
            </w:pPr>
            <w:r>
              <w:rPr>
                <w:rFonts w:eastAsia="宋体" w:cs="Arial"/>
                <w:color w:val="000000" w:themeColor="text1"/>
                <w:sz w:val="24"/>
                <w:szCs w:val="24"/>
              </w:rPr>
              <w:t>公告依据</w:t>
            </w:r>
          </w:p>
        </w:tc>
        <w:tc>
          <w:tcPr>
            <w:tcW w:w="6096" w:type="dxa"/>
            <w:gridSpan w:val="2"/>
            <w:vAlign w:val="center"/>
          </w:tcPr>
          <w:p w:rsidR="00BE0037" w:rsidRDefault="002D470A">
            <w:pPr>
              <w:spacing w:line="360" w:lineRule="auto"/>
              <w:rPr>
                <w:rFonts w:eastAsia="宋体" w:cs="Arial"/>
                <w:color w:val="000000" w:themeColor="text1"/>
                <w:sz w:val="24"/>
                <w:szCs w:val="24"/>
              </w:rPr>
            </w:pPr>
            <w:r>
              <w:rPr>
                <w:rFonts w:eastAsia="宋体" w:cs="Arial"/>
                <w:color w:val="000000" w:themeColor="text1"/>
                <w:sz w:val="24"/>
                <w:szCs w:val="24"/>
              </w:rPr>
              <w:t>《中华人民共和国证券投资基金法》、《公开募集证券投资基金运作管理办法》等法律法规以及《海富通瑞颐</w:t>
            </w:r>
            <w:r>
              <w:rPr>
                <w:rFonts w:eastAsia="宋体" w:cs="Arial"/>
                <w:color w:val="000000" w:themeColor="text1"/>
                <w:sz w:val="24"/>
                <w:szCs w:val="24"/>
              </w:rPr>
              <w:t>30</w:t>
            </w:r>
            <w:r>
              <w:rPr>
                <w:rFonts w:eastAsia="宋体" w:cs="Arial"/>
                <w:color w:val="000000" w:themeColor="text1"/>
                <w:sz w:val="24"/>
                <w:szCs w:val="24"/>
              </w:rPr>
              <w:t>天滚动持有债券型证券投资基金基金合同》、《海富通瑞颐</w:t>
            </w:r>
            <w:r>
              <w:rPr>
                <w:rFonts w:eastAsia="宋体" w:cs="Arial"/>
                <w:color w:val="000000" w:themeColor="text1"/>
                <w:sz w:val="24"/>
                <w:szCs w:val="24"/>
              </w:rPr>
              <w:t>30</w:t>
            </w:r>
            <w:r>
              <w:rPr>
                <w:rFonts w:eastAsia="宋体" w:cs="Arial"/>
                <w:color w:val="000000" w:themeColor="text1"/>
                <w:sz w:val="24"/>
                <w:szCs w:val="24"/>
              </w:rPr>
              <w:t>天滚动持有债券型证券投资基金招募说明书》的有关规定</w:t>
            </w:r>
          </w:p>
        </w:tc>
      </w:tr>
      <w:tr w:rsidR="00BE0037">
        <w:trPr>
          <w:jc w:val="center"/>
        </w:trPr>
        <w:tc>
          <w:tcPr>
            <w:tcW w:w="3502" w:type="dxa"/>
          </w:tcPr>
          <w:p w:rsidR="00BE0037" w:rsidRDefault="002D470A">
            <w:pPr>
              <w:spacing w:line="560" w:lineRule="exact"/>
              <w:rPr>
                <w:rFonts w:eastAsia="宋体" w:cs="Arial"/>
                <w:color w:val="000000" w:themeColor="text1"/>
                <w:sz w:val="24"/>
                <w:szCs w:val="24"/>
              </w:rPr>
            </w:pPr>
            <w:r>
              <w:rPr>
                <w:rFonts w:eastAsia="宋体" w:cs="Arial"/>
                <w:color w:val="000000" w:themeColor="text1"/>
                <w:sz w:val="24"/>
                <w:szCs w:val="24"/>
              </w:rPr>
              <w:t>申购起始日</w:t>
            </w:r>
          </w:p>
        </w:tc>
        <w:tc>
          <w:tcPr>
            <w:tcW w:w="6096" w:type="dxa"/>
            <w:gridSpan w:val="2"/>
            <w:vAlign w:val="center"/>
          </w:tcPr>
          <w:p w:rsidR="00BE0037" w:rsidRDefault="002D470A">
            <w:pPr>
              <w:rPr>
                <w:rFonts w:eastAsia="宋体" w:cs="Arial"/>
                <w:color w:val="000000" w:themeColor="text1"/>
                <w:sz w:val="24"/>
                <w:szCs w:val="24"/>
              </w:rPr>
            </w:pPr>
            <w:r>
              <w:rPr>
                <w:rFonts w:eastAsia="宋体" w:cs="Arial"/>
                <w:bCs/>
                <w:color w:val="000000" w:themeColor="text1"/>
                <w:sz w:val="24"/>
                <w:szCs w:val="24"/>
              </w:rPr>
              <w:t>2026</w:t>
            </w:r>
            <w:r>
              <w:rPr>
                <w:rFonts w:eastAsia="宋体" w:cs="Arial"/>
                <w:bCs/>
                <w:color w:val="000000" w:themeColor="text1"/>
                <w:sz w:val="24"/>
                <w:szCs w:val="24"/>
              </w:rPr>
              <w:t>年</w:t>
            </w:r>
            <w:r>
              <w:rPr>
                <w:rFonts w:eastAsia="宋体" w:cs="Arial"/>
                <w:bCs/>
                <w:color w:val="000000" w:themeColor="text1"/>
                <w:sz w:val="24"/>
                <w:szCs w:val="24"/>
              </w:rPr>
              <w:t>2</w:t>
            </w:r>
            <w:r>
              <w:rPr>
                <w:rFonts w:eastAsia="宋体" w:cs="Arial"/>
                <w:bCs/>
                <w:color w:val="000000" w:themeColor="text1"/>
                <w:sz w:val="24"/>
                <w:szCs w:val="24"/>
              </w:rPr>
              <w:t>月</w:t>
            </w:r>
            <w:r>
              <w:rPr>
                <w:rFonts w:eastAsia="宋体" w:cs="Arial"/>
                <w:bCs/>
                <w:color w:val="000000" w:themeColor="text1"/>
                <w:sz w:val="24"/>
                <w:szCs w:val="24"/>
              </w:rPr>
              <w:t>24</w:t>
            </w:r>
            <w:r>
              <w:rPr>
                <w:rFonts w:eastAsia="宋体" w:cs="Arial"/>
                <w:bCs/>
                <w:color w:val="000000" w:themeColor="text1"/>
                <w:sz w:val="24"/>
                <w:szCs w:val="24"/>
              </w:rPr>
              <w:t>日</w:t>
            </w:r>
          </w:p>
        </w:tc>
      </w:tr>
      <w:tr w:rsidR="00BE0037">
        <w:trPr>
          <w:jc w:val="center"/>
        </w:trPr>
        <w:tc>
          <w:tcPr>
            <w:tcW w:w="3502" w:type="dxa"/>
          </w:tcPr>
          <w:p w:rsidR="00BE0037" w:rsidRDefault="002D470A">
            <w:pPr>
              <w:spacing w:line="560" w:lineRule="exact"/>
              <w:rPr>
                <w:rFonts w:eastAsia="宋体" w:cs="Arial"/>
                <w:color w:val="000000" w:themeColor="text1"/>
                <w:sz w:val="24"/>
                <w:szCs w:val="24"/>
              </w:rPr>
            </w:pPr>
            <w:r>
              <w:rPr>
                <w:rFonts w:eastAsia="宋体" w:cs="Arial"/>
                <w:color w:val="000000" w:themeColor="text1"/>
                <w:sz w:val="24"/>
                <w:szCs w:val="24"/>
              </w:rPr>
              <w:t>赎回起始日</w:t>
            </w:r>
          </w:p>
        </w:tc>
        <w:tc>
          <w:tcPr>
            <w:tcW w:w="6096" w:type="dxa"/>
            <w:gridSpan w:val="2"/>
            <w:vAlign w:val="center"/>
          </w:tcPr>
          <w:p w:rsidR="00BE0037" w:rsidRDefault="002D470A">
            <w:pPr>
              <w:rPr>
                <w:rFonts w:eastAsia="宋体" w:cs="Arial"/>
                <w:color w:val="000000" w:themeColor="text1"/>
                <w:sz w:val="24"/>
                <w:szCs w:val="24"/>
              </w:rPr>
            </w:pPr>
            <w:r>
              <w:rPr>
                <w:rFonts w:eastAsia="宋体" w:cs="Arial"/>
                <w:bCs/>
                <w:color w:val="000000" w:themeColor="text1"/>
                <w:sz w:val="24"/>
                <w:szCs w:val="24"/>
              </w:rPr>
              <w:t>2026</w:t>
            </w:r>
            <w:r>
              <w:rPr>
                <w:rFonts w:eastAsia="宋体" w:cs="Arial"/>
                <w:bCs/>
                <w:color w:val="000000" w:themeColor="text1"/>
                <w:sz w:val="24"/>
                <w:szCs w:val="24"/>
              </w:rPr>
              <w:t>年</w:t>
            </w:r>
            <w:r>
              <w:rPr>
                <w:rFonts w:eastAsia="宋体" w:cs="Arial"/>
                <w:bCs/>
                <w:color w:val="000000" w:themeColor="text1"/>
                <w:sz w:val="24"/>
                <w:szCs w:val="24"/>
              </w:rPr>
              <w:t>2</w:t>
            </w:r>
            <w:r>
              <w:rPr>
                <w:rFonts w:eastAsia="宋体" w:cs="Arial"/>
                <w:bCs/>
                <w:color w:val="000000" w:themeColor="text1"/>
                <w:sz w:val="24"/>
                <w:szCs w:val="24"/>
              </w:rPr>
              <w:t>月</w:t>
            </w:r>
            <w:r>
              <w:rPr>
                <w:rFonts w:eastAsia="宋体" w:cs="Arial"/>
                <w:bCs/>
                <w:color w:val="000000" w:themeColor="text1"/>
                <w:sz w:val="24"/>
                <w:szCs w:val="24"/>
              </w:rPr>
              <w:t>24</w:t>
            </w:r>
            <w:r>
              <w:rPr>
                <w:rFonts w:eastAsia="宋体" w:cs="Arial"/>
                <w:bCs/>
                <w:color w:val="000000" w:themeColor="text1"/>
                <w:sz w:val="24"/>
                <w:szCs w:val="24"/>
              </w:rPr>
              <w:t>日</w:t>
            </w:r>
          </w:p>
        </w:tc>
      </w:tr>
      <w:tr w:rsidR="00BE0037">
        <w:trPr>
          <w:jc w:val="center"/>
        </w:trPr>
        <w:tc>
          <w:tcPr>
            <w:tcW w:w="3502" w:type="dxa"/>
          </w:tcPr>
          <w:p w:rsidR="00BE0037" w:rsidRDefault="002D470A">
            <w:pPr>
              <w:spacing w:line="560" w:lineRule="exact"/>
              <w:rPr>
                <w:rFonts w:eastAsia="宋体" w:cs="Arial"/>
                <w:color w:val="000000" w:themeColor="text1"/>
                <w:sz w:val="24"/>
                <w:szCs w:val="24"/>
              </w:rPr>
            </w:pPr>
            <w:r>
              <w:rPr>
                <w:rFonts w:eastAsia="宋体" w:cs="Arial"/>
                <w:color w:val="000000" w:themeColor="text1"/>
                <w:sz w:val="24"/>
                <w:szCs w:val="24"/>
              </w:rPr>
              <w:t>定期定额投资起始日</w:t>
            </w:r>
          </w:p>
        </w:tc>
        <w:tc>
          <w:tcPr>
            <w:tcW w:w="6096" w:type="dxa"/>
            <w:gridSpan w:val="2"/>
            <w:vAlign w:val="center"/>
          </w:tcPr>
          <w:p w:rsidR="00BE0037" w:rsidRDefault="002D470A">
            <w:pPr>
              <w:rPr>
                <w:rFonts w:eastAsia="宋体" w:cs="Arial"/>
                <w:color w:val="000000" w:themeColor="text1"/>
                <w:sz w:val="24"/>
                <w:szCs w:val="24"/>
              </w:rPr>
            </w:pPr>
            <w:r>
              <w:rPr>
                <w:rFonts w:eastAsia="宋体" w:cs="Arial"/>
                <w:bCs/>
                <w:color w:val="000000" w:themeColor="text1"/>
                <w:sz w:val="24"/>
                <w:szCs w:val="24"/>
              </w:rPr>
              <w:t>2026</w:t>
            </w:r>
            <w:r>
              <w:rPr>
                <w:rFonts w:eastAsia="宋体" w:cs="Arial"/>
                <w:bCs/>
                <w:color w:val="000000" w:themeColor="text1"/>
                <w:sz w:val="24"/>
                <w:szCs w:val="24"/>
              </w:rPr>
              <w:t>年</w:t>
            </w:r>
            <w:r>
              <w:rPr>
                <w:rFonts w:eastAsia="宋体" w:cs="Arial"/>
                <w:bCs/>
                <w:color w:val="000000" w:themeColor="text1"/>
                <w:sz w:val="24"/>
                <w:szCs w:val="24"/>
              </w:rPr>
              <w:t>2</w:t>
            </w:r>
            <w:r>
              <w:rPr>
                <w:rFonts w:eastAsia="宋体" w:cs="Arial"/>
                <w:bCs/>
                <w:color w:val="000000" w:themeColor="text1"/>
                <w:sz w:val="24"/>
                <w:szCs w:val="24"/>
              </w:rPr>
              <w:t>月</w:t>
            </w:r>
            <w:r>
              <w:rPr>
                <w:rFonts w:eastAsia="宋体" w:cs="Arial"/>
                <w:bCs/>
                <w:color w:val="000000" w:themeColor="text1"/>
                <w:sz w:val="24"/>
                <w:szCs w:val="24"/>
              </w:rPr>
              <w:t>24</w:t>
            </w:r>
            <w:r>
              <w:rPr>
                <w:rFonts w:eastAsia="宋体" w:cs="Arial"/>
                <w:bCs/>
                <w:color w:val="000000" w:themeColor="text1"/>
                <w:sz w:val="24"/>
                <w:szCs w:val="24"/>
              </w:rPr>
              <w:t>日</w:t>
            </w:r>
          </w:p>
        </w:tc>
      </w:tr>
      <w:tr w:rsidR="00BE0037">
        <w:trPr>
          <w:jc w:val="center"/>
        </w:trPr>
        <w:tc>
          <w:tcPr>
            <w:tcW w:w="3502" w:type="dxa"/>
          </w:tcPr>
          <w:p w:rsidR="00BE0037" w:rsidRDefault="002D470A">
            <w:pPr>
              <w:spacing w:line="560" w:lineRule="exact"/>
              <w:rPr>
                <w:rFonts w:eastAsia="宋体" w:cs="Arial"/>
                <w:color w:val="000000" w:themeColor="text1"/>
                <w:sz w:val="24"/>
                <w:szCs w:val="24"/>
              </w:rPr>
            </w:pPr>
            <w:r>
              <w:rPr>
                <w:rFonts w:eastAsia="宋体" w:cs="Arial"/>
                <w:color w:val="000000" w:themeColor="text1"/>
                <w:sz w:val="24"/>
                <w:szCs w:val="24"/>
              </w:rPr>
              <w:t>转换转入起始日</w:t>
            </w:r>
          </w:p>
        </w:tc>
        <w:tc>
          <w:tcPr>
            <w:tcW w:w="6096" w:type="dxa"/>
            <w:gridSpan w:val="2"/>
            <w:vAlign w:val="center"/>
          </w:tcPr>
          <w:p w:rsidR="00BE0037" w:rsidRDefault="002D470A">
            <w:pPr>
              <w:rPr>
                <w:rFonts w:eastAsia="宋体" w:cs="Arial"/>
                <w:color w:val="000000" w:themeColor="text1"/>
                <w:sz w:val="24"/>
                <w:szCs w:val="24"/>
              </w:rPr>
            </w:pPr>
            <w:r>
              <w:rPr>
                <w:rFonts w:eastAsia="宋体" w:cs="Arial"/>
                <w:bCs/>
                <w:color w:val="000000" w:themeColor="text1"/>
                <w:sz w:val="24"/>
                <w:szCs w:val="24"/>
              </w:rPr>
              <w:t>2026</w:t>
            </w:r>
            <w:r>
              <w:rPr>
                <w:rFonts w:eastAsia="宋体" w:cs="Arial"/>
                <w:bCs/>
                <w:color w:val="000000" w:themeColor="text1"/>
                <w:sz w:val="24"/>
                <w:szCs w:val="24"/>
              </w:rPr>
              <w:t>年</w:t>
            </w:r>
            <w:r>
              <w:rPr>
                <w:rFonts w:eastAsia="宋体" w:cs="Arial"/>
                <w:bCs/>
                <w:color w:val="000000" w:themeColor="text1"/>
                <w:sz w:val="24"/>
                <w:szCs w:val="24"/>
              </w:rPr>
              <w:t>2</w:t>
            </w:r>
            <w:r>
              <w:rPr>
                <w:rFonts w:eastAsia="宋体" w:cs="Arial"/>
                <w:bCs/>
                <w:color w:val="000000" w:themeColor="text1"/>
                <w:sz w:val="24"/>
                <w:szCs w:val="24"/>
              </w:rPr>
              <w:t>月</w:t>
            </w:r>
            <w:r>
              <w:rPr>
                <w:rFonts w:eastAsia="宋体" w:cs="Arial"/>
                <w:bCs/>
                <w:color w:val="000000" w:themeColor="text1"/>
                <w:sz w:val="24"/>
                <w:szCs w:val="24"/>
              </w:rPr>
              <w:t>24</w:t>
            </w:r>
            <w:r>
              <w:rPr>
                <w:rFonts w:eastAsia="宋体" w:cs="Arial"/>
                <w:bCs/>
                <w:color w:val="000000" w:themeColor="text1"/>
                <w:sz w:val="24"/>
                <w:szCs w:val="24"/>
              </w:rPr>
              <w:t>日</w:t>
            </w:r>
          </w:p>
        </w:tc>
      </w:tr>
      <w:tr w:rsidR="00BE0037">
        <w:trPr>
          <w:jc w:val="center"/>
        </w:trPr>
        <w:tc>
          <w:tcPr>
            <w:tcW w:w="3502" w:type="dxa"/>
          </w:tcPr>
          <w:p w:rsidR="00BE0037" w:rsidRDefault="002D470A">
            <w:pPr>
              <w:spacing w:line="560" w:lineRule="exact"/>
              <w:rPr>
                <w:rFonts w:eastAsia="宋体" w:cs="Arial"/>
                <w:color w:val="000000" w:themeColor="text1"/>
                <w:sz w:val="24"/>
                <w:szCs w:val="24"/>
              </w:rPr>
            </w:pPr>
            <w:r>
              <w:rPr>
                <w:rFonts w:eastAsia="宋体" w:cs="Arial"/>
                <w:color w:val="000000" w:themeColor="text1"/>
                <w:sz w:val="24"/>
                <w:szCs w:val="24"/>
              </w:rPr>
              <w:t>转换转出起始日</w:t>
            </w:r>
          </w:p>
        </w:tc>
        <w:tc>
          <w:tcPr>
            <w:tcW w:w="6096" w:type="dxa"/>
            <w:gridSpan w:val="2"/>
            <w:vAlign w:val="center"/>
          </w:tcPr>
          <w:p w:rsidR="00BE0037" w:rsidRDefault="002D470A">
            <w:pPr>
              <w:rPr>
                <w:rFonts w:eastAsia="宋体" w:cs="Arial"/>
                <w:color w:val="000000" w:themeColor="text1"/>
                <w:sz w:val="24"/>
                <w:szCs w:val="24"/>
              </w:rPr>
            </w:pPr>
            <w:r>
              <w:rPr>
                <w:rFonts w:eastAsia="宋体" w:cs="Arial"/>
                <w:bCs/>
                <w:color w:val="000000" w:themeColor="text1"/>
                <w:sz w:val="24"/>
                <w:szCs w:val="24"/>
              </w:rPr>
              <w:t>2026</w:t>
            </w:r>
            <w:r>
              <w:rPr>
                <w:rFonts w:eastAsia="宋体" w:cs="Arial"/>
                <w:bCs/>
                <w:color w:val="000000" w:themeColor="text1"/>
                <w:sz w:val="24"/>
                <w:szCs w:val="24"/>
              </w:rPr>
              <w:t>年</w:t>
            </w:r>
            <w:r>
              <w:rPr>
                <w:rFonts w:eastAsia="宋体" w:cs="Arial"/>
                <w:bCs/>
                <w:color w:val="000000" w:themeColor="text1"/>
                <w:sz w:val="24"/>
                <w:szCs w:val="24"/>
              </w:rPr>
              <w:t>2</w:t>
            </w:r>
            <w:r>
              <w:rPr>
                <w:rFonts w:eastAsia="宋体" w:cs="Arial"/>
                <w:bCs/>
                <w:color w:val="000000" w:themeColor="text1"/>
                <w:sz w:val="24"/>
                <w:szCs w:val="24"/>
              </w:rPr>
              <w:t>月</w:t>
            </w:r>
            <w:r>
              <w:rPr>
                <w:rFonts w:eastAsia="宋体" w:cs="Arial"/>
                <w:bCs/>
                <w:color w:val="000000" w:themeColor="text1"/>
                <w:sz w:val="24"/>
                <w:szCs w:val="24"/>
              </w:rPr>
              <w:t>24</w:t>
            </w:r>
            <w:r>
              <w:rPr>
                <w:rFonts w:eastAsia="宋体" w:cs="Arial"/>
                <w:bCs/>
                <w:color w:val="000000" w:themeColor="text1"/>
                <w:sz w:val="24"/>
                <w:szCs w:val="24"/>
              </w:rPr>
              <w:t>日</w:t>
            </w:r>
          </w:p>
        </w:tc>
      </w:tr>
      <w:tr w:rsidR="00BE0037">
        <w:trPr>
          <w:jc w:val="center"/>
        </w:trPr>
        <w:tc>
          <w:tcPr>
            <w:tcW w:w="3502" w:type="dxa"/>
          </w:tcPr>
          <w:p w:rsidR="00BE0037" w:rsidRDefault="002D470A">
            <w:pPr>
              <w:spacing w:line="560" w:lineRule="exact"/>
              <w:rPr>
                <w:rFonts w:eastAsia="宋体" w:cs="Arial"/>
                <w:color w:val="000000" w:themeColor="text1"/>
                <w:sz w:val="24"/>
                <w:szCs w:val="24"/>
              </w:rPr>
            </w:pPr>
            <w:r>
              <w:rPr>
                <w:rFonts w:eastAsia="宋体" w:cs="Arial"/>
                <w:color w:val="000000" w:themeColor="text1"/>
                <w:sz w:val="24"/>
                <w:szCs w:val="24"/>
              </w:rPr>
              <w:t>下属分级基金的基金简称</w:t>
            </w:r>
          </w:p>
        </w:tc>
        <w:tc>
          <w:tcPr>
            <w:tcW w:w="3048" w:type="dxa"/>
            <w:vAlign w:val="center"/>
          </w:tcPr>
          <w:p w:rsidR="00BE0037" w:rsidRDefault="002D470A">
            <w:pPr>
              <w:rPr>
                <w:rFonts w:eastAsia="宋体" w:cs="Arial"/>
                <w:color w:val="000000" w:themeColor="text1"/>
                <w:sz w:val="24"/>
                <w:szCs w:val="24"/>
              </w:rPr>
            </w:pPr>
            <w:r>
              <w:rPr>
                <w:rFonts w:eastAsia="宋体" w:cs="Arial"/>
                <w:color w:val="000000" w:themeColor="text1"/>
                <w:sz w:val="24"/>
                <w:szCs w:val="24"/>
              </w:rPr>
              <w:t>海富通瑞颐</w:t>
            </w:r>
            <w:r>
              <w:rPr>
                <w:rFonts w:eastAsia="宋体" w:cs="Arial"/>
                <w:color w:val="000000" w:themeColor="text1"/>
                <w:sz w:val="24"/>
                <w:szCs w:val="24"/>
              </w:rPr>
              <w:t>30</w:t>
            </w:r>
            <w:r>
              <w:rPr>
                <w:rFonts w:eastAsia="宋体" w:cs="Arial"/>
                <w:color w:val="000000" w:themeColor="text1"/>
                <w:sz w:val="24"/>
                <w:szCs w:val="24"/>
              </w:rPr>
              <w:t>天滚动持有债券</w:t>
            </w:r>
            <w:r>
              <w:rPr>
                <w:rFonts w:eastAsia="宋体" w:cs="Arial"/>
                <w:color w:val="000000" w:themeColor="text1"/>
                <w:sz w:val="24"/>
                <w:szCs w:val="24"/>
              </w:rPr>
              <w:t>A</w:t>
            </w:r>
          </w:p>
        </w:tc>
        <w:tc>
          <w:tcPr>
            <w:tcW w:w="3048" w:type="dxa"/>
            <w:vAlign w:val="center"/>
          </w:tcPr>
          <w:p w:rsidR="00BE0037" w:rsidRDefault="002D470A">
            <w:pPr>
              <w:rPr>
                <w:rFonts w:eastAsia="宋体" w:cs="Arial"/>
                <w:color w:val="000000" w:themeColor="text1"/>
                <w:sz w:val="24"/>
                <w:szCs w:val="24"/>
              </w:rPr>
            </w:pPr>
            <w:r>
              <w:rPr>
                <w:rFonts w:eastAsia="宋体" w:cs="Arial"/>
                <w:color w:val="000000" w:themeColor="text1"/>
                <w:sz w:val="24"/>
                <w:szCs w:val="24"/>
              </w:rPr>
              <w:t>海富通瑞颐</w:t>
            </w:r>
            <w:r>
              <w:rPr>
                <w:rFonts w:eastAsia="宋体" w:cs="Arial"/>
                <w:color w:val="000000" w:themeColor="text1"/>
                <w:sz w:val="24"/>
                <w:szCs w:val="24"/>
              </w:rPr>
              <w:t>30</w:t>
            </w:r>
            <w:r>
              <w:rPr>
                <w:rFonts w:eastAsia="宋体" w:cs="Arial"/>
                <w:color w:val="000000" w:themeColor="text1"/>
                <w:sz w:val="24"/>
                <w:szCs w:val="24"/>
              </w:rPr>
              <w:t>天滚动持有债券</w:t>
            </w:r>
            <w:r>
              <w:rPr>
                <w:rFonts w:eastAsia="宋体" w:cs="Arial"/>
                <w:color w:val="000000" w:themeColor="text1"/>
                <w:sz w:val="24"/>
                <w:szCs w:val="24"/>
              </w:rPr>
              <w:t>C</w:t>
            </w:r>
          </w:p>
        </w:tc>
      </w:tr>
      <w:tr w:rsidR="00BE0037">
        <w:trPr>
          <w:jc w:val="center"/>
        </w:trPr>
        <w:tc>
          <w:tcPr>
            <w:tcW w:w="3502" w:type="dxa"/>
          </w:tcPr>
          <w:p w:rsidR="00BE0037" w:rsidRDefault="002D470A">
            <w:pPr>
              <w:spacing w:line="560" w:lineRule="exact"/>
              <w:rPr>
                <w:rFonts w:eastAsia="宋体" w:cs="Arial"/>
                <w:color w:val="000000" w:themeColor="text1"/>
                <w:sz w:val="24"/>
                <w:szCs w:val="24"/>
              </w:rPr>
            </w:pPr>
            <w:r>
              <w:rPr>
                <w:rFonts w:eastAsia="宋体" w:cs="Arial"/>
                <w:color w:val="000000" w:themeColor="text1"/>
                <w:sz w:val="24"/>
                <w:szCs w:val="24"/>
              </w:rPr>
              <w:t>下属分级基金的交易代码</w:t>
            </w:r>
          </w:p>
        </w:tc>
        <w:tc>
          <w:tcPr>
            <w:tcW w:w="3048" w:type="dxa"/>
            <w:vAlign w:val="center"/>
          </w:tcPr>
          <w:p w:rsidR="00BE0037" w:rsidRDefault="002D470A">
            <w:pPr>
              <w:rPr>
                <w:rFonts w:eastAsia="宋体" w:cs="Arial"/>
                <w:color w:val="000000" w:themeColor="text1"/>
                <w:sz w:val="24"/>
                <w:szCs w:val="24"/>
              </w:rPr>
            </w:pPr>
            <w:r>
              <w:rPr>
                <w:rFonts w:eastAsia="宋体" w:cs="Arial"/>
                <w:color w:val="000000"/>
                <w:sz w:val="24"/>
                <w:szCs w:val="24"/>
              </w:rPr>
              <w:t>025114</w:t>
            </w:r>
          </w:p>
        </w:tc>
        <w:tc>
          <w:tcPr>
            <w:tcW w:w="3048" w:type="dxa"/>
            <w:vAlign w:val="center"/>
          </w:tcPr>
          <w:p w:rsidR="00BE0037" w:rsidRDefault="002D470A">
            <w:pPr>
              <w:rPr>
                <w:rFonts w:eastAsia="宋体" w:cs="Arial"/>
                <w:color w:val="000000" w:themeColor="text1"/>
                <w:sz w:val="24"/>
                <w:szCs w:val="24"/>
              </w:rPr>
            </w:pPr>
            <w:r>
              <w:rPr>
                <w:rFonts w:eastAsia="宋体" w:cs="Arial"/>
                <w:color w:val="000000"/>
                <w:sz w:val="24"/>
                <w:szCs w:val="24"/>
              </w:rPr>
              <w:t>025115</w:t>
            </w:r>
          </w:p>
        </w:tc>
      </w:tr>
      <w:tr w:rsidR="00BE0037">
        <w:trPr>
          <w:jc w:val="center"/>
        </w:trPr>
        <w:tc>
          <w:tcPr>
            <w:tcW w:w="3502" w:type="dxa"/>
          </w:tcPr>
          <w:p w:rsidR="00BE0037" w:rsidRDefault="002D470A" w:rsidP="00A8126C">
            <w:pPr>
              <w:spacing w:line="360" w:lineRule="auto"/>
              <w:rPr>
                <w:rFonts w:eastAsia="宋体" w:cs="Arial"/>
                <w:color w:val="000000" w:themeColor="text1"/>
                <w:sz w:val="24"/>
                <w:szCs w:val="24"/>
              </w:rPr>
            </w:pPr>
            <w:r>
              <w:rPr>
                <w:rFonts w:eastAsia="宋体" w:cs="Arial"/>
                <w:color w:val="000000" w:themeColor="text1"/>
                <w:sz w:val="24"/>
                <w:szCs w:val="24"/>
              </w:rPr>
              <w:lastRenderedPageBreak/>
              <w:t>该分级基金是否开放申购、赎回、转换、定期定额投资</w:t>
            </w:r>
          </w:p>
        </w:tc>
        <w:tc>
          <w:tcPr>
            <w:tcW w:w="3048" w:type="dxa"/>
            <w:vAlign w:val="center"/>
          </w:tcPr>
          <w:p w:rsidR="00BE0037" w:rsidRDefault="002D470A">
            <w:pPr>
              <w:rPr>
                <w:rFonts w:eastAsia="宋体" w:cs="Arial"/>
                <w:color w:val="000000" w:themeColor="text1"/>
                <w:sz w:val="24"/>
                <w:szCs w:val="24"/>
              </w:rPr>
            </w:pPr>
            <w:r>
              <w:rPr>
                <w:rFonts w:eastAsia="宋体" w:cs="Arial"/>
                <w:color w:val="000000" w:themeColor="text1"/>
                <w:sz w:val="24"/>
                <w:szCs w:val="24"/>
              </w:rPr>
              <w:t>是</w:t>
            </w:r>
          </w:p>
        </w:tc>
        <w:tc>
          <w:tcPr>
            <w:tcW w:w="3048" w:type="dxa"/>
            <w:vAlign w:val="center"/>
          </w:tcPr>
          <w:p w:rsidR="00BE0037" w:rsidRDefault="002D470A">
            <w:pPr>
              <w:rPr>
                <w:rFonts w:eastAsia="宋体" w:cs="Arial"/>
                <w:color w:val="000000" w:themeColor="text1"/>
                <w:sz w:val="24"/>
                <w:szCs w:val="24"/>
              </w:rPr>
            </w:pPr>
            <w:r>
              <w:rPr>
                <w:rFonts w:eastAsia="宋体" w:cs="Arial"/>
                <w:color w:val="000000" w:themeColor="text1"/>
                <w:sz w:val="24"/>
                <w:szCs w:val="24"/>
              </w:rPr>
              <w:t>是</w:t>
            </w:r>
          </w:p>
        </w:tc>
      </w:tr>
    </w:tbl>
    <w:p w:rsidR="00BE0037" w:rsidRDefault="00BE0037">
      <w:pPr>
        <w:pStyle w:val="Default"/>
        <w:rPr>
          <w:rFonts w:ascii="Times New Roman" w:hAnsi="Times New Roman" w:cs="Arial"/>
        </w:rPr>
      </w:pPr>
      <w:bookmarkStart w:id="1" w:name="_Toc275961396"/>
    </w:p>
    <w:p w:rsidR="00BE0037" w:rsidRDefault="002D470A">
      <w:pPr>
        <w:pStyle w:val="2"/>
        <w:spacing w:line="560" w:lineRule="exact"/>
        <w:rPr>
          <w:rFonts w:ascii="Times New Roman" w:eastAsia="宋体" w:hAnsi="Times New Roman" w:cs="Arial"/>
          <w:bCs w:val="0"/>
          <w:color w:val="000000" w:themeColor="text1"/>
          <w:sz w:val="24"/>
          <w:szCs w:val="24"/>
        </w:rPr>
      </w:pPr>
      <w:r>
        <w:rPr>
          <w:rFonts w:ascii="Times New Roman" w:eastAsia="宋体" w:hAnsi="Times New Roman" w:cs="Arial"/>
          <w:bCs w:val="0"/>
          <w:color w:val="000000" w:themeColor="text1"/>
          <w:sz w:val="24"/>
          <w:szCs w:val="24"/>
        </w:rPr>
        <w:t xml:space="preserve">2 </w:t>
      </w:r>
      <w:r>
        <w:rPr>
          <w:rFonts w:ascii="Times New Roman" w:eastAsia="宋体" w:hAnsi="Times New Roman" w:cs="Arial"/>
          <w:bCs w:val="0"/>
          <w:color w:val="000000" w:themeColor="text1"/>
          <w:sz w:val="24"/>
          <w:szCs w:val="24"/>
        </w:rPr>
        <w:t>日常申购、赎回、转换和定期定额投资业务的办理时间</w:t>
      </w:r>
      <w:bookmarkEnd w:id="1"/>
    </w:p>
    <w:p w:rsidR="00360B90" w:rsidRDefault="002D470A" w:rsidP="00360B90">
      <w:pPr>
        <w:suppressAutoHyphens/>
        <w:spacing w:line="360" w:lineRule="auto"/>
        <w:ind w:firstLine="426"/>
        <w:rPr>
          <w:rFonts w:eastAsia="宋体" w:cs="Arial"/>
          <w:color w:val="000000" w:themeColor="text1"/>
          <w:sz w:val="24"/>
          <w:szCs w:val="24"/>
        </w:rPr>
      </w:pPr>
      <w:r>
        <w:rPr>
          <w:rFonts w:eastAsia="宋体" w:cs="Arial"/>
          <w:color w:val="000000" w:themeColor="text1"/>
          <w:sz w:val="24"/>
          <w:szCs w:val="24"/>
        </w:rPr>
        <w:t>本基金对于每份基金份额，设定</w:t>
      </w:r>
      <w:r>
        <w:rPr>
          <w:rFonts w:eastAsia="宋体" w:cs="Arial"/>
          <w:color w:val="000000" w:themeColor="text1"/>
          <w:sz w:val="24"/>
          <w:szCs w:val="24"/>
        </w:rPr>
        <w:t>30</w:t>
      </w:r>
      <w:r>
        <w:rPr>
          <w:rFonts w:eastAsia="宋体" w:cs="Arial"/>
          <w:color w:val="000000" w:themeColor="text1"/>
          <w:sz w:val="24"/>
          <w:szCs w:val="24"/>
        </w:rPr>
        <w:t>天的滚动运作期。</w:t>
      </w:r>
      <w:r>
        <w:rPr>
          <w:rFonts w:eastAsia="宋体" w:cs="Arial" w:hint="eastAsia"/>
          <w:color w:val="000000" w:themeColor="text1"/>
          <w:sz w:val="24"/>
          <w:szCs w:val="24"/>
        </w:rPr>
        <w:t>本基金</w:t>
      </w:r>
      <w:r>
        <w:rPr>
          <w:rFonts w:eastAsia="宋体" w:cs="Arial"/>
          <w:color w:val="000000" w:themeColor="text1"/>
          <w:sz w:val="24"/>
          <w:szCs w:val="24"/>
        </w:rPr>
        <w:t>在开放日办理基金份额的申购、转换转入或定期定额投资，</w:t>
      </w:r>
      <w:r>
        <w:rPr>
          <w:rFonts w:eastAsia="宋体" w:cs="Arial" w:hint="eastAsia"/>
          <w:color w:val="000000" w:themeColor="text1"/>
          <w:sz w:val="24"/>
          <w:szCs w:val="24"/>
        </w:rPr>
        <w:t>在每个运作期的到期日办理对应基金份额的赎回、转换转出。</w:t>
      </w:r>
      <w:r>
        <w:rPr>
          <w:rFonts w:eastAsia="宋体" w:cs="Arial"/>
          <w:color w:val="000000" w:themeColor="text1"/>
          <w:sz w:val="24"/>
          <w:szCs w:val="24"/>
        </w:rPr>
        <w:t>对于每份基金份额，第一个运作期指基金合同生效日（对认购份额而言，下同）或基金份额申购</w:t>
      </w:r>
      <w:r>
        <w:rPr>
          <w:rFonts w:eastAsia="宋体" w:cs="Arial"/>
          <w:color w:val="000000" w:themeColor="text1"/>
          <w:sz w:val="24"/>
          <w:szCs w:val="24"/>
        </w:rPr>
        <w:t>/</w:t>
      </w:r>
      <w:r>
        <w:rPr>
          <w:rFonts w:eastAsia="宋体" w:cs="Arial"/>
          <w:color w:val="000000" w:themeColor="text1"/>
          <w:sz w:val="24"/>
          <w:szCs w:val="24"/>
        </w:rPr>
        <w:t>转换转入确认日（对申购</w:t>
      </w:r>
      <w:r>
        <w:rPr>
          <w:rFonts w:eastAsia="宋体" w:cs="Arial"/>
          <w:color w:val="000000" w:themeColor="text1"/>
          <w:sz w:val="24"/>
          <w:szCs w:val="24"/>
        </w:rPr>
        <w:t>/</w:t>
      </w:r>
      <w:r>
        <w:rPr>
          <w:rFonts w:eastAsia="宋体" w:cs="Arial"/>
          <w:color w:val="000000" w:themeColor="text1"/>
          <w:sz w:val="24"/>
          <w:szCs w:val="24"/>
        </w:rPr>
        <w:t>转换转入份额而言，下同）起（即第一个运作起始日），至基金合同生效日或基金份额申购</w:t>
      </w:r>
      <w:r w:rsidR="000477B9">
        <w:rPr>
          <w:rFonts w:eastAsia="宋体" w:cs="Arial" w:hint="eastAsia"/>
          <w:color w:val="000000" w:themeColor="text1"/>
          <w:sz w:val="24"/>
          <w:szCs w:val="24"/>
        </w:rPr>
        <w:t>/</w:t>
      </w:r>
      <w:r w:rsidR="000477B9">
        <w:rPr>
          <w:rFonts w:eastAsia="宋体" w:cs="Arial" w:hint="eastAsia"/>
          <w:color w:val="000000" w:themeColor="text1"/>
          <w:sz w:val="24"/>
          <w:szCs w:val="24"/>
        </w:rPr>
        <w:t>转换转入</w:t>
      </w:r>
      <w:r>
        <w:rPr>
          <w:rFonts w:eastAsia="宋体" w:cs="Arial"/>
          <w:color w:val="000000" w:themeColor="text1"/>
          <w:sz w:val="24"/>
          <w:szCs w:val="24"/>
        </w:rPr>
        <w:t>申请日后的第</w:t>
      </w:r>
      <w:r>
        <w:rPr>
          <w:rFonts w:eastAsia="宋体" w:cs="Arial"/>
          <w:color w:val="000000" w:themeColor="text1"/>
          <w:sz w:val="24"/>
          <w:szCs w:val="24"/>
        </w:rPr>
        <w:t xml:space="preserve"> 30 </w:t>
      </w:r>
      <w:r>
        <w:rPr>
          <w:rFonts w:eastAsia="宋体" w:cs="Arial"/>
          <w:color w:val="000000" w:themeColor="text1"/>
          <w:sz w:val="24"/>
          <w:szCs w:val="24"/>
        </w:rPr>
        <w:t>天（即第一个运作期到期日。如该日为非工作日，则顺延到下一工作日）止。第二个运作期指第一个运作期到期日的次一日起，至基金合同生效日或基金份额申购</w:t>
      </w:r>
      <w:r>
        <w:rPr>
          <w:rFonts w:eastAsia="宋体" w:cs="Arial"/>
          <w:color w:val="000000" w:themeColor="text1"/>
          <w:sz w:val="24"/>
          <w:szCs w:val="24"/>
        </w:rPr>
        <w:t>/</w:t>
      </w:r>
      <w:r>
        <w:rPr>
          <w:rFonts w:eastAsia="宋体" w:cs="Arial"/>
          <w:color w:val="000000" w:themeColor="text1"/>
          <w:sz w:val="24"/>
          <w:szCs w:val="24"/>
        </w:rPr>
        <w:t>转换转入申请日后的第</w:t>
      </w:r>
      <w:r>
        <w:rPr>
          <w:rFonts w:eastAsia="宋体" w:cs="Arial"/>
          <w:color w:val="000000" w:themeColor="text1"/>
          <w:sz w:val="24"/>
          <w:szCs w:val="24"/>
        </w:rPr>
        <w:t xml:space="preserve"> 60 </w:t>
      </w:r>
      <w:r>
        <w:rPr>
          <w:rFonts w:eastAsia="宋体" w:cs="Arial"/>
          <w:color w:val="000000" w:themeColor="text1"/>
          <w:sz w:val="24"/>
          <w:szCs w:val="24"/>
        </w:rPr>
        <w:t>天（如该日为非工作日，则顺延至下一工作日）止。以此类推。</w:t>
      </w:r>
      <w:r>
        <w:rPr>
          <w:rFonts w:eastAsia="宋体" w:cs="Arial" w:hint="eastAsia"/>
          <w:color w:val="000000" w:themeColor="text1"/>
          <w:sz w:val="24"/>
          <w:szCs w:val="24"/>
        </w:rPr>
        <w:t>如果基金份额持有人在当期运作期到期日未申请赎回</w:t>
      </w:r>
      <w:r>
        <w:rPr>
          <w:rFonts w:eastAsia="宋体" w:cs="Arial" w:hint="eastAsia"/>
          <w:color w:val="000000" w:themeColor="text1"/>
          <w:sz w:val="24"/>
          <w:szCs w:val="24"/>
        </w:rPr>
        <w:t>/</w:t>
      </w:r>
      <w:r>
        <w:rPr>
          <w:rFonts w:eastAsia="宋体" w:cs="Arial" w:hint="eastAsia"/>
          <w:color w:val="000000" w:themeColor="text1"/>
          <w:sz w:val="24"/>
          <w:szCs w:val="24"/>
        </w:rPr>
        <w:t>转换转出或赎回</w:t>
      </w:r>
      <w:r>
        <w:rPr>
          <w:rFonts w:eastAsia="宋体" w:cs="Arial" w:hint="eastAsia"/>
          <w:color w:val="000000" w:themeColor="text1"/>
          <w:sz w:val="24"/>
          <w:szCs w:val="24"/>
        </w:rPr>
        <w:t>/</w:t>
      </w:r>
      <w:r>
        <w:rPr>
          <w:rFonts w:eastAsia="宋体" w:cs="Arial" w:hint="eastAsia"/>
          <w:color w:val="000000" w:themeColor="text1"/>
          <w:sz w:val="24"/>
          <w:szCs w:val="24"/>
        </w:rPr>
        <w:t>转换转出被确认失败，则自该运作期到期日下一日起该基金份额进入下一个运作期。</w:t>
      </w:r>
    </w:p>
    <w:p w:rsidR="00BE0037" w:rsidRDefault="002D470A" w:rsidP="00360B90">
      <w:pPr>
        <w:suppressAutoHyphens/>
        <w:spacing w:line="360" w:lineRule="auto"/>
        <w:ind w:firstLine="426"/>
        <w:rPr>
          <w:rFonts w:eastAsia="宋体" w:cs="Arial"/>
          <w:color w:val="000000" w:themeColor="text1"/>
          <w:sz w:val="24"/>
          <w:szCs w:val="24"/>
        </w:rPr>
      </w:pPr>
      <w:r>
        <w:rPr>
          <w:rFonts w:eastAsia="宋体" w:cs="Arial"/>
          <w:color w:val="000000" w:themeColor="text1"/>
          <w:sz w:val="24"/>
          <w:szCs w:val="24"/>
        </w:rPr>
        <w:t>基金管理人不得在《基金合同》约定之外的日期或者时间办理基金份额的申购、赎回、转换或者定期定额投资。投资者在《基金合同》约定之外的日期和时间提出申购、转换</w:t>
      </w:r>
      <w:r>
        <w:rPr>
          <w:rFonts w:eastAsia="宋体" w:cs="Arial" w:hint="eastAsia"/>
          <w:color w:val="000000" w:themeColor="text1"/>
          <w:sz w:val="24"/>
          <w:szCs w:val="24"/>
        </w:rPr>
        <w:t>转入</w:t>
      </w:r>
      <w:r>
        <w:rPr>
          <w:rFonts w:eastAsia="宋体" w:cs="Arial"/>
          <w:color w:val="000000" w:themeColor="text1"/>
          <w:sz w:val="24"/>
          <w:szCs w:val="24"/>
        </w:rPr>
        <w:t>或定期定额投资申请且登记机构确认接受的，其基金份额申购、转换</w:t>
      </w:r>
      <w:r>
        <w:rPr>
          <w:rFonts w:eastAsia="宋体" w:cs="Arial" w:hint="eastAsia"/>
          <w:color w:val="000000" w:themeColor="text1"/>
          <w:sz w:val="24"/>
          <w:szCs w:val="24"/>
        </w:rPr>
        <w:t>转入</w:t>
      </w:r>
      <w:r>
        <w:rPr>
          <w:rFonts w:eastAsia="宋体" w:cs="Arial"/>
          <w:color w:val="000000" w:themeColor="text1"/>
          <w:sz w:val="24"/>
          <w:szCs w:val="24"/>
        </w:rPr>
        <w:t>或定期定额投资价格为下一开放日</w:t>
      </w:r>
      <w:r>
        <w:rPr>
          <w:rFonts w:eastAsia="宋体" w:cs="Arial" w:hint="eastAsia"/>
          <w:color w:val="000000" w:themeColor="text1"/>
          <w:sz w:val="24"/>
          <w:szCs w:val="24"/>
        </w:rPr>
        <w:t>相应类别</w:t>
      </w:r>
      <w:r>
        <w:rPr>
          <w:rFonts w:eastAsia="宋体" w:cs="Arial"/>
          <w:color w:val="000000" w:themeColor="text1"/>
          <w:sz w:val="24"/>
          <w:szCs w:val="24"/>
        </w:rPr>
        <w:t>基金份额申购、转换</w:t>
      </w:r>
      <w:r>
        <w:rPr>
          <w:rFonts w:eastAsia="宋体" w:cs="Arial" w:hint="eastAsia"/>
          <w:color w:val="000000" w:themeColor="text1"/>
          <w:sz w:val="24"/>
          <w:szCs w:val="24"/>
        </w:rPr>
        <w:t>转入</w:t>
      </w:r>
      <w:r>
        <w:rPr>
          <w:rFonts w:eastAsia="宋体" w:cs="Arial"/>
          <w:color w:val="000000" w:themeColor="text1"/>
          <w:sz w:val="24"/>
          <w:szCs w:val="24"/>
        </w:rPr>
        <w:t>或定期定额投资的价格。</w:t>
      </w:r>
      <w:r>
        <w:rPr>
          <w:rStyle w:val="ac"/>
          <w:rFonts w:eastAsia="宋体" w:cs="Arial"/>
          <w:color w:val="000000" w:themeColor="text1"/>
          <w:sz w:val="24"/>
          <w:szCs w:val="24"/>
        </w:rPr>
        <w:t>投资</w:t>
      </w:r>
      <w:r>
        <w:rPr>
          <w:rStyle w:val="ac"/>
          <w:rFonts w:eastAsia="宋体" w:cs="Arial" w:hint="eastAsia"/>
          <w:color w:val="000000" w:themeColor="text1"/>
          <w:sz w:val="24"/>
          <w:szCs w:val="24"/>
        </w:rPr>
        <w:t>者</w:t>
      </w:r>
      <w:r>
        <w:rPr>
          <w:rStyle w:val="ac"/>
          <w:rFonts w:eastAsia="宋体" w:cs="Arial"/>
          <w:color w:val="000000" w:themeColor="text1"/>
          <w:sz w:val="24"/>
          <w:szCs w:val="24"/>
        </w:rPr>
        <w:t>在运作期到期日之外的日期和时间提出赎回或转换转出申请的</w:t>
      </w:r>
      <w:r>
        <w:rPr>
          <w:rStyle w:val="ac"/>
          <w:rFonts w:eastAsia="宋体" w:cs="Arial" w:hint="eastAsia"/>
          <w:color w:val="000000" w:themeColor="text1"/>
          <w:sz w:val="24"/>
          <w:szCs w:val="24"/>
        </w:rPr>
        <w:t>，</w:t>
      </w:r>
      <w:r>
        <w:rPr>
          <w:rStyle w:val="ac"/>
          <w:rFonts w:eastAsia="宋体" w:cs="Arial"/>
          <w:color w:val="000000" w:themeColor="text1"/>
          <w:sz w:val="24"/>
          <w:szCs w:val="24"/>
        </w:rPr>
        <w:t>视为无效申请</w:t>
      </w:r>
      <w:r>
        <w:rPr>
          <w:rStyle w:val="ac"/>
          <w:rFonts w:eastAsia="宋体" w:cs="Arial" w:hint="eastAsia"/>
          <w:color w:val="000000" w:themeColor="text1"/>
          <w:sz w:val="24"/>
          <w:szCs w:val="24"/>
        </w:rPr>
        <w:t>。</w:t>
      </w:r>
    </w:p>
    <w:p w:rsidR="00BE0037" w:rsidRDefault="002D470A">
      <w:pPr>
        <w:suppressAutoHyphens/>
        <w:spacing w:line="360" w:lineRule="auto"/>
        <w:ind w:firstLine="426"/>
        <w:rPr>
          <w:rFonts w:eastAsia="宋体" w:cs="Arial"/>
          <w:color w:val="000000" w:themeColor="text1"/>
          <w:sz w:val="24"/>
          <w:szCs w:val="24"/>
        </w:rPr>
      </w:pPr>
      <w:r>
        <w:rPr>
          <w:rFonts w:eastAsia="宋体" w:cs="Arial"/>
          <w:color w:val="000000" w:themeColor="text1"/>
          <w:sz w:val="24"/>
          <w:szCs w:val="24"/>
        </w:rPr>
        <w:t>本基金基金合同自</w:t>
      </w:r>
      <w:r>
        <w:rPr>
          <w:rFonts w:eastAsia="宋体" w:cs="Arial"/>
          <w:color w:val="000000" w:themeColor="text1"/>
          <w:sz w:val="24"/>
          <w:szCs w:val="24"/>
        </w:rPr>
        <w:t>2026</w:t>
      </w:r>
      <w:r>
        <w:rPr>
          <w:rFonts w:eastAsia="宋体" w:cs="Arial"/>
          <w:color w:val="000000" w:themeColor="text1"/>
          <w:sz w:val="24"/>
          <w:szCs w:val="24"/>
        </w:rPr>
        <w:t>年</w:t>
      </w:r>
      <w:r>
        <w:rPr>
          <w:rFonts w:eastAsia="宋体" w:cs="Arial"/>
          <w:color w:val="000000" w:themeColor="text1"/>
          <w:sz w:val="24"/>
          <w:szCs w:val="24"/>
        </w:rPr>
        <w:t>1</w:t>
      </w:r>
      <w:r>
        <w:rPr>
          <w:rFonts w:eastAsia="宋体" w:cs="Arial"/>
          <w:color w:val="000000" w:themeColor="text1"/>
          <w:sz w:val="24"/>
          <w:szCs w:val="24"/>
        </w:rPr>
        <w:t>月</w:t>
      </w:r>
      <w:r>
        <w:rPr>
          <w:rFonts w:eastAsia="宋体" w:cs="Arial"/>
          <w:color w:val="000000" w:themeColor="text1"/>
          <w:sz w:val="24"/>
          <w:szCs w:val="24"/>
        </w:rPr>
        <w:t>20</w:t>
      </w:r>
      <w:r>
        <w:rPr>
          <w:rFonts w:eastAsia="宋体" w:cs="Arial"/>
          <w:color w:val="000000" w:themeColor="text1"/>
          <w:sz w:val="24"/>
          <w:szCs w:val="24"/>
        </w:rPr>
        <w:t>日起生效</w:t>
      </w:r>
      <w:r w:rsidR="00A8126C">
        <w:rPr>
          <w:rFonts w:eastAsia="宋体" w:cs="Arial" w:hint="eastAsia"/>
          <w:color w:val="000000" w:themeColor="text1"/>
          <w:sz w:val="24"/>
          <w:szCs w:val="24"/>
        </w:rPr>
        <w:t>，</w:t>
      </w:r>
      <w:r>
        <w:rPr>
          <w:rFonts w:eastAsia="宋体" w:cs="Arial"/>
          <w:color w:val="000000" w:themeColor="text1"/>
          <w:sz w:val="24"/>
          <w:szCs w:val="24"/>
        </w:rPr>
        <w:t>本基金认购份额的首个运作期到期日为</w:t>
      </w:r>
      <w:r>
        <w:rPr>
          <w:rFonts w:eastAsia="宋体" w:cs="Arial"/>
          <w:color w:val="000000" w:themeColor="text1"/>
          <w:sz w:val="24"/>
          <w:szCs w:val="24"/>
        </w:rPr>
        <w:t>2026</w:t>
      </w:r>
      <w:r>
        <w:rPr>
          <w:rFonts w:eastAsia="宋体" w:cs="Arial"/>
          <w:color w:val="000000" w:themeColor="text1"/>
          <w:sz w:val="24"/>
          <w:szCs w:val="24"/>
        </w:rPr>
        <w:t>年</w:t>
      </w:r>
      <w:r>
        <w:rPr>
          <w:rFonts w:eastAsia="宋体" w:cs="Arial"/>
          <w:color w:val="000000" w:themeColor="text1"/>
          <w:sz w:val="24"/>
          <w:szCs w:val="24"/>
        </w:rPr>
        <w:t>2</w:t>
      </w:r>
      <w:r>
        <w:rPr>
          <w:rFonts w:eastAsia="宋体" w:cs="Arial"/>
          <w:color w:val="000000" w:themeColor="text1"/>
          <w:sz w:val="24"/>
          <w:szCs w:val="24"/>
        </w:rPr>
        <w:t>月</w:t>
      </w:r>
      <w:r>
        <w:rPr>
          <w:rFonts w:eastAsia="宋体" w:cs="Arial"/>
          <w:color w:val="000000" w:themeColor="text1"/>
          <w:sz w:val="24"/>
          <w:szCs w:val="24"/>
        </w:rPr>
        <w:t>24</w:t>
      </w:r>
      <w:r>
        <w:rPr>
          <w:rFonts w:eastAsia="宋体" w:cs="Arial"/>
          <w:color w:val="000000" w:themeColor="text1"/>
          <w:sz w:val="24"/>
          <w:szCs w:val="24"/>
        </w:rPr>
        <w:t>日。</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本基金为投资者办理申购、赎回</w:t>
      </w:r>
      <w:r>
        <w:rPr>
          <w:rFonts w:eastAsia="宋体" w:cs="Arial"/>
          <w:bCs/>
          <w:color w:val="000000" w:themeColor="text1"/>
          <w:sz w:val="24"/>
          <w:szCs w:val="24"/>
        </w:rPr>
        <w:t>、转换和定期定额投资</w:t>
      </w:r>
      <w:r>
        <w:rPr>
          <w:rFonts w:eastAsia="宋体" w:cs="Arial"/>
          <w:color w:val="000000" w:themeColor="text1"/>
          <w:sz w:val="24"/>
          <w:szCs w:val="24"/>
        </w:rPr>
        <w:t>业务的开放日为上海证券交易所、深圳证券交易所正常交易的工作日</w:t>
      </w:r>
      <w:r w:rsidR="00F87D5D">
        <w:rPr>
          <w:rFonts w:eastAsia="宋体" w:cs="Arial" w:hint="eastAsia"/>
          <w:color w:val="000000" w:themeColor="text1"/>
          <w:sz w:val="24"/>
          <w:szCs w:val="24"/>
        </w:rPr>
        <w:t>，</w:t>
      </w:r>
      <w:r>
        <w:rPr>
          <w:rFonts w:eastAsia="宋体" w:cs="Arial"/>
          <w:color w:val="000000" w:themeColor="text1"/>
          <w:sz w:val="24"/>
          <w:szCs w:val="24"/>
        </w:rPr>
        <w:t>在开放日的具体业务办理时间为上海证券交易所、深圳证券交易所正常交易日的交易时间，但基金管理人根据法律法规、中国证监会的要求或本基金合同的规定公告暂停相关业务时除外。由于各销售机构系统及业务安排等原因，开放日的具体交易时间应以各销售机构具</w:t>
      </w:r>
      <w:r>
        <w:rPr>
          <w:rFonts w:eastAsia="宋体" w:cs="Arial"/>
          <w:color w:val="000000" w:themeColor="text1"/>
          <w:sz w:val="24"/>
          <w:szCs w:val="24"/>
        </w:rPr>
        <w:lastRenderedPageBreak/>
        <w:t>体规定的时间为准。</w:t>
      </w:r>
    </w:p>
    <w:p w:rsidR="00BE0037" w:rsidRDefault="002D470A">
      <w:pPr>
        <w:pStyle w:val="2"/>
        <w:spacing w:line="560" w:lineRule="exact"/>
        <w:rPr>
          <w:rFonts w:ascii="Times New Roman" w:eastAsia="宋体" w:hAnsi="Times New Roman" w:cs="Arial"/>
          <w:bCs w:val="0"/>
          <w:color w:val="000000" w:themeColor="text1"/>
          <w:sz w:val="24"/>
          <w:szCs w:val="24"/>
        </w:rPr>
      </w:pPr>
      <w:bookmarkStart w:id="2" w:name="_Toc275961397"/>
      <w:r>
        <w:rPr>
          <w:rFonts w:ascii="Times New Roman" w:eastAsia="宋体" w:hAnsi="Times New Roman" w:cs="Arial"/>
          <w:bCs w:val="0"/>
          <w:color w:val="000000" w:themeColor="text1"/>
          <w:sz w:val="24"/>
          <w:szCs w:val="24"/>
        </w:rPr>
        <w:t xml:space="preserve">3 </w:t>
      </w:r>
      <w:r>
        <w:rPr>
          <w:rFonts w:ascii="Times New Roman" w:eastAsia="宋体" w:hAnsi="Times New Roman" w:cs="Arial"/>
          <w:bCs w:val="0"/>
          <w:color w:val="000000" w:themeColor="text1"/>
          <w:sz w:val="24"/>
          <w:szCs w:val="24"/>
        </w:rPr>
        <w:t>日常申购业务</w:t>
      </w:r>
      <w:bookmarkEnd w:id="2"/>
    </w:p>
    <w:p w:rsidR="00BE0037" w:rsidRDefault="002D470A">
      <w:pPr>
        <w:spacing w:line="560" w:lineRule="exact"/>
        <w:rPr>
          <w:rFonts w:eastAsia="宋体" w:cs="Arial"/>
          <w:b/>
          <w:color w:val="000000" w:themeColor="text1"/>
          <w:sz w:val="24"/>
          <w:szCs w:val="24"/>
        </w:rPr>
      </w:pPr>
      <w:r>
        <w:rPr>
          <w:rFonts w:eastAsia="宋体" w:cs="Arial"/>
          <w:b/>
          <w:color w:val="000000" w:themeColor="text1"/>
          <w:sz w:val="24"/>
          <w:szCs w:val="24"/>
        </w:rPr>
        <w:t xml:space="preserve">3.1 </w:t>
      </w:r>
      <w:r>
        <w:rPr>
          <w:rFonts w:eastAsia="宋体" w:cs="Arial"/>
          <w:b/>
          <w:color w:val="000000" w:themeColor="text1"/>
          <w:sz w:val="24"/>
          <w:szCs w:val="24"/>
        </w:rPr>
        <w:t>申购金额限制</w:t>
      </w:r>
    </w:p>
    <w:p w:rsidR="00BE0037" w:rsidRDefault="002D470A" w:rsidP="006320FF">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本基金单笔申购的最低金额为</w:t>
      </w:r>
      <w:r>
        <w:rPr>
          <w:rFonts w:eastAsia="宋体" w:cs="Arial"/>
          <w:color w:val="000000" w:themeColor="text1"/>
          <w:sz w:val="24"/>
          <w:szCs w:val="24"/>
        </w:rPr>
        <w:t>1</w:t>
      </w:r>
      <w:r>
        <w:rPr>
          <w:rFonts w:eastAsia="宋体" w:cs="Arial"/>
          <w:color w:val="000000" w:themeColor="text1"/>
          <w:sz w:val="24"/>
          <w:szCs w:val="24"/>
        </w:rPr>
        <w:t>元，销售机构在此最低金额基础之上另有约定的，从其约定。基金管理人可根据市场情况，调整本基金申购的最低金额。</w:t>
      </w:r>
    </w:p>
    <w:p w:rsidR="00BE0037" w:rsidRDefault="002D470A" w:rsidP="006320FF">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本基金暂不向金融机构自营账户（基金管理人自有资金除外）销售，如未来本基金开放向金融机构自营账户公开</w:t>
      </w:r>
      <w:r w:rsidR="00360B90">
        <w:rPr>
          <w:rFonts w:eastAsia="宋体" w:cs="Arial" w:hint="eastAsia"/>
          <w:color w:val="000000" w:themeColor="text1"/>
          <w:sz w:val="24"/>
          <w:szCs w:val="24"/>
        </w:rPr>
        <w:t>销售</w:t>
      </w:r>
      <w:r>
        <w:rPr>
          <w:rFonts w:eastAsia="宋体" w:cs="Arial"/>
          <w:color w:val="000000" w:themeColor="text1"/>
          <w:sz w:val="24"/>
          <w:szCs w:val="24"/>
        </w:rPr>
        <w:t>或对</w:t>
      </w:r>
      <w:r w:rsidR="00360B90">
        <w:rPr>
          <w:rFonts w:eastAsia="宋体" w:cs="Arial" w:hint="eastAsia"/>
          <w:color w:val="000000" w:themeColor="text1"/>
          <w:sz w:val="24"/>
          <w:szCs w:val="24"/>
        </w:rPr>
        <w:t>销售</w:t>
      </w:r>
      <w:r>
        <w:rPr>
          <w:rFonts w:eastAsia="宋体" w:cs="Arial"/>
          <w:color w:val="000000" w:themeColor="text1"/>
          <w:sz w:val="24"/>
          <w:szCs w:val="24"/>
        </w:rPr>
        <w:t>对象的范围予以进一步限定，基金管理人将另行公告。上述金融机构自营账户的具体范围以基金管理人认定为准。</w:t>
      </w:r>
    </w:p>
    <w:p w:rsidR="00BE0037" w:rsidRDefault="002D470A" w:rsidP="006320FF">
      <w:pPr>
        <w:spacing w:line="360" w:lineRule="auto"/>
        <w:ind w:firstLine="420"/>
        <w:rPr>
          <w:rFonts w:eastAsia="宋体" w:cs="Arial"/>
          <w:color w:val="000000" w:themeColor="text1"/>
          <w:sz w:val="24"/>
          <w:szCs w:val="24"/>
        </w:rPr>
      </w:pPr>
      <w:r>
        <w:rPr>
          <w:rFonts w:eastAsia="宋体" w:cs="Arial"/>
          <w:color w:val="000000" w:themeColor="text1"/>
          <w:sz w:val="24"/>
          <w:szCs w:val="24"/>
        </w:rPr>
        <w:t>本基金单一投资者单日</w:t>
      </w:r>
      <w:r>
        <w:rPr>
          <w:rFonts w:eastAsia="宋体" w:cs="Arial" w:hint="eastAsia"/>
          <w:color w:val="000000" w:themeColor="text1"/>
          <w:sz w:val="24"/>
          <w:szCs w:val="24"/>
        </w:rPr>
        <w:t>申购</w:t>
      </w:r>
      <w:r>
        <w:rPr>
          <w:rFonts w:eastAsia="宋体" w:cs="Arial"/>
          <w:color w:val="000000" w:themeColor="text1"/>
          <w:sz w:val="24"/>
          <w:szCs w:val="24"/>
        </w:rPr>
        <w:t>金额不超过</w:t>
      </w:r>
      <w:r>
        <w:rPr>
          <w:rFonts w:eastAsia="宋体" w:cs="Arial"/>
          <w:color w:val="000000" w:themeColor="text1"/>
          <w:sz w:val="24"/>
          <w:szCs w:val="24"/>
        </w:rPr>
        <w:t>1000</w:t>
      </w:r>
      <w:r>
        <w:rPr>
          <w:rFonts w:eastAsia="宋体" w:cs="Arial"/>
          <w:color w:val="000000" w:themeColor="text1"/>
          <w:sz w:val="24"/>
          <w:szCs w:val="24"/>
        </w:rPr>
        <w:t>万元（个人、公募资产管理产品、职业年金、企业年金计划、养老金产品、基金管理人自有资金除外）。基金管理人可以调整单一投资者单日</w:t>
      </w:r>
      <w:r>
        <w:rPr>
          <w:rFonts w:eastAsia="宋体" w:cs="Arial" w:hint="eastAsia"/>
          <w:color w:val="000000" w:themeColor="text1"/>
          <w:sz w:val="24"/>
          <w:szCs w:val="24"/>
        </w:rPr>
        <w:t>申购</w:t>
      </w:r>
      <w:r>
        <w:rPr>
          <w:rFonts w:eastAsia="宋体" w:cs="Arial"/>
          <w:color w:val="000000" w:themeColor="text1"/>
          <w:sz w:val="24"/>
          <w:szCs w:val="24"/>
        </w:rPr>
        <w:t>金额上限，具体规定请参</w:t>
      </w:r>
      <w:r>
        <w:rPr>
          <w:rFonts w:eastAsia="宋体" w:cs="Arial"/>
          <w:color w:val="000000" w:themeColor="text1"/>
          <w:sz w:val="24"/>
          <w:szCs w:val="24"/>
        </w:rPr>
        <w:t>见更新的招募说明书或相关公告。</w:t>
      </w:r>
    </w:p>
    <w:p w:rsidR="00BE0037" w:rsidRDefault="002D470A">
      <w:pPr>
        <w:spacing w:line="560" w:lineRule="exact"/>
        <w:rPr>
          <w:rFonts w:eastAsia="宋体" w:cs="Arial"/>
          <w:b/>
          <w:color w:val="000000" w:themeColor="text1"/>
          <w:sz w:val="24"/>
          <w:szCs w:val="24"/>
        </w:rPr>
      </w:pPr>
      <w:r>
        <w:rPr>
          <w:rFonts w:eastAsia="宋体" w:cs="Arial"/>
          <w:b/>
          <w:color w:val="000000" w:themeColor="text1"/>
          <w:sz w:val="24"/>
          <w:szCs w:val="24"/>
        </w:rPr>
        <w:t xml:space="preserve">3.2 </w:t>
      </w:r>
      <w:r>
        <w:rPr>
          <w:rFonts w:eastAsia="宋体" w:cs="Arial"/>
          <w:b/>
          <w:color w:val="000000" w:themeColor="text1"/>
          <w:sz w:val="24"/>
          <w:szCs w:val="24"/>
        </w:rPr>
        <w:t>申购费率</w:t>
      </w:r>
    </w:p>
    <w:p w:rsidR="00BE0037" w:rsidRDefault="002D470A" w:rsidP="006320FF">
      <w:pPr>
        <w:spacing w:line="360" w:lineRule="auto"/>
        <w:ind w:firstLineChars="200" w:firstLine="480"/>
        <w:rPr>
          <w:rFonts w:eastAsia="宋体" w:cs="Arial"/>
          <w:bCs/>
          <w:color w:val="000000" w:themeColor="text1"/>
          <w:sz w:val="24"/>
          <w:szCs w:val="24"/>
        </w:rPr>
      </w:pPr>
      <w:r>
        <w:rPr>
          <w:rFonts w:eastAsia="宋体" w:cs="Arial"/>
          <w:bCs/>
          <w:color w:val="000000" w:themeColor="text1"/>
          <w:sz w:val="24"/>
          <w:szCs w:val="24"/>
        </w:rPr>
        <w:t>申购费用由投资人承担，不列入基金资产，主要用于基金的市场推广、销售、登记等各项费用。</w:t>
      </w:r>
    </w:p>
    <w:p w:rsidR="00BE0037" w:rsidRDefault="002D470A">
      <w:pPr>
        <w:spacing w:line="560" w:lineRule="exact"/>
        <w:rPr>
          <w:rFonts w:eastAsia="宋体" w:cs="Arial"/>
          <w:b/>
          <w:color w:val="000000" w:themeColor="text1"/>
          <w:sz w:val="24"/>
          <w:szCs w:val="24"/>
        </w:rPr>
      </w:pPr>
      <w:r>
        <w:rPr>
          <w:rFonts w:eastAsia="宋体" w:cs="Arial"/>
          <w:b/>
          <w:color w:val="000000" w:themeColor="text1"/>
          <w:sz w:val="24"/>
          <w:szCs w:val="24"/>
        </w:rPr>
        <w:t xml:space="preserve">3.2.1 </w:t>
      </w:r>
      <w:r>
        <w:rPr>
          <w:rFonts w:eastAsia="宋体" w:cs="Arial"/>
          <w:b/>
          <w:color w:val="000000" w:themeColor="text1"/>
          <w:sz w:val="24"/>
          <w:szCs w:val="24"/>
        </w:rPr>
        <w:t>前端收费</w:t>
      </w:r>
    </w:p>
    <w:p w:rsidR="00360B90" w:rsidRDefault="002D470A" w:rsidP="006320FF">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本基金</w:t>
      </w:r>
      <w:r>
        <w:rPr>
          <w:rFonts w:eastAsia="宋体" w:cs="Arial"/>
          <w:color w:val="000000" w:themeColor="text1"/>
          <w:sz w:val="24"/>
          <w:szCs w:val="24"/>
        </w:rPr>
        <w:t>C</w:t>
      </w:r>
      <w:r>
        <w:rPr>
          <w:rFonts w:eastAsia="宋体" w:cs="Arial"/>
          <w:color w:val="000000" w:themeColor="text1"/>
          <w:sz w:val="24"/>
          <w:szCs w:val="24"/>
        </w:rPr>
        <w:t>类基金份额不收取申购费，本基金</w:t>
      </w:r>
      <w:r>
        <w:rPr>
          <w:rFonts w:eastAsia="宋体" w:cs="Arial"/>
          <w:color w:val="000000" w:themeColor="text1"/>
          <w:sz w:val="24"/>
          <w:szCs w:val="24"/>
        </w:rPr>
        <w:t>A</w:t>
      </w:r>
      <w:r>
        <w:rPr>
          <w:rFonts w:eastAsia="宋体" w:cs="Arial"/>
          <w:color w:val="000000" w:themeColor="text1"/>
          <w:sz w:val="24"/>
          <w:szCs w:val="24"/>
        </w:rPr>
        <w:t>类基金份额的申购费用由申购</w:t>
      </w:r>
      <w:r>
        <w:rPr>
          <w:rFonts w:eastAsia="宋体" w:cs="Arial"/>
          <w:color w:val="000000" w:themeColor="text1"/>
          <w:sz w:val="24"/>
          <w:szCs w:val="24"/>
        </w:rPr>
        <w:t>A</w:t>
      </w:r>
      <w:r>
        <w:rPr>
          <w:rFonts w:eastAsia="宋体" w:cs="Arial"/>
          <w:color w:val="000000" w:themeColor="text1"/>
          <w:sz w:val="24"/>
          <w:szCs w:val="24"/>
        </w:rPr>
        <w:t>类基金份额的投资人承担，不列入基金资产，主要用于基金的市场推广、销售、登记等各项费用。</w:t>
      </w:r>
      <w:bookmarkStart w:id="3" w:name="_Toc275961398"/>
    </w:p>
    <w:p w:rsidR="00BE0037" w:rsidRPr="00360B90" w:rsidRDefault="002D470A" w:rsidP="006320FF">
      <w:pPr>
        <w:spacing w:line="360" w:lineRule="auto"/>
        <w:ind w:firstLineChars="200" w:firstLine="480"/>
        <w:rPr>
          <w:rFonts w:eastAsia="宋体" w:cs="Arial"/>
          <w:color w:val="000000" w:themeColor="text1"/>
          <w:sz w:val="24"/>
          <w:szCs w:val="24"/>
        </w:rPr>
      </w:pPr>
      <w:r>
        <w:rPr>
          <w:rFonts w:eastAsia="宋体" w:cs="Arial"/>
          <w:sz w:val="24"/>
          <w:szCs w:val="24"/>
        </w:rPr>
        <w:t>本基金</w:t>
      </w:r>
      <w:r>
        <w:rPr>
          <w:rFonts w:eastAsia="宋体" w:cs="Arial"/>
          <w:sz w:val="24"/>
          <w:szCs w:val="24"/>
        </w:rPr>
        <w:t>A</w:t>
      </w:r>
      <w:r>
        <w:rPr>
          <w:rFonts w:eastAsia="宋体" w:cs="Arial"/>
          <w:sz w:val="24"/>
          <w:szCs w:val="24"/>
        </w:rPr>
        <w:t>类基金份额的申购费率按照申购金额逐级递减，登记机构根据单笔申购的实际确认金额确定每笔申购所适用的费率并分别计算。本基金</w:t>
      </w:r>
      <w:r>
        <w:rPr>
          <w:rFonts w:eastAsia="宋体" w:cs="Arial"/>
          <w:sz w:val="24"/>
          <w:szCs w:val="24"/>
        </w:rPr>
        <w:t>A</w:t>
      </w:r>
      <w:r>
        <w:rPr>
          <w:rFonts w:eastAsia="宋体" w:cs="Arial"/>
          <w:sz w:val="24"/>
          <w:szCs w:val="24"/>
        </w:rPr>
        <w:t>类基金份额的申购费率如下：</w:t>
      </w:r>
    </w:p>
    <w:tbl>
      <w:tblPr>
        <w:tblW w:w="6576" w:type="dxa"/>
        <w:jc w:val="center"/>
        <w:tblCellMar>
          <w:left w:w="0" w:type="dxa"/>
          <w:right w:w="0" w:type="dxa"/>
        </w:tblCellMar>
        <w:tblLook w:val="04A0"/>
      </w:tblPr>
      <w:tblGrid>
        <w:gridCol w:w="3243"/>
        <w:gridCol w:w="3333"/>
      </w:tblGrid>
      <w:tr w:rsidR="00BE0037">
        <w:trPr>
          <w:trHeight w:val="567"/>
          <w:jc w:val="center"/>
        </w:trPr>
        <w:tc>
          <w:tcPr>
            <w:tcW w:w="32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rsidR="00BE0037" w:rsidRDefault="002D470A">
            <w:pPr>
              <w:pStyle w:val="Default"/>
              <w:spacing w:line="360" w:lineRule="auto"/>
              <w:jc w:val="center"/>
              <w:rPr>
                <w:rFonts w:ascii="Times New Roman" w:hAnsi="Times New Roman" w:cs="Arial"/>
                <w:color w:val="auto"/>
              </w:rPr>
            </w:pPr>
            <w:r>
              <w:rPr>
                <w:rFonts w:ascii="Times New Roman" w:hAnsi="Times New Roman" w:cs="Arial"/>
                <w:color w:val="auto"/>
              </w:rPr>
              <w:t>申购金额（</w:t>
            </w:r>
            <w:r>
              <w:rPr>
                <w:rFonts w:ascii="Times New Roman" w:hAnsi="Times New Roman" w:cs="Arial"/>
                <w:color w:val="auto"/>
              </w:rPr>
              <w:t>M</w:t>
            </w:r>
            <w:r>
              <w:rPr>
                <w:rFonts w:ascii="Times New Roman" w:hAnsi="Times New Roman" w:cs="Arial"/>
                <w:color w:val="auto"/>
              </w:rPr>
              <w:t>，含申购费）</w:t>
            </w:r>
          </w:p>
        </w:tc>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rsidR="00BE0037" w:rsidRDefault="002D470A">
            <w:pPr>
              <w:pStyle w:val="Default"/>
              <w:spacing w:line="360" w:lineRule="auto"/>
              <w:jc w:val="center"/>
              <w:rPr>
                <w:rFonts w:ascii="Times New Roman" w:hAnsi="Times New Roman" w:cs="Arial"/>
                <w:color w:val="auto"/>
              </w:rPr>
            </w:pPr>
            <w:r>
              <w:rPr>
                <w:rFonts w:ascii="Times New Roman" w:hAnsi="Times New Roman" w:cs="Arial"/>
                <w:color w:val="auto"/>
              </w:rPr>
              <w:t>申购费率</w:t>
            </w:r>
          </w:p>
        </w:tc>
      </w:tr>
      <w:tr w:rsidR="00BE0037">
        <w:trPr>
          <w:trHeight w:val="567"/>
          <w:jc w:val="center"/>
        </w:trPr>
        <w:tc>
          <w:tcPr>
            <w:tcW w:w="32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BE0037" w:rsidRDefault="002D470A">
            <w:pPr>
              <w:jc w:val="center"/>
              <w:rPr>
                <w:rFonts w:eastAsia="宋体" w:cs="Arial"/>
                <w:kern w:val="0"/>
                <w:sz w:val="24"/>
                <w:szCs w:val="24"/>
              </w:rPr>
            </w:pPr>
            <w:r>
              <w:rPr>
                <w:rFonts w:eastAsia="宋体" w:cs="Arial"/>
                <w:sz w:val="24"/>
                <w:szCs w:val="24"/>
              </w:rPr>
              <w:t>M≥500</w:t>
            </w:r>
            <w:r>
              <w:rPr>
                <w:rFonts w:eastAsia="宋体" w:cs="Arial"/>
                <w:sz w:val="24"/>
                <w:szCs w:val="24"/>
              </w:rPr>
              <w:t>万元</w:t>
            </w:r>
          </w:p>
        </w:tc>
        <w:tc>
          <w:tcPr>
            <w:tcW w:w="33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rsidR="00BE0037" w:rsidRDefault="002D470A">
            <w:pPr>
              <w:pStyle w:val="Default"/>
              <w:spacing w:line="360" w:lineRule="auto"/>
              <w:jc w:val="center"/>
              <w:rPr>
                <w:rFonts w:ascii="Times New Roman" w:hAnsi="Times New Roman" w:cs="Arial"/>
                <w:color w:val="auto"/>
              </w:rPr>
            </w:pPr>
            <w:r>
              <w:rPr>
                <w:rFonts w:ascii="Times New Roman" w:hAnsi="Times New Roman" w:cs="Arial"/>
                <w:color w:val="auto"/>
              </w:rPr>
              <w:t>按笔收取，</w:t>
            </w:r>
            <w:r>
              <w:rPr>
                <w:rFonts w:ascii="Times New Roman" w:hAnsi="Times New Roman" w:cs="Arial"/>
                <w:color w:val="auto"/>
              </w:rPr>
              <w:t>1000</w:t>
            </w:r>
            <w:r>
              <w:rPr>
                <w:rFonts w:ascii="Times New Roman" w:hAnsi="Times New Roman" w:cs="Arial"/>
                <w:color w:val="auto"/>
              </w:rPr>
              <w:t>元</w:t>
            </w:r>
            <w:r>
              <w:rPr>
                <w:rFonts w:ascii="Times New Roman" w:hAnsi="Times New Roman" w:cs="Arial"/>
                <w:color w:val="auto"/>
              </w:rPr>
              <w:t>/</w:t>
            </w:r>
            <w:r>
              <w:rPr>
                <w:rFonts w:ascii="Times New Roman" w:hAnsi="Times New Roman" w:cs="Arial"/>
                <w:color w:val="auto"/>
              </w:rPr>
              <w:t>笔</w:t>
            </w:r>
          </w:p>
        </w:tc>
      </w:tr>
      <w:tr w:rsidR="00BE0037">
        <w:trPr>
          <w:trHeight w:val="567"/>
          <w:jc w:val="center"/>
        </w:trPr>
        <w:tc>
          <w:tcPr>
            <w:tcW w:w="32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BE0037" w:rsidRDefault="002D470A">
            <w:pPr>
              <w:jc w:val="center"/>
              <w:rPr>
                <w:rFonts w:eastAsia="宋体" w:cs="Arial"/>
                <w:kern w:val="0"/>
                <w:sz w:val="24"/>
                <w:szCs w:val="24"/>
              </w:rPr>
            </w:pPr>
            <w:r>
              <w:rPr>
                <w:rFonts w:eastAsia="宋体" w:cs="Arial"/>
                <w:sz w:val="24"/>
                <w:szCs w:val="24"/>
              </w:rPr>
              <w:t>100</w:t>
            </w:r>
            <w:r>
              <w:rPr>
                <w:rFonts w:eastAsia="宋体" w:cs="Arial"/>
                <w:sz w:val="24"/>
                <w:szCs w:val="24"/>
              </w:rPr>
              <w:t>万元</w:t>
            </w:r>
            <w:r>
              <w:rPr>
                <w:rFonts w:eastAsia="宋体" w:cs="Arial"/>
                <w:sz w:val="24"/>
                <w:szCs w:val="24"/>
              </w:rPr>
              <w:t>≤M</w:t>
            </w:r>
            <w:r>
              <w:rPr>
                <w:rFonts w:eastAsia="宋体" w:cs="Arial"/>
                <w:sz w:val="24"/>
                <w:szCs w:val="24"/>
              </w:rPr>
              <w:t>＜</w:t>
            </w:r>
            <w:r>
              <w:rPr>
                <w:rFonts w:eastAsia="宋体" w:cs="Arial"/>
                <w:sz w:val="24"/>
                <w:szCs w:val="24"/>
              </w:rPr>
              <w:t>500</w:t>
            </w:r>
            <w:r>
              <w:rPr>
                <w:rFonts w:eastAsia="宋体" w:cs="Arial"/>
                <w:sz w:val="24"/>
                <w:szCs w:val="24"/>
              </w:rPr>
              <w:t>万元</w:t>
            </w:r>
          </w:p>
        </w:tc>
        <w:tc>
          <w:tcPr>
            <w:tcW w:w="33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rsidR="00BE0037" w:rsidRDefault="002D470A">
            <w:pPr>
              <w:pStyle w:val="Default"/>
              <w:spacing w:line="360" w:lineRule="auto"/>
              <w:jc w:val="center"/>
              <w:rPr>
                <w:rFonts w:ascii="Times New Roman" w:hAnsi="Times New Roman" w:cs="Arial"/>
                <w:color w:val="auto"/>
              </w:rPr>
            </w:pPr>
            <w:r>
              <w:rPr>
                <w:rFonts w:ascii="Times New Roman" w:hAnsi="Times New Roman" w:cs="Arial"/>
                <w:color w:val="auto"/>
              </w:rPr>
              <w:t>0.10%</w:t>
            </w:r>
          </w:p>
        </w:tc>
      </w:tr>
      <w:tr w:rsidR="00BE0037">
        <w:trPr>
          <w:trHeight w:val="567"/>
          <w:jc w:val="center"/>
        </w:trPr>
        <w:tc>
          <w:tcPr>
            <w:tcW w:w="32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BE0037" w:rsidRDefault="002D470A">
            <w:pPr>
              <w:jc w:val="center"/>
              <w:rPr>
                <w:rFonts w:eastAsia="宋体" w:cs="Arial"/>
                <w:kern w:val="0"/>
                <w:sz w:val="24"/>
                <w:szCs w:val="24"/>
              </w:rPr>
            </w:pPr>
            <w:r>
              <w:rPr>
                <w:rFonts w:eastAsia="宋体" w:cs="Arial"/>
                <w:sz w:val="24"/>
                <w:szCs w:val="24"/>
              </w:rPr>
              <w:t>M</w:t>
            </w:r>
            <w:r>
              <w:rPr>
                <w:rFonts w:eastAsia="宋体" w:cs="Arial"/>
                <w:sz w:val="24"/>
                <w:szCs w:val="24"/>
              </w:rPr>
              <w:t>＜</w:t>
            </w:r>
            <w:r>
              <w:rPr>
                <w:rFonts w:eastAsia="宋体" w:cs="Arial"/>
                <w:sz w:val="24"/>
                <w:szCs w:val="24"/>
              </w:rPr>
              <w:t>100</w:t>
            </w:r>
            <w:r>
              <w:rPr>
                <w:rFonts w:eastAsia="宋体" w:cs="Arial"/>
                <w:sz w:val="24"/>
                <w:szCs w:val="24"/>
              </w:rPr>
              <w:t>万元</w:t>
            </w:r>
          </w:p>
        </w:tc>
        <w:tc>
          <w:tcPr>
            <w:tcW w:w="33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rsidR="00BE0037" w:rsidRDefault="002D470A">
            <w:pPr>
              <w:pStyle w:val="Default"/>
              <w:spacing w:line="360" w:lineRule="auto"/>
              <w:jc w:val="center"/>
              <w:rPr>
                <w:rFonts w:ascii="Times New Roman" w:hAnsi="Times New Roman" w:cs="Arial"/>
                <w:color w:val="auto"/>
              </w:rPr>
            </w:pPr>
            <w:r>
              <w:rPr>
                <w:rFonts w:ascii="Times New Roman" w:hAnsi="Times New Roman" w:cs="Arial"/>
                <w:color w:val="auto"/>
              </w:rPr>
              <w:t>0.30%</w:t>
            </w:r>
          </w:p>
        </w:tc>
      </w:tr>
    </w:tbl>
    <w:p w:rsidR="00BE0037" w:rsidRDefault="002D470A">
      <w:pPr>
        <w:pStyle w:val="2"/>
        <w:spacing w:line="560" w:lineRule="exact"/>
        <w:rPr>
          <w:rFonts w:ascii="Times New Roman" w:eastAsia="宋体" w:hAnsi="Times New Roman" w:cs="Arial"/>
          <w:bCs w:val="0"/>
          <w:color w:val="000000" w:themeColor="text1"/>
          <w:sz w:val="24"/>
          <w:szCs w:val="24"/>
        </w:rPr>
      </w:pPr>
      <w:r>
        <w:rPr>
          <w:rFonts w:ascii="Times New Roman" w:eastAsia="宋体" w:hAnsi="Times New Roman" w:cs="Arial"/>
          <w:bCs w:val="0"/>
          <w:color w:val="000000" w:themeColor="text1"/>
          <w:sz w:val="24"/>
          <w:szCs w:val="24"/>
        </w:rPr>
        <w:t xml:space="preserve">4 </w:t>
      </w:r>
      <w:r>
        <w:rPr>
          <w:rFonts w:ascii="Times New Roman" w:eastAsia="宋体" w:hAnsi="Times New Roman" w:cs="Arial"/>
          <w:bCs w:val="0"/>
          <w:color w:val="000000" w:themeColor="text1"/>
          <w:sz w:val="24"/>
          <w:szCs w:val="24"/>
        </w:rPr>
        <w:t>日常赎回业务</w:t>
      </w:r>
      <w:bookmarkEnd w:id="3"/>
    </w:p>
    <w:p w:rsidR="00BE0037" w:rsidRDefault="002D470A">
      <w:pPr>
        <w:spacing w:line="560" w:lineRule="exact"/>
        <w:rPr>
          <w:rFonts w:eastAsia="宋体" w:cs="Arial"/>
          <w:b/>
          <w:color w:val="000000" w:themeColor="text1"/>
          <w:sz w:val="24"/>
          <w:szCs w:val="24"/>
        </w:rPr>
      </w:pPr>
      <w:r>
        <w:rPr>
          <w:rFonts w:eastAsia="宋体" w:cs="Arial"/>
          <w:b/>
          <w:color w:val="000000" w:themeColor="text1"/>
          <w:sz w:val="24"/>
          <w:szCs w:val="24"/>
        </w:rPr>
        <w:t xml:space="preserve">4.1 </w:t>
      </w:r>
      <w:r>
        <w:rPr>
          <w:rFonts w:eastAsia="宋体" w:cs="Arial"/>
          <w:b/>
          <w:color w:val="000000" w:themeColor="text1"/>
          <w:sz w:val="24"/>
          <w:szCs w:val="24"/>
        </w:rPr>
        <w:t>赎回份额限制</w:t>
      </w:r>
    </w:p>
    <w:p w:rsidR="00BE0037" w:rsidRDefault="002D470A">
      <w:pPr>
        <w:spacing w:line="360" w:lineRule="auto"/>
        <w:ind w:firstLineChars="200" w:firstLine="480"/>
        <w:rPr>
          <w:rFonts w:eastAsia="宋体" w:cs="Arial"/>
          <w:color w:val="000000" w:themeColor="text1"/>
          <w:sz w:val="24"/>
          <w:szCs w:val="24"/>
        </w:rPr>
      </w:pPr>
      <w:r>
        <w:rPr>
          <w:rFonts w:eastAsia="宋体" w:cs="Arial" w:hint="eastAsia"/>
          <w:color w:val="000000" w:themeColor="text1"/>
          <w:sz w:val="24"/>
          <w:szCs w:val="24"/>
        </w:rPr>
        <w:t>本基金对于每份基金份额，设定</w:t>
      </w:r>
      <w:r>
        <w:rPr>
          <w:rFonts w:eastAsia="宋体" w:cs="Arial" w:hint="eastAsia"/>
          <w:color w:val="000000" w:themeColor="text1"/>
          <w:sz w:val="24"/>
          <w:szCs w:val="24"/>
        </w:rPr>
        <w:t>30</w:t>
      </w:r>
      <w:r>
        <w:rPr>
          <w:rFonts w:eastAsia="宋体" w:cs="Arial" w:hint="eastAsia"/>
          <w:color w:val="000000" w:themeColor="text1"/>
          <w:sz w:val="24"/>
          <w:szCs w:val="24"/>
        </w:rPr>
        <w:t>天的滚动运作期。</w:t>
      </w:r>
      <w:r>
        <w:rPr>
          <w:rFonts w:eastAsia="宋体" w:cs="Arial"/>
          <w:color w:val="000000" w:themeColor="text1"/>
          <w:sz w:val="24"/>
          <w:szCs w:val="24"/>
        </w:rPr>
        <w:t>在每个运作期到期日，投资者可将其持有的全部或部分该日到期的基金份额赎回。基金份额持有人在销售机构赎回时，单笔赎回申请不得低于</w:t>
      </w:r>
      <w:r>
        <w:rPr>
          <w:rFonts w:eastAsia="宋体" w:cs="Arial"/>
          <w:color w:val="000000" w:themeColor="text1"/>
          <w:sz w:val="24"/>
          <w:szCs w:val="24"/>
        </w:rPr>
        <w:t>1</w:t>
      </w:r>
      <w:r>
        <w:rPr>
          <w:rFonts w:eastAsia="宋体" w:cs="Arial"/>
          <w:color w:val="000000" w:themeColor="text1"/>
          <w:sz w:val="24"/>
          <w:szCs w:val="24"/>
        </w:rPr>
        <w:t>份基金份额；基金份额持有人赎回时或赎回后在销售机构（网点）保留的基金份额余额不足</w:t>
      </w:r>
      <w:r>
        <w:rPr>
          <w:rFonts w:eastAsia="宋体" w:cs="Arial"/>
          <w:color w:val="000000" w:themeColor="text1"/>
          <w:sz w:val="24"/>
          <w:szCs w:val="24"/>
        </w:rPr>
        <w:t>1</w:t>
      </w:r>
      <w:r>
        <w:rPr>
          <w:rFonts w:eastAsia="宋体" w:cs="Arial"/>
          <w:color w:val="000000" w:themeColor="text1"/>
          <w:sz w:val="24"/>
          <w:szCs w:val="24"/>
        </w:rPr>
        <w:t>份的，在赎回时需一次全部赎回。</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本基金基金份额持有人每个交易账户的最低份额余额为</w:t>
      </w:r>
      <w:r>
        <w:rPr>
          <w:rFonts w:eastAsia="宋体" w:cs="Arial"/>
          <w:color w:val="000000" w:themeColor="text1"/>
          <w:sz w:val="24"/>
          <w:szCs w:val="24"/>
        </w:rPr>
        <w:t>1</w:t>
      </w:r>
      <w:r>
        <w:rPr>
          <w:rFonts w:eastAsia="宋体" w:cs="Arial"/>
          <w:color w:val="000000" w:themeColor="text1"/>
          <w:sz w:val="24"/>
          <w:szCs w:val="24"/>
        </w:rPr>
        <w:t>份。基金份额持有人因赎回、转换等原因导致其单个基金账户内剩余的基金份额低于</w:t>
      </w:r>
      <w:r>
        <w:rPr>
          <w:rFonts w:eastAsia="宋体" w:cs="Arial"/>
          <w:color w:val="000000" w:themeColor="text1"/>
          <w:sz w:val="24"/>
          <w:szCs w:val="24"/>
        </w:rPr>
        <w:t>1</w:t>
      </w:r>
      <w:r>
        <w:rPr>
          <w:rFonts w:eastAsia="宋体" w:cs="Arial"/>
          <w:color w:val="000000" w:themeColor="text1"/>
          <w:sz w:val="24"/>
          <w:szCs w:val="24"/>
        </w:rPr>
        <w:t>份时，登记系统可对该剩余的基金份额自动进行全部赎回处理。</w:t>
      </w:r>
    </w:p>
    <w:p w:rsidR="00BE0037" w:rsidRDefault="002D470A">
      <w:pPr>
        <w:spacing w:after="240" w:line="560" w:lineRule="exact"/>
        <w:rPr>
          <w:rFonts w:eastAsia="宋体" w:cs="Arial"/>
          <w:b/>
          <w:color w:val="000000" w:themeColor="text1"/>
          <w:sz w:val="24"/>
          <w:szCs w:val="24"/>
        </w:rPr>
      </w:pPr>
      <w:r>
        <w:rPr>
          <w:rFonts w:eastAsia="宋体" w:cs="Arial"/>
          <w:b/>
          <w:color w:val="000000" w:themeColor="text1"/>
          <w:sz w:val="24"/>
          <w:szCs w:val="24"/>
        </w:rPr>
        <w:t xml:space="preserve">4.2 </w:t>
      </w:r>
      <w:r>
        <w:rPr>
          <w:rFonts w:eastAsia="宋体" w:cs="Arial"/>
          <w:b/>
          <w:color w:val="000000" w:themeColor="text1"/>
          <w:sz w:val="24"/>
          <w:szCs w:val="24"/>
        </w:rPr>
        <w:t>赎回费率</w:t>
      </w:r>
    </w:p>
    <w:p w:rsidR="00BE0037" w:rsidRDefault="00147770">
      <w:pPr>
        <w:spacing w:line="360" w:lineRule="auto"/>
        <w:ind w:firstLineChars="200" w:firstLine="480"/>
        <w:rPr>
          <w:rFonts w:eastAsia="宋体" w:cs="Arial"/>
          <w:color w:val="000000" w:themeColor="text1"/>
          <w:sz w:val="24"/>
          <w:szCs w:val="24"/>
        </w:rPr>
      </w:pPr>
      <w:r w:rsidRPr="00147770">
        <w:rPr>
          <w:rFonts w:eastAsia="宋体" w:cs="Arial" w:hint="eastAsia"/>
          <w:color w:val="000000" w:themeColor="text1"/>
          <w:sz w:val="24"/>
          <w:szCs w:val="24"/>
        </w:rPr>
        <w:t>本基金对每份基金份额设定</w:t>
      </w:r>
      <w:r w:rsidRPr="00147770">
        <w:rPr>
          <w:rFonts w:eastAsia="宋体" w:cs="Arial" w:hint="eastAsia"/>
          <w:color w:val="000000" w:themeColor="text1"/>
          <w:sz w:val="24"/>
          <w:szCs w:val="24"/>
        </w:rPr>
        <w:t>30</w:t>
      </w:r>
      <w:r w:rsidRPr="00147770">
        <w:rPr>
          <w:rFonts w:eastAsia="宋体" w:cs="Arial" w:hint="eastAsia"/>
          <w:color w:val="000000" w:themeColor="text1"/>
          <w:sz w:val="24"/>
          <w:szCs w:val="24"/>
        </w:rPr>
        <w:t>天的滚动运作期，每个运作期到期日，基金份额持有人可提出赎回或转换转出申请，赎回时不收取赎回费。</w:t>
      </w:r>
    </w:p>
    <w:p w:rsidR="00BE0037" w:rsidRDefault="002D470A">
      <w:pPr>
        <w:spacing w:after="240" w:line="560" w:lineRule="exact"/>
        <w:rPr>
          <w:rFonts w:eastAsia="宋体" w:cs="Arial"/>
          <w:b/>
          <w:color w:val="000000" w:themeColor="text1"/>
          <w:sz w:val="24"/>
          <w:szCs w:val="24"/>
        </w:rPr>
      </w:pPr>
      <w:r>
        <w:rPr>
          <w:rFonts w:eastAsia="宋体" w:cs="Arial"/>
          <w:b/>
          <w:color w:val="000000" w:themeColor="text1"/>
          <w:sz w:val="24"/>
          <w:szCs w:val="24"/>
        </w:rPr>
        <w:t>4.3</w:t>
      </w:r>
      <w:r>
        <w:rPr>
          <w:rFonts w:eastAsia="宋体" w:cs="Arial"/>
          <w:b/>
          <w:color w:val="000000" w:themeColor="text1"/>
          <w:sz w:val="24"/>
          <w:szCs w:val="24"/>
        </w:rPr>
        <w:t>其他与赎回相关的事项</w:t>
      </w:r>
    </w:p>
    <w:p w:rsidR="00BE0037" w:rsidRDefault="002D470A">
      <w:pPr>
        <w:spacing w:line="360" w:lineRule="auto"/>
        <w:ind w:firstLineChars="200" w:firstLine="480"/>
        <w:rPr>
          <w:rFonts w:eastAsia="宋体" w:cs="Arial"/>
          <w:color w:val="000000" w:themeColor="text1"/>
          <w:sz w:val="24"/>
          <w:szCs w:val="24"/>
        </w:rPr>
      </w:pPr>
      <w:r>
        <w:rPr>
          <w:rFonts w:eastAsia="宋体" w:cs="Arial" w:hint="eastAsia"/>
          <w:color w:val="000000" w:themeColor="text1"/>
          <w:sz w:val="24"/>
          <w:szCs w:val="24"/>
        </w:rPr>
        <w:t>本基金对于每份基金份额设定</w:t>
      </w:r>
      <w:r>
        <w:rPr>
          <w:rFonts w:eastAsia="宋体" w:cs="Arial" w:hint="eastAsia"/>
          <w:color w:val="000000" w:themeColor="text1"/>
          <w:sz w:val="24"/>
          <w:szCs w:val="24"/>
        </w:rPr>
        <w:t>30</w:t>
      </w:r>
      <w:r>
        <w:rPr>
          <w:rFonts w:eastAsia="宋体" w:cs="Arial" w:hint="eastAsia"/>
          <w:color w:val="000000" w:themeColor="text1"/>
          <w:sz w:val="24"/>
          <w:szCs w:val="24"/>
        </w:rPr>
        <w:t>天的滚动运作期限，即：每个运作期到期日前，基金份额持有人不能提出赎回</w:t>
      </w:r>
      <w:r>
        <w:rPr>
          <w:rFonts w:eastAsia="宋体" w:cs="Arial" w:hint="eastAsia"/>
          <w:color w:val="000000" w:themeColor="text1"/>
          <w:sz w:val="24"/>
          <w:szCs w:val="24"/>
        </w:rPr>
        <w:t>/</w:t>
      </w:r>
      <w:r>
        <w:rPr>
          <w:rFonts w:eastAsia="宋体" w:cs="Arial" w:hint="eastAsia"/>
          <w:color w:val="000000" w:themeColor="text1"/>
          <w:sz w:val="24"/>
          <w:szCs w:val="24"/>
        </w:rPr>
        <w:t>转换转出申请；每个运作期到期日，基金份额持有人可提出赎回</w:t>
      </w:r>
      <w:r>
        <w:rPr>
          <w:rFonts w:eastAsia="宋体" w:cs="Arial" w:hint="eastAsia"/>
          <w:color w:val="000000" w:themeColor="text1"/>
          <w:sz w:val="24"/>
          <w:szCs w:val="24"/>
        </w:rPr>
        <w:t>/</w:t>
      </w:r>
      <w:r>
        <w:rPr>
          <w:rFonts w:eastAsia="宋体" w:cs="Arial" w:hint="eastAsia"/>
          <w:color w:val="000000" w:themeColor="text1"/>
          <w:sz w:val="24"/>
          <w:szCs w:val="24"/>
        </w:rPr>
        <w:t>转换转出申请。如果基金份额持有人在当期运作期到期日</w:t>
      </w:r>
      <w:r>
        <w:rPr>
          <w:rFonts w:eastAsia="宋体" w:cs="Arial" w:hint="eastAsia"/>
          <w:color w:val="000000" w:themeColor="text1"/>
          <w:sz w:val="24"/>
          <w:szCs w:val="24"/>
        </w:rPr>
        <w:t>未申请赎回</w:t>
      </w:r>
      <w:r>
        <w:rPr>
          <w:rFonts w:eastAsia="宋体" w:cs="Arial" w:hint="eastAsia"/>
          <w:color w:val="000000" w:themeColor="text1"/>
          <w:sz w:val="24"/>
          <w:szCs w:val="24"/>
        </w:rPr>
        <w:t>/</w:t>
      </w:r>
      <w:r>
        <w:rPr>
          <w:rFonts w:eastAsia="宋体" w:cs="Arial" w:hint="eastAsia"/>
          <w:color w:val="000000" w:themeColor="text1"/>
          <w:sz w:val="24"/>
          <w:szCs w:val="24"/>
        </w:rPr>
        <w:t>转换转出或赎回</w:t>
      </w:r>
      <w:r>
        <w:rPr>
          <w:rFonts w:eastAsia="宋体" w:cs="Arial" w:hint="eastAsia"/>
          <w:color w:val="000000" w:themeColor="text1"/>
          <w:sz w:val="24"/>
          <w:szCs w:val="24"/>
        </w:rPr>
        <w:t>/</w:t>
      </w:r>
      <w:r>
        <w:rPr>
          <w:rFonts w:eastAsia="宋体" w:cs="Arial" w:hint="eastAsia"/>
          <w:color w:val="000000" w:themeColor="text1"/>
          <w:sz w:val="24"/>
          <w:szCs w:val="24"/>
        </w:rPr>
        <w:t>转换转出被确认失败，则自该运作期到期日下一日起该基金份额进入下一个运作期。因此基金份额持有人面临在滚动运作期内不能赎回或转换转出基金份额的风险</w:t>
      </w:r>
      <w:r w:rsidR="00833E90">
        <w:rPr>
          <w:rFonts w:eastAsia="宋体" w:cs="Arial" w:hint="eastAsia"/>
          <w:color w:val="000000" w:themeColor="text1"/>
          <w:sz w:val="24"/>
          <w:szCs w:val="24"/>
        </w:rPr>
        <w:t>，</w:t>
      </w:r>
      <w:r>
        <w:rPr>
          <w:rFonts w:eastAsia="宋体" w:cs="Arial" w:hint="eastAsia"/>
          <w:color w:val="000000" w:themeColor="text1"/>
          <w:sz w:val="24"/>
          <w:szCs w:val="24"/>
        </w:rPr>
        <w:t>敬请投资者关注。</w:t>
      </w:r>
    </w:p>
    <w:p w:rsidR="00BE0037" w:rsidRDefault="002D470A">
      <w:pPr>
        <w:pStyle w:val="2"/>
        <w:spacing w:line="560" w:lineRule="exact"/>
        <w:rPr>
          <w:rFonts w:ascii="Times New Roman" w:eastAsia="宋体" w:hAnsi="Times New Roman" w:cs="Arial"/>
          <w:color w:val="000000" w:themeColor="text1"/>
          <w:sz w:val="24"/>
          <w:szCs w:val="24"/>
        </w:rPr>
      </w:pPr>
      <w:r>
        <w:rPr>
          <w:rFonts w:ascii="Times New Roman" w:eastAsia="宋体" w:hAnsi="Times New Roman" w:cs="Arial"/>
          <w:color w:val="000000" w:themeColor="text1"/>
          <w:sz w:val="24"/>
          <w:szCs w:val="24"/>
        </w:rPr>
        <w:t xml:space="preserve">5 </w:t>
      </w:r>
      <w:r>
        <w:rPr>
          <w:rFonts w:ascii="Times New Roman" w:eastAsia="宋体" w:hAnsi="Times New Roman" w:cs="Arial"/>
          <w:color w:val="000000" w:themeColor="text1"/>
          <w:sz w:val="24"/>
          <w:szCs w:val="24"/>
        </w:rPr>
        <w:t>日常转换业务</w:t>
      </w:r>
    </w:p>
    <w:p w:rsidR="00BE0037" w:rsidRDefault="002D470A">
      <w:pPr>
        <w:autoSpaceDE w:val="0"/>
        <w:autoSpaceDN w:val="0"/>
        <w:adjustRightInd w:val="0"/>
        <w:spacing w:line="360" w:lineRule="auto"/>
        <w:outlineLvl w:val="0"/>
        <w:rPr>
          <w:rFonts w:eastAsia="宋体" w:cs="Arial"/>
          <w:b/>
          <w:color w:val="000000"/>
          <w:kern w:val="0"/>
          <w:sz w:val="24"/>
          <w:szCs w:val="24"/>
        </w:rPr>
      </w:pPr>
      <w:r>
        <w:rPr>
          <w:rFonts w:eastAsia="宋体" w:cs="Arial"/>
          <w:b/>
          <w:color w:val="000000"/>
          <w:kern w:val="0"/>
          <w:sz w:val="24"/>
          <w:szCs w:val="24"/>
        </w:rPr>
        <w:t xml:space="preserve">5.1 </w:t>
      </w:r>
      <w:r>
        <w:rPr>
          <w:rFonts w:eastAsia="宋体" w:cs="Arial"/>
          <w:b/>
          <w:color w:val="000000"/>
          <w:kern w:val="0"/>
          <w:sz w:val="24"/>
          <w:szCs w:val="24"/>
        </w:rPr>
        <w:t>转换费率</w:t>
      </w:r>
    </w:p>
    <w:p w:rsidR="00BE0037" w:rsidRDefault="002D470A">
      <w:pPr>
        <w:autoSpaceDE w:val="0"/>
        <w:autoSpaceDN w:val="0"/>
        <w:adjustRightInd w:val="0"/>
        <w:spacing w:line="360" w:lineRule="auto"/>
        <w:ind w:firstLineChars="200" w:firstLine="482"/>
        <w:rPr>
          <w:rFonts w:eastAsia="宋体" w:cs="Arial"/>
          <w:b/>
          <w:color w:val="000000"/>
          <w:sz w:val="24"/>
          <w:szCs w:val="24"/>
        </w:rPr>
      </w:pPr>
      <w:r>
        <w:rPr>
          <w:rFonts w:eastAsia="宋体" w:cs="Arial"/>
          <w:b/>
          <w:color w:val="000000"/>
          <w:sz w:val="24"/>
          <w:szCs w:val="24"/>
        </w:rPr>
        <w:t>1</w:t>
      </w:r>
      <w:r>
        <w:rPr>
          <w:rFonts w:eastAsia="宋体" w:cs="Arial"/>
          <w:b/>
          <w:color w:val="000000"/>
          <w:sz w:val="24"/>
          <w:szCs w:val="24"/>
        </w:rPr>
        <w:t>、基金转换费用由转出基金的赎回费用加上转出与转入基金申购费用补差两部分构成，具体收取情况视每次转换时两只基金的申购费差异情况和转出基金的赎回费而定。基金转换费用由基金份额持有人承担。</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w:t>
      </w:r>
      <w:r>
        <w:rPr>
          <w:rFonts w:eastAsia="宋体" w:cs="Arial"/>
          <w:color w:val="000000"/>
          <w:sz w:val="24"/>
          <w:szCs w:val="24"/>
        </w:rPr>
        <w:t>1</w:t>
      </w:r>
      <w:r>
        <w:rPr>
          <w:rFonts w:eastAsia="宋体" w:cs="Arial"/>
          <w:color w:val="000000"/>
          <w:sz w:val="24"/>
          <w:szCs w:val="24"/>
        </w:rPr>
        <w:t>）基金转换申购补差费：按照转入基金与转出基金的申购费的差额收取补差费。转出基金金额所对应的转出基金申购费低于转入基金的申购费的，补差费为转入基金的申购费和转出基金的申购费差额；转出基金金额所对应的转出基金申购费高于转入基金的申购费的，补差费为零。</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w:t>
      </w:r>
      <w:r>
        <w:rPr>
          <w:rFonts w:eastAsia="宋体" w:cs="Arial"/>
          <w:color w:val="000000"/>
          <w:sz w:val="24"/>
          <w:szCs w:val="24"/>
        </w:rPr>
        <w:t>2</w:t>
      </w:r>
      <w:r>
        <w:rPr>
          <w:rFonts w:eastAsia="宋体" w:cs="Arial"/>
          <w:color w:val="000000"/>
          <w:sz w:val="24"/>
          <w:szCs w:val="24"/>
        </w:rPr>
        <w:t>）转出基金赎回费：按转出基金正常赎回时的赎回费率收取费用</w:t>
      </w:r>
    </w:p>
    <w:p w:rsidR="00BE0037" w:rsidRDefault="002D470A">
      <w:pPr>
        <w:autoSpaceDE w:val="0"/>
        <w:autoSpaceDN w:val="0"/>
        <w:adjustRightInd w:val="0"/>
        <w:spacing w:line="360" w:lineRule="auto"/>
        <w:ind w:firstLineChars="200" w:firstLine="482"/>
        <w:rPr>
          <w:rFonts w:eastAsia="宋体" w:cs="Arial"/>
          <w:b/>
          <w:color w:val="000000"/>
          <w:sz w:val="24"/>
          <w:szCs w:val="24"/>
        </w:rPr>
      </w:pPr>
      <w:r>
        <w:rPr>
          <w:rFonts w:eastAsia="宋体" w:cs="Arial"/>
          <w:b/>
          <w:color w:val="000000"/>
          <w:sz w:val="24"/>
          <w:szCs w:val="24"/>
        </w:rPr>
        <w:t>2</w:t>
      </w:r>
      <w:r>
        <w:rPr>
          <w:rFonts w:eastAsia="宋体" w:cs="Arial"/>
          <w:b/>
          <w:color w:val="000000"/>
          <w:sz w:val="24"/>
          <w:szCs w:val="24"/>
        </w:rPr>
        <w:t>、基金转换的计算公式</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A=[B×C×(1-D)/(1+H)+G]/E</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F=B×C×D</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J=[B×C×(1-D)/(1+H)]×H</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其中，</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 xml:space="preserve">A </w:t>
      </w:r>
      <w:r>
        <w:rPr>
          <w:rFonts w:eastAsia="宋体" w:cs="Arial"/>
          <w:color w:val="000000"/>
          <w:sz w:val="24"/>
          <w:szCs w:val="24"/>
        </w:rPr>
        <w:t>为转入的基金份额数量；</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 xml:space="preserve">B </w:t>
      </w:r>
      <w:r>
        <w:rPr>
          <w:rFonts w:eastAsia="宋体" w:cs="Arial"/>
          <w:color w:val="000000"/>
          <w:sz w:val="24"/>
          <w:szCs w:val="24"/>
        </w:rPr>
        <w:t>为转出的基金份额数量；</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 xml:space="preserve">C </w:t>
      </w:r>
      <w:r>
        <w:rPr>
          <w:rFonts w:eastAsia="宋体" w:cs="Arial"/>
          <w:color w:val="000000"/>
          <w:sz w:val="24"/>
          <w:szCs w:val="24"/>
        </w:rPr>
        <w:t>为</w:t>
      </w:r>
      <w:r>
        <w:rPr>
          <w:rFonts w:eastAsia="宋体" w:cs="Arial"/>
          <w:color w:val="000000"/>
          <w:sz w:val="24"/>
          <w:szCs w:val="24"/>
        </w:rPr>
        <w:t>转换当日转出基金份额净值；</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 xml:space="preserve">D </w:t>
      </w:r>
      <w:r>
        <w:rPr>
          <w:rFonts w:eastAsia="宋体" w:cs="Arial"/>
          <w:color w:val="000000"/>
          <w:sz w:val="24"/>
          <w:szCs w:val="24"/>
        </w:rPr>
        <w:t>为转出基金份额的赎回费率；</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 xml:space="preserve">E </w:t>
      </w:r>
      <w:r>
        <w:rPr>
          <w:rFonts w:eastAsia="宋体" w:cs="Arial"/>
          <w:color w:val="000000"/>
          <w:sz w:val="24"/>
          <w:szCs w:val="24"/>
        </w:rPr>
        <w:t>为转换当日转入基金份额净值；</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 xml:space="preserve">F </w:t>
      </w:r>
      <w:r>
        <w:rPr>
          <w:rFonts w:eastAsia="宋体" w:cs="Arial"/>
          <w:color w:val="000000"/>
          <w:sz w:val="24"/>
          <w:szCs w:val="24"/>
        </w:rPr>
        <w:t>为转出基金份额的赎回费；</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G</w:t>
      </w:r>
      <w:r>
        <w:rPr>
          <w:rFonts w:eastAsia="宋体" w:cs="Arial"/>
          <w:color w:val="000000"/>
          <w:sz w:val="24"/>
          <w:szCs w:val="24"/>
        </w:rPr>
        <w:t>为转出基金份额对应的未支付收益，若转出基金为非货币市场基金的，则</w:t>
      </w:r>
      <w:r>
        <w:rPr>
          <w:rFonts w:eastAsia="宋体" w:cs="Arial"/>
          <w:color w:val="000000"/>
          <w:sz w:val="24"/>
          <w:szCs w:val="24"/>
        </w:rPr>
        <w:t>G</w:t>
      </w:r>
      <w:r>
        <w:rPr>
          <w:rFonts w:eastAsia="宋体" w:cs="Arial"/>
          <w:color w:val="000000"/>
          <w:sz w:val="24"/>
          <w:szCs w:val="24"/>
        </w:rPr>
        <w:t>＝</w:t>
      </w:r>
      <w:r>
        <w:rPr>
          <w:rFonts w:eastAsia="宋体" w:cs="Arial"/>
          <w:color w:val="000000"/>
          <w:sz w:val="24"/>
          <w:szCs w:val="24"/>
        </w:rPr>
        <w:t>0</w:t>
      </w:r>
      <w:r>
        <w:rPr>
          <w:rFonts w:eastAsia="宋体" w:cs="Arial"/>
          <w:color w:val="000000"/>
          <w:sz w:val="24"/>
          <w:szCs w:val="24"/>
        </w:rPr>
        <w:t>；</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 xml:space="preserve">H </w:t>
      </w:r>
      <w:r>
        <w:rPr>
          <w:rFonts w:eastAsia="宋体" w:cs="Arial"/>
          <w:color w:val="000000"/>
          <w:sz w:val="24"/>
          <w:szCs w:val="24"/>
        </w:rPr>
        <w:t>为申购补差费率，当转出基金的申购费率</w:t>
      </w:r>
      <w:r>
        <w:rPr>
          <w:rFonts w:eastAsia="宋体" w:cs="Arial"/>
          <w:color w:val="000000"/>
          <w:sz w:val="24"/>
          <w:szCs w:val="24"/>
        </w:rPr>
        <w:t>≥</w:t>
      </w:r>
      <w:r>
        <w:rPr>
          <w:rFonts w:eastAsia="宋体" w:cs="Arial"/>
          <w:color w:val="000000"/>
          <w:sz w:val="24"/>
          <w:szCs w:val="24"/>
        </w:rPr>
        <w:t>转入基金的申购费率时，则</w:t>
      </w:r>
      <w:r>
        <w:rPr>
          <w:rFonts w:eastAsia="宋体" w:cs="Arial"/>
          <w:color w:val="000000"/>
          <w:sz w:val="24"/>
          <w:szCs w:val="24"/>
        </w:rPr>
        <w:t>H=0</w:t>
      </w:r>
      <w:r>
        <w:rPr>
          <w:rFonts w:eastAsia="宋体" w:cs="Arial"/>
          <w:color w:val="000000"/>
          <w:sz w:val="24"/>
          <w:szCs w:val="24"/>
        </w:rPr>
        <w:t>；</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 xml:space="preserve">J </w:t>
      </w:r>
      <w:r>
        <w:rPr>
          <w:rFonts w:eastAsia="宋体" w:cs="Arial"/>
          <w:color w:val="000000"/>
          <w:sz w:val="24"/>
          <w:szCs w:val="24"/>
        </w:rPr>
        <w:t>为申购补差费。</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本基金转出金额以四舍五入的方式保留至小数点后两位，由此产生的误差在转出基金的基金资产中列支；转入份额以四舍五入的方式保留至小数点后两位，由此产生的误差在转入基金的基金资产中列支。</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举例：一投资者将持有</w:t>
      </w:r>
      <w:r>
        <w:rPr>
          <w:rFonts w:eastAsia="宋体" w:cs="Arial" w:hint="eastAsia"/>
          <w:color w:val="000000"/>
          <w:sz w:val="24"/>
          <w:szCs w:val="24"/>
        </w:rPr>
        <w:t>到期</w:t>
      </w:r>
      <w:r>
        <w:rPr>
          <w:rFonts w:eastAsia="宋体" w:cs="Arial"/>
          <w:color w:val="000000"/>
          <w:sz w:val="24"/>
          <w:szCs w:val="24"/>
        </w:rPr>
        <w:t>的</w:t>
      </w:r>
      <w:r>
        <w:rPr>
          <w:rFonts w:eastAsia="宋体" w:cs="Arial"/>
          <w:color w:val="000000"/>
          <w:sz w:val="24"/>
          <w:szCs w:val="24"/>
        </w:rPr>
        <w:t>10000</w:t>
      </w:r>
      <w:r>
        <w:rPr>
          <w:rFonts w:eastAsia="宋体" w:cs="Arial"/>
          <w:color w:val="000000"/>
          <w:sz w:val="24"/>
          <w:szCs w:val="24"/>
        </w:rPr>
        <w:t>份海富通瑞颐</w:t>
      </w:r>
      <w:r>
        <w:rPr>
          <w:rFonts w:eastAsia="宋体" w:cs="Arial"/>
          <w:color w:val="000000"/>
          <w:sz w:val="24"/>
          <w:szCs w:val="24"/>
        </w:rPr>
        <w:t>30</w:t>
      </w:r>
      <w:r>
        <w:rPr>
          <w:rFonts w:eastAsia="宋体" w:cs="Arial"/>
          <w:color w:val="000000"/>
          <w:sz w:val="24"/>
          <w:szCs w:val="24"/>
        </w:rPr>
        <w:t>天滚动持有债券</w:t>
      </w:r>
      <w:r>
        <w:rPr>
          <w:rFonts w:eastAsia="宋体" w:cs="Arial"/>
          <w:color w:val="000000"/>
          <w:sz w:val="24"/>
          <w:szCs w:val="24"/>
        </w:rPr>
        <w:t>A</w:t>
      </w:r>
      <w:r>
        <w:rPr>
          <w:rFonts w:eastAsia="宋体" w:cs="Arial" w:hint="eastAsia"/>
          <w:color w:val="000000"/>
          <w:sz w:val="24"/>
          <w:szCs w:val="24"/>
        </w:rPr>
        <w:t>类</w:t>
      </w:r>
      <w:r>
        <w:rPr>
          <w:rFonts w:eastAsia="宋体" w:cs="Arial"/>
          <w:color w:val="000000"/>
          <w:sz w:val="24"/>
          <w:szCs w:val="24"/>
        </w:rPr>
        <w:t>基金份额转换到海富通研究精选混合</w:t>
      </w:r>
      <w:r>
        <w:rPr>
          <w:rFonts w:eastAsia="宋体" w:cs="Arial"/>
          <w:color w:val="000000"/>
          <w:sz w:val="24"/>
          <w:szCs w:val="24"/>
        </w:rPr>
        <w:t>A</w:t>
      </w:r>
      <w:r>
        <w:rPr>
          <w:rFonts w:eastAsia="宋体" w:cs="Arial"/>
          <w:color w:val="000000"/>
          <w:sz w:val="24"/>
          <w:szCs w:val="24"/>
        </w:rPr>
        <w:t>类基金份额，假设转换申请日</w:t>
      </w:r>
      <w:r>
        <w:rPr>
          <w:rFonts w:eastAsia="宋体" w:cs="Arial" w:hint="eastAsia"/>
          <w:color w:val="000000"/>
          <w:sz w:val="24"/>
          <w:szCs w:val="24"/>
        </w:rPr>
        <w:t>海富通瑞颐</w:t>
      </w:r>
      <w:r>
        <w:rPr>
          <w:rFonts w:eastAsia="宋体" w:cs="Arial" w:hint="eastAsia"/>
          <w:color w:val="000000"/>
          <w:sz w:val="24"/>
          <w:szCs w:val="24"/>
        </w:rPr>
        <w:t>30</w:t>
      </w:r>
      <w:r>
        <w:rPr>
          <w:rFonts w:eastAsia="宋体" w:cs="Arial" w:hint="eastAsia"/>
          <w:color w:val="000000"/>
          <w:sz w:val="24"/>
          <w:szCs w:val="24"/>
        </w:rPr>
        <w:t>天滚动持有债券</w:t>
      </w:r>
      <w:r>
        <w:rPr>
          <w:rFonts w:eastAsia="宋体" w:cs="Arial" w:hint="eastAsia"/>
          <w:color w:val="000000"/>
          <w:sz w:val="24"/>
          <w:szCs w:val="24"/>
        </w:rPr>
        <w:t>A</w:t>
      </w:r>
      <w:r>
        <w:rPr>
          <w:rFonts w:eastAsia="宋体" w:cs="Arial" w:hint="eastAsia"/>
          <w:color w:val="000000"/>
          <w:sz w:val="24"/>
          <w:szCs w:val="24"/>
        </w:rPr>
        <w:t>类</w:t>
      </w:r>
      <w:r>
        <w:rPr>
          <w:rFonts w:eastAsia="宋体" w:cs="Arial"/>
          <w:color w:val="000000"/>
          <w:sz w:val="24"/>
          <w:szCs w:val="24"/>
        </w:rPr>
        <w:t>基金份额和海富通研究精选混合</w:t>
      </w:r>
      <w:r>
        <w:rPr>
          <w:rFonts w:eastAsia="宋体" w:cs="Arial"/>
          <w:color w:val="000000"/>
          <w:sz w:val="24"/>
          <w:szCs w:val="24"/>
        </w:rPr>
        <w:t>A</w:t>
      </w:r>
      <w:r>
        <w:rPr>
          <w:rFonts w:eastAsia="宋体" w:cs="Arial"/>
          <w:color w:val="000000"/>
          <w:sz w:val="24"/>
          <w:szCs w:val="24"/>
        </w:rPr>
        <w:t>类基金份额的份额净值分别为</w:t>
      </w:r>
      <w:r>
        <w:rPr>
          <w:rFonts w:eastAsia="宋体" w:cs="Arial"/>
          <w:color w:val="000000"/>
          <w:sz w:val="24"/>
          <w:szCs w:val="24"/>
        </w:rPr>
        <w:t>1.1000</w:t>
      </w:r>
      <w:r>
        <w:rPr>
          <w:rFonts w:eastAsia="宋体" w:cs="Arial"/>
          <w:color w:val="000000"/>
          <w:sz w:val="24"/>
          <w:szCs w:val="24"/>
        </w:rPr>
        <w:t>元和</w:t>
      </w:r>
      <w:r>
        <w:rPr>
          <w:rFonts w:eastAsia="宋体" w:cs="Arial"/>
          <w:color w:val="000000"/>
          <w:sz w:val="24"/>
          <w:szCs w:val="24"/>
        </w:rPr>
        <w:t>1.0600</w:t>
      </w:r>
      <w:r>
        <w:rPr>
          <w:rFonts w:eastAsia="宋体" w:cs="Arial"/>
          <w:color w:val="000000"/>
          <w:sz w:val="24"/>
          <w:szCs w:val="24"/>
        </w:rPr>
        <w:t>元，则转出基金的赎回费率为</w:t>
      </w:r>
      <w:r>
        <w:rPr>
          <w:rFonts w:eastAsia="宋体" w:cs="Arial"/>
          <w:color w:val="000000"/>
          <w:sz w:val="24"/>
          <w:szCs w:val="24"/>
        </w:rPr>
        <w:t>0</w:t>
      </w:r>
      <w:r>
        <w:rPr>
          <w:rFonts w:eastAsia="宋体" w:cs="Arial"/>
          <w:color w:val="000000"/>
          <w:sz w:val="24"/>
          <w:szCs w:val="24"/>
        </w:rPr>
        <w:t>，相应的该笔转换所对应的申购补差费率为</w:t>
      </w:r>
      <w:r>
        <w:rPr>
          <w:rFonts w:eastAsia="宋体" w:cs="Arial"/>
          <w:color w:val="000000"/>
          <w:sz w:val="24"/>
          <w:szCs w:val="24"/>
        </w:rPr>
        <w:t>1.2%</w:t>
      </w:r>
      <w:r>
        <w:rPr>
          <w:rFonts w:eastAsia="宋体" w:cs="Arial"/>
          <w:color w:val="000000"/>
          <w:sz w:val="24"/>
          <w:szCs w:val="24"/>
        </w:rPr>
        <w:t>，则有：</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A=[B×C×(1-D)/(1+H)+G]/E</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=[10000×1.100</w:t>
      </w:r>
      <w:r w:rsidR="004F1775">
        <w:rPr>
          <w:rFonts w:eastAsia="宋体" w:cs="Arial" w:hint="eastAsia"/>
          <w:color w:val="000000"/>
          <w:sz w:val="24"/>
          <w:szCs w:val="24"/>
        </w:rPr>
        <w:t>0</w:t>
      </w:r>
      <w:r>
        <w:rPr>
          <w:rFonts w:eastAsia="宋体" w:cs="Arial"/>
          <w:color w:val="000000"/>
          <w:sz w:val="24"/>
          <w:szCs w:val="24"/>
        </w:rPr>
        <w:t>×</w:t>
      </w:r>
      <w:r>
        <w:rPr>
          <w:rFonts w:eastAsia="宋体" w:cs="Arial"/>
          <w:color w:val="000000"/>
          <w:sz w:val="24"/>
          <w:szCs w:val="24"/>
        </w:rPr>
        <w:t>（</w:t>
      </w:r>
      <w:r>
        <w:rPr>
          <w:rFonts w:eastAsia="宋体" w:cs="Arial"/>
          <w:color w:val="000000"/>
          <w:sz w:val="24"/>
          <w:szCs w:val="24"/>
        </w:rPr>
        <w:t>1-0</w:t>
      </w:r>
      <w:r>
        <w:rPr>
          <w:rFonts w:eastAsia="宋体" w:cs="Arial"/>
          <w:color w:val="000000"/>
          <w:sz w:val="24"/>
          <w:szCs w:val="24"/>
        </w:rPr>
        <w:t>）</w:t>
      </w:r>
      <w:r>
        <w:rPr>
          <w:rFonts w:eastAsia="宋体" w:cs="Arial"/>
          <w:color w:val="000000"/>
          <w:sz w:val="24"/>
          <w:szCs w:val="24"/>
        </w:rPr>
        <w:t>/(1+1.2%)+0]/1.060</w:t>
      </w:r>
      <w:r w:rsidR="004F1775">
        <w:rPr>
          <w:rFonts w:eastAsia="宋体" w:cs="Arial" w:hint="eastAsia"/>
          <w:color w:val="000000"/>
          <w:sz w:val="24"/>
          <w:szCs w:val="24"/>
        </w:rPr>
        <w:t>0</w:t>
      </w:r>
      <w:r>
        <w:rPr>
          <w:rFonts w:eastAsia="宋体" w:cs="Arial"/>
          <w:color w:val="000000"/>
          <w:sz w:val="24"/>
          <w:szCs w:val="24"/>
        </w:rPr>
        <w:t>=10254.31</w:t>
      </w:r>
      <w:r>
        <w:rPr>
          <w:rFonts w:eastAsia="宋体" w:cs="Arial"/>
          <w:color w:val="000000"/>
          <w:sz w:val="24"/>
          <w:szCs w:val="24"/>
        </w:rPr>
        <w:t>份</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F=B×C×D=10000×1.100</w:t>
      </w:r>
      <w:r w:rsidR="004F1775">
        <w:rPr>
          <w:rFonts w:eastAsia="宋体" w:cs="Arial" w:hint="eastAsia"/>
          <w:color w:val="000000"/>
          <w:sz w:val="24"/>
          <w:szCs w:val="24"/>
        </w:rPr>
        <w:t>0</w:t>
      </w:r>
      <w:r>
        <w:rPr>
          <w:rFonts w:eastAsia="宋体" w:cs="Arial"/>
          <w:color w:val="000000"/>
          <w:sz w:val="24"/>
          <w:szCs w:val="24"/>
        </w:rPr>
        <w:t>×0=0</w:t>
      </w:r>
      <w:r>
        <w:rPr>
          <w:rFonts w:eastAsia="宋体" w:cs="Arial"/>
          <w:color w:val="000000"/>
          <w:sz w:val="24"/>
          <w:szCs w:val="24"/>
        </w:rPr>
        <w:t>元</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J=[B×C×(1</w:t>
      </w:r>
      <w:r>
        <w:rPr>
          <w:rFonts w:eastAsia="宋体" w:cs="Arial"/>
          <w:color w:val="000000"/>
          <w:sz w:val="24"/>
          <w:szCs w:val="24"/>
        </w:rPr>
        <w:t>-D)/(1+H)]×H</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=[10000×1.100</w:t>
      </w:r>
      <w:r w:rsidR="004F1775">
        <w:rPr>
          <w:rFonts w:eastAsia="宋体" w:cs="Arial" w:hint="eastAsia"/>
          <w:color w:val="000000"/>
          <w:sz w:val="24"/>
          <w:szCs w:val="24"/>
        </w:rPr>
        <w:t>0</w:t>
      </w:r>
      <w:r>
        <w:rPr>
          <w:rFonts w:eastAsia="宋体" w:cs="Arial"/>
          <w:color w:val="000000"/>
          <w:sz w:val="24"/>
          <w:szCs w:val="24"/>
        </w:rPr>
        <w:t>×</w:t>
      </w:r>
      <w:r>
        <w:rPr>
          <w:rFonts w:eastAsia="宋体" w:cs="Arial"/>
          <w:color w:val="000000"/>
          <w:sz w:val="24"/>
          <w:szCs w:val="24"/>
        </w:rPr>
        <w:t>（</w:t>
      </w:r>
      <w:r>
        <w:rPr>
          <w:rFonts w:eastAsia="宋体" w:cs="Arial"/>
          <w:color w:val="000000"/>
          <w:sz w:val="24"/>
          <w:szCs w:val="24"/>
        </w:rPr>
        <w:t>1-0</w:t>
      </w:r>
      <w:r>
        <w:rPr>
          <w:rFonts w:eastAsia="宋体" w:cs="Arial"/>
          <w:color w:val="000000"/>
          <w:sz w:val="24"/>
          <w:szCs w:val="24"/>
        </w:rPr>
        <w:t>）</w:t>
      </w:r>
      <w:r>
        <w:rPr>
          <w:rFonts w:eastAsia="宋体" w:cs="Arial"/>
          <w:color w:val="000000"/>
          <w:sz w:val="24"/>
          <w:szCs w:val="24"/>
        </w:rPr>
        <w:t>/(1+1.2%)]×1.2%=130.43</w:t>
      </w:r>
      <w:r>
        <w:rPr>
          <w:rFonts w:eastAsia="宋体" w:cs="Arial"/>
          <w:color w:val="000000"/>
          <w:sz w:val="24"/>
          <w:szCs w:val="24"/>
        </w:rPr>
        <w:t>元</w:t>
      </w:r>
    </w:p>
    <w:p w:rsidR="00BE0037" w:rsidRDefault="002D470A">
      <w:pPr>
        <w:autoSpaceDE w:val="0"/>
        <w:autoSpaceDN w:val="0"/>
        <w:adjustRightInd w:val="0"/>
        <w:spacing w:line="360" w:lineRule="auto"/>
        <w:ind w:firstLineChars="200" w:firstLine="480"/>
        <w:rPr>
          <w:rFonts w:eastAsia="宋体" w:cs="Arial"/>
          <w:b/>
          <w:color w:val="000000"/>
          <w:kern w:val="0"/>
          <w:sz w:val="24"/>
          <w:szCs w:val="24"/>
        </w:rPr>
      </w:pPr>
      <w:r>
        <w:rPr>
          <w:rFonts w:eastAsia="宋体" w:cs="Arial"/>
          <w:color w:val="000000"/>
          <w:sz w:val="24"/>
          <w:szCs w:val="24"/>
        </w:rPr>
        <w:t>即，该投资者承担</w:t>
      </w:r>
      <w:r>
        <w:rPr>
          <w:rFonts w:eastAsia="宋体" w:cs="Arial"/>
          <w:color w:val="000000"/>
          <w:sz w:val="24"/>
          <w:szCs w:val="24"/>
        </w:rPr>
        <w:t>0</w:t>
      </w:r>
      <w:r>
        <w:rPr>
          <w:rFonts w:eastAsia="宋体" w:cs="Arial"/>
          <w:color w:val="000000"/>
          <w:sz w:val="24"/>
          <w:szCs w:val="24"/>
        </w:rPr>
        <w:t>元赎回费和</w:t>
      </w:r>
      <w:r>
        <w:rPr>
          <w:rFonts w:eastAsia="宋体" w:cs="Arial"/>
          <w:color w:val="000000"/>
          <w:sz w:val="24"/>
          <w:szCs w:val="24"/>
        </w:rPr>
        <w:t>130.43</w:t>
      </w:r>
      <w:r>
        <w:rPr>
          <w:rFonts w:eastAsia="宋体" w:cs="Arial"/>
          <w:color w:val="000000"/>
          <w:sz w:val="24"/>
          <w:szCs w:val="24"/>
        </w:rPr>
        <w:t>元申购补差费后，将获得</w:t>
      </w:r>
      <w:r>
        <w:rPr>
          <w:rFonts w:eastAsia="宋体" w:cs="Arial"/>
          <w:color w:val="000000"/>
          <w:sz w:val="24"/>
          <w:szCs w:val="24"/>
        </w:rPr>
        <w:t>10254.31</w:t>
      </w:r>
      <w:r>
        <w:rPr>
          <w:rFonts w:eastAsia="宋体" w:cs="Arial"/>
          <w:color w:val="000000"/>
          <w:sz w:val="24"/>
          <w:szCs w:val="24"/>
        </w:rPr>
        <w:t>份海富通研究精选混合</w:t>
      </w:r>
      <w:r>
        <w:rPr>
          <w:rFonts w:eastAsia="宋体" w:cs="Arial"/>
          <w:color w:val="000000"/>
          <w:sz w:val="24"/>
          <w:szCs w:val="24"/>
        </w:rPr>
        <w:t>A</w:t>
      </w:r>
      <w:r>
        <w:rPr>
          <w:rFonts w:eastAsia="宋体" w:cs="Arial"/>
          <w:color w:val="000000"/>
          <w:sz w:val="24"/>
          <w:szCs w:val="24"/>
        </w:rPr>
        <w:t>类基金份额。</w:t>
      </w:r>
    </w:p>
    <w:p w:rsidR="00BE0037" w:rsidRDefault="002D470A">
      <w:pPr>
        <w:autoSpaceDE w:val="0"/>
        <w:autoSpaceDN w:val="0"/>
        <w:adjustRightInd w:val="0"/>
        <w:spacing w:line="360" w:lineRule="auto"/>
        <w:outlineLvl w:val="0"/>
        <w:rPr>
          <w:rFonts w:eastAsia="宋体" w:cs="Arial"/>
          <w:b/>
          <w:color w:val="000000"/>
          <w:kern w:val="0"/>
          <w:sz w:val="24"/>
          <w:szCs w:val="24"/>
        </w:rPr>
      </w:pPr>
      <w:r>
        <w:rPr>
          <w:rFonts w:eastAsia="宋体" w:cs="Arial"/>
          <w:b/>
          <w:color w:val="000000"/>
          <w:kern w:val="0"/>
          <w:sz w:val="24"/>
          <w:szCs w:val="24"/>
        </w:rPr>
        <w:t xml:space="preserve">5.2 </w:t>
      </w:r>
      <w:r>
        <w:rPr>
          <w:rFonts w:eastAsia="宋体" w:cs="Arial"/>
          <w:b/>
          <w:color w:val="000000"/>
          <w:kern w:val="0"/>
          <w:sz w:val="24"/>
          <w:szCs w:val="24"/>
        </w:rPr>
        <w:t>其他与转换相关的事项</w:t>
      </w:r>
    </w:p>
    <w:p w:rsidR="00BE0037" w:rsidRDefault="002D470A">
      <w:pPr>
        <w:autoSpaceDE w:val="0"/>
        <w:autoSpaceDN w:val="0"/>
        <w:adjustRightInd w:val="0"/>
        <w:spacing w:line="360" w:lineRule="auto"/>
        <w:ind w:firstLineChars="200" w:firstLine="482"/>
        <w:rPr>
          <w:rFonts w:eastAsia="宋体" w:cs="Arial"/>
          <w:b/>
          <w:color w:val="000000"/>
          <w:sz w:val="24"/>
          <w:szCs w:val="24"/>
        </w:rPr>
      </w:pPr>
      <w:r>
        <w:rPr>
          <w:rFonts w:eastAsia="宋体" w:cs="Arial"/>
          <w:b/>
          <w:color w:val="000000"/>
          <w:sz w:val="24"/>
          <w:szCs w:val="24"/>
        </w:rPr>
        <w:t>1</w:t>
      </w:r>
      <w:r>
        <w:rPr>
          <w:rFonts w:eastAsia="宋体" w:cs="Arial"/>
          <w:b/>
          <w:color w:val="000000"/>
          <w:sz w:val="24"/>
          <w:szCs w:val="24"/>
        </w:rPr>
        <w:t>、适用基金</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本基金份额开通与海富通旗下其它开放式基金（由同一注册登记机构办理注册登记的、且已公告开通基金转换业务）之间的转换业务，各基金转换业务的开放状态及交易限制详见各基金相关公告。</w:t>
      </w:r>
    </w:p>
    <w:p w:rsidR="00BE0037" w:rsidRDefault="002D470A">
      <w:pPr>
        <w:autoSpaceDE w:val="0"/>
        <w:autoSpaceDN w:val="0"/>
        <w:adjustRightInd w:val="0"/>
        <w:spacing w:line="360" w:lineRule="auto"/>
        <w:ind w:firstLineChars="200" w:firstLine="482"/>
        <w:rPr>
          <w:rFonts w:eastAsia="宋体" w:cs="Arial"/>
          <w:b/>
          <w:color w:val="000000"/>
          <w:sz w:val="24"/>
          <w:szCs w:val="24"/>
        </w:rPr>
      </w:pPr>
      <w:r>
        <w:rPr>
          <w:rFonts w:eastAsia="宋体" w:cs="Arial"/>
          <w:b/>
          <w:color w:val="000000"/>
          <w:sz w:val="24"/>
          <w:szCs w:val="24"/>
        </w:rPr>
        <w:t>2</w:t>
      </w:r>
      <w:r>
        <w:rPr>
          <w:rFonts w:eastAsia="宋体" w:cs="Arial"/>
          <w:b/>
          <w:color w:val="000000"/>
          <w:sz w:val="24"/>
          <w:szCs w:val="24"/>
        </w:rPr>
        <w:t>、可办理转换业务的本基金销售机构</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投资人可通过本基金销售机构办理本基金的转换业务。</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由于各销售机构业务安排等原因，各销售机构开展转换业务的时间、基金品种和办理的具体流程、规则以及投资者需要提交的文件等信息，请参照各销售机构的有关规定。</w:t>
      </w:r>
    </w:p>
    <w:p w:rsidR="00BE0037" w:rsidRDefault="002D470A">
      <w:pPr>
        <w:autoSpaceDE w:val="0"/>
        <w:autoSpaceDN w:val="0"/>
        <w:adjustRightInd w:val="0"/>
        <w:spacing w:line="360" w:lineRule="auto"/>
        <w:ind w:firstLineChars="200" w:firstLine="482"/>
        <w:rPr>
          <w:rFonts w:eastAsia="宋体" w:cs="Arial"/>
          <w:b/>
          <w:color w:val="000000"/>
          <w:sz w:val="24"/>
          <w:szCs w:val="24"/>
        </w:rPr>
      </w:pPr>
      <w:r>
        <w:rPr>
          <w:rFonts w:eastAsia="宋体" w:cs="Arial"/>
          <w:b/>
          <w:color w:val="000000"/>
          <w:sz w:val="24"/>
          <w:szCs w:val="24"/>
        </w:rPr>
        <w:t>3</w:t>
      </w:r>
      <w:r>
        <w:rPr>
          <w:rFonts w:eastAsia="宋体" w:cs="Arial"/>
          <w:b/>
          <w:color w:val="000000"/>
          <w:sz w:val="24"/>
          <w:szCs w:val="24"/>
        </w:rPr>
        <w:t>、基金转换的业务规则</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w:t>
      </w:r>
      <w:r>
        <w:rPr>
          <w:rFonts w:eastAsia="宋体" w:cs="Arial"/>
          <w:color w:val="000000"/>
          <w:sz w:val="24"/>
          <w:szCs w:val="24"/>
        </w:rPr>
        <w:t>1</w:t>
      </w:r>
      <w:r>
        <w:rPr>
          <w:rFonts w:eastAsia="宋体" w:cs="Arial"/>
          <w:color w:val="000000"/>
          <w:sz w:val="24"/>
          <w:szCs w:val="24"/>
        </w:rPr>
        <w:t>）基金转换只能在同一销售机构办理，且该销售机构须同时代理拟转换出基金及拟转换入基金的销售。</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w:t>
      </w:r>
      <w:r>
        <w:rPr>
          <w:rFonts w:eastAsia="宋体" w:cs="Arial"/>
          <w:color w:val="000000"/>
          <w:sz w:val="24"/>
          <w:szCs w:val="24"/>
        </w:rPr>
        <w:t>2</w:t>
      </w:r>
      <w:r>
        <w:rPr>
          <w:rFonts w:eastAsia="宋体" w:cs="Arial"/>
          <w:color w:val="000000"/>
          <w:sz w:val="24"/>
          <w:szCs w:val="24"/>
        </w:rPr>
        <w:t>）单笔转换入申请不受转换入基金最低申购金额限制。若基金份额持有人的某笔基金转换将导致其在该销售机构所持有的剩余基金份额低于规定限额的（具体限额参见相关公告和各基金招募说明书及其更新），应</w:t>
      </w:r>
      <w:r>
        <w:rPr>
          <w:rFonts w:eastAsia="宋体" w:cs="Arial"/>
          <w:color w:val="000000"/>
          <w:sz w:val="24"/>
          <w:szCs w:val="24"/>
        </w:rPr>
        <w:t>申请一并转换。</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w:t>
      </w:r>
      <w:r>
        <w:rPr>
          <w:rFonts w:eastAsia="宋体" w:cs="Arial"/>
          <w:color w:val="000000"/>
          <w:sz w:val="24"/>
          <w:szCs w:val="24"/>
        </w:rPr>
        <w:t>3</w:t>
      </w:r>
      <w:r>
        <w:rPr>
          <w:rFonts w:eastAsia="宋体" w:cs="Arial"/>
          <w:color w:val="000000"/>
          <w:sz w:val="24"/>
          <w:szCs w:val="24"/>
        </w:rPr>
        <w:t>）基金转换以份额为单位进行申请，本基金的单笔转换申请份额最低为</w:t>
      </w:r>
      <w:r>
        <w:rPr>
          <w:rFonts w:eastAsia="宋体" w:cs="Arial"/>
          <w:color w:val="000000"/>
          <w:sz w:val="24"/>
          <w:szCs w:val="24"/>
        </w:rPr>
        <w:t>10</w:t>
      </w:r>
      <w:r>
        <w:rPr>
          <w:rFonts w:eastAsia="宋体" w:cs="Arial"/>
          <w:color w:val="000000"/>
          <w:sz w:val="24"/>
          <w:szCs w:val="24"/>
        </w:rPr>
        <w:t>份。投资者办理基金转换业务时，转换出方的基金必须处于可赎回状态，转换入方的基金必须处于可申购状态，且开通了相应的转换业务，否则，转换申请将确认为失败。</w:t>
      </w:r>
    </w:p>
    <w:p w:rsidR="00BE0037" w:rsidRDefault="002D470A">
      <w:pPr>
        <w:spacing w:line="360" w:lineRule="auto"/>
        <w:ind w:firstLine="480"/>
        <w:rPr>
          <w:rFonts w:eastAsia="宋体" w:cs="Arial"/>
          <w:color w:val="000000"/>
          <w:sz w:val="24"/>
          <w:szCs w:val="24"/>
        </w:rPr>
      </w:pPr>
      <w:r>
        <w:rPr>
          <w:rFonts w:eastAsia="宋体" w:cs="Arial"/>
          <w:color w:val="000000"/>
          <w:sz w:val="24"/>
          <w:szCs w:val="24"/>
        </w:rPr>
        <w:t>（</w:t>
      </w:r>
      <w:r>
        <w:rPr>
          <w:rFonts w:eastAsia="宋体" w:cs="Arial"/>
          <w:color w:val="000000"/>
          <w:sz w:val="24"/>
          <w:szCs w:val="24"/>
        </w:rPr>
        <w:t>4</w:t>
      </w:r>
      <w:r>
        <w:rPr>
          <w:rFonts w:eastAsia="宋体" w:cs="Arial"/>
          <w:color w:val="000000"/>
          <w:sz w:val="24"/>
          <w:szCs w:val="24"/>
        </w:rPr>
        <w:t>）同一基金不同份额之间不支持相互转换。</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w:t>
      </w:r>
      <w:r>
        <w:rPr>
          <w:rFonts w:eastAsia="宋体" w:cs="Arial"/>
          <w:color w:val="000000"/>
          <w:sz w:val="24"/>
          <w:szCs w:val="24"/>
        </w:rPr>
        <w:t>5</w:t>
      </w:r>
      <w:r>
        <w:rPr>
          <w:rFonts w:eastAsia="宋体" w:cs="Arial"/>
          <w:color w:val="000000"/>
          <w:sz w:val="24"/>
          <w:szCs w:val="24"/>
        </w:rPr>
        <w:t>）基金转换采取未知价法，即以申请受理当日各转换出、转换入基金的基金份额净值为基础进行计算。</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w:t>
      </w:r>
      <w:r>
        <w:rPr>
          <w:rFonts w:eastAsia="宋体" w:cs="Arial"/>
          <w:color w:val="000000"/>
          <w:sz w:val="24"/>
          <w:szCs w:val="24"/>
        </w:rPr>
        <w:t>6</w:t>
      </w:r>
      <w:r>
        <w:rPr>
          <w:rFonts w:eastAsia="宋体" w:cs="Arial"/>
          <w:color w:val="000000"/>
          <w:sz w:val="24"/>
          <w:szCs w:val="24"/>
        </w:rPr>
        <w:t>）正常情况下，基金注册登记机构将在</w:t>
      </w:r>
      <w:r>
        <w:rPr>
          <w:rFonts w:eastAsia="宋体" w:cs="Arial"/>
          <w:color w:val="000000"/>
          <w:sz w:val="24"/>
          <w:szCs w:val="24"/>
        </w:rPr>
        <w:t>T+1</w:t>
      </w:r>
      <w:r>
        <w:rPr>
          <w:rFonts w:eastAsia="宋体" w:cs="Arial"/>
          <w:color w:val="000000"/>
          <w:sz w:val="24"/>
          <w:szCs w:val="24"/>
        </w:rPr>
        <w:t>日对投资者</w:t>
      </w:r>
      <w:r>
        <w:rPr>
          <w:rFonts w:eastAsia="宋体" w:cs="Arial"/>
          <w:color w:val="000000"/>
          <w:sz w:val="24"/>
          <w:szCs w:val="24"/>
        </w:rPr>
        <w:t>T</w:t>
      </w:r>
      <w:r>
        <w:rPr>
          <w:rFonts w:eastAsia="宋体" w:cs="Arial"/>
          <w:color w:val="000000"/>
          <w:sz w:val="24"/>
          <w:szCs w:val="24"/>
        </w:rPr>
        <w:t>日的基金转换业务申请进行有效性确认，办理转换出基金的权益扣除以及转换入基金的权</w:t>
      </w:r>
      <w:r>
        <w:rPr>
          <w:rFonts w:eastAsia="宋体" w:cs="Arial"/>
          <w:color w:val="000000"/>
          <w:sz w:val="24"/>
          <w:szCs w:val="24"/>
        </w:rPr>
        <w:t>益登记。在</w:t>
      </w:r>
      <w:r>
        <w:rPr>
          <w:rFonts w:eastAsia="宋体" w:cs="Arial"/>
          <w:color w:val="000000"/>
          <w:sz w:val="24"/>
          <w:szCs w:val="24"/>
        </w:rPr>
        <w:t>T+2</w:t>
      </w:r>
      <w:r>
        <w:rPr>
          <w:rFonts w:eastAsia="宋体" w:cs="Arial"/>
          <w:color w:val="000000"/>
          <w:sz w:val="24"/>
          <w:szCs w:val="24"/>
        </w:rPr>
        <w:t>日后（包括该日）投资者可向销售机构查询基金转换的确认情况。</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w:t>
      </w:r>
      <w:r>
        <w:rPr>
          <w:rFonts w:eastAsia="宋体" w:cs="Arial"/>
          <w:color w:val="000000"/>
          <w:sz w:val="24"/>
          <w:szCs w:val="24"/>
        </w:rPr>
        <w:t>7</w:t>
      </w:r>
      <w:r>
        <w:rPr>
          <w:rFonts w:eastAsia="宋体" w:cs="Arial"/>
          <w:color w:val="000000"/>
          <w:sz w:val="24"/>
          <w:szCs w:val="24"/>
        </w:rPr>
        <w:t>）若本基金单个开放日内的基金份额净赎回申请</w:t>
      </w:r>
      <w:r w:rsidR="006320FF">
        <w:rPr>
          <w:rFonts w:eastAsia="宋体" w:cs="Arial" w:hint="eastAsia"/>
          <w:color w:val="000000"/>
          <w:sz w:val="24"/>
          <w:szCs w:val="24"/>
        </w:rPr>
        <w:t>（</w:t>
      </w:r>
      <w:r>
        <w:rPr>
          <w:rFonts w:eastAsia="宋体" w:cs="Arial"/>
          <w:color w:val="000000"/>
          <w:sz w:val="24"/>
          <w:szCs w:val="24"/>
        </w:rPr>
        <w:t>赎回申请份额总数加上基金转换中转出申请份额总数后扣除申购申请份额总数及基金转换中转入申请份额总数后的余额</w:t>
      </w:r>
      <w:r w:rsidR="006320FF">
        <w:rPr>
          <w:rFonts w:eastAsia="宋体" w:cs="Arial" w:hint="eastAsia"/>
          <w:color w:val="000000"/>
          <w:sz w:val="24"/>
          <w:szCs w:val="24"/>
        </w:rPr>
        <w:t>）</w:t>
      </w:r>
      <w:r>
        <w:rPr>
          <w:rFonts w:eastAsia="宋体" w:cs="Arial"/>
          <w:color w:val="000000"/>
          <w:sz w:val="24"/>
          <w:szCs w:val="24"/>
        </w:rPr>
        <w:t>超过上一开放日基金总份额</w:t>
      </w:r>
      <w:r>
        <w:rPr>
          <w:rFonts w:eastAsia="宋体" w:cs="Arial"/>
          <w:color w:val="000000"/>
          <w:sz w:val="24"/>
          <w:szCs w:val="24"/>
        </w:rPr>
        <w:t>10%</w:t>
      </w:r>
      <w:r>
        <w:rPr>
          <w:rFonts w:eastAsia="宋体" w:cs="Arial"/>
          <w:color w:val="000000"/>
          <w:sz w:val="24"/>
          <w:szCs w:val="24"/>
        </w:rPr>
        <w:t>的情况，为巨额赎回。发生巨额赎回时，基金转换出与基金赎回具有相同的优先级，基金管理人可根据基金资产组合情况，决定全额转换出或部分转换出，并且对于基金转换出和基金赎回，将采取相同的确认比例。在转换出申请得到部分确认的情况下，未确认的转换出申请将不予以顺延</w:t>
      </w:r>
      <w:r>
        <w:rPr>
          <w:rFonts w:eastAsia="宋体" w:cs="Arial"/>
          <w:color w:val="000000"/>
          <w:sz w:val="24"/>
          <w:szCs w:val="24"/>
        </w:rPr>
        <w:t>。</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w:t>
      </w:r>
      <w:r>
        <w:rPr>
          <w:rFonts w:eastAsia="宋体" w:cs="Arial"/>
          <w:color w:val="000000"/>
          <w:sz w:val="24"/>
          <w:szCs w:val="24"/>
        </w:rPr>
        <w:t>8</w:t>
      </w:r>
      <w:r>
        <w:rPr>
          <w:rFonts w:eastAsia="宋体" w:cs="Arial"/>
          <w:color w:val="000000"/>
          <w:sz w:val="24"/>
          <w:szCs w:val="24"/>
        </w:rPr>
        <w:t>）持有人对转换入基金的份额持有期限自转换入确认之日算起。</w:t>
      </w:r>
    </w:p>
    <w:p w:rsidR="00BE0037" w:rsidRDefault="002D470A">
      <w:pPr>
        <w:autoSpaceDE w:val="0"/>
        <w:autoSpaceDN w:val="0"/>
        <w:adjustRightInd w:val="0"/>
        <w:spacing w:line="360" w:lineRule="auto"/>
        <w:ind w:firstLineChars="200" w:firstLine="480"/>
        <w:rPr>
          <w:rFonts w:eastAsia="宋体" w:cs="Arial"/>
          <w:color w:val="000000"/>
          <w:sz w:val="24"/>
          <w:szCs w:val="24"/>
        </w:rPr>
      </w:pPr>
      <w:r>
        <w:rPr>
          <w:rFonts w:eastAsia="宋体" w:cs="Arial"/>
          <w:color w:val="000000"/>
          <w:sz w:val="24"/>
          <w:szCs w:val="24"/>
        </w:rPr>
        <w:t>（</w:t>
      </w:r>
      <w:r>
        <w:rPr>
          <w:rFonts w:eastAsia="宋体" w:cs="Arial"/>
          <w:color w:val="000000"/>
          <w:sz w:val="24"/>
          <w:szCs w:val="24"/>
        </w:rPr>
        <w:t>9</w:t>
      </w:r>
      <w:r>
        <w:rPr>
          <w:rFonts w:eastAsia="宋体" w:cs="Arial"/>
          <w:color w:val="000000"/>
          <w:sz w:val="24"/>
          <w:szCs w:val="24"/>
        </w:rPr>
        <w:t>）转换和赎回业务均遵循</w:t>
      </w:r>
      <w:r w:rsidR="006320FF">
        <w:rPr>
          <w:rFonts w:eastAsia="宋体" w:cs="Arial" w:hint="eastAsia"/>
          <w:color w:val="000000"/>
          <w:sz w:val="24"/>
          <w:szCs w:val="24"/>
        </w:rPr>
        <w:t>“</w:t>
      </w:r>
      <w:r>
        <w:rPr>
          <w:rFonts w:eastAsia="宋体" w:cs="Arial"/>
          <w:color w:val="000000"/>
          <w:sz w:val="24"/>
          <w:szCs w:val="24"/>
        </w:rPr>
        <w:t>先进先出</w:t>
      </w:r>
      <w:r w:rsidR="006320FF">
        <w:rPr>
          <w:rFonts w:eastAsia="宋体" w:cs="Arial" w:hint="eastAsia"/>
          <w:color w:val="000000"/>
          <w:sz w:val="24"/>
          <w:szCs w:val="24"/>
        </w:rPr>
        <w:t>”</w:t>
      </w:r>
      <w:r>
        <w:rPr>
          <w:rFonts w:eastAsia="宋体" w:cs="Arial"/>
          <w:color w:val="000000"/>
          <w:sz w:val="24"/>
          <w:szCs w:val="24"/>
        </w:rPr>
        <w:t>的原则。如果转换申请当日，同时有赎回申请的情况下，则遵循先赎回后转换的处理原则。</w:t>
      </w:r>
    </w:p>
    <w:p w:rsidR="00BE0037" w:rsidRDefault="002D470A">
      <w:pPr>
        <w:pStyle w:val="2"/>
        <w:spacing w:line="560" w:lineRule="exact"/>
        <w:rPr>
          <w:rFonts w:ascii="Times New Roman" w:eastAsia="宋体" w:hAnsi="Times New Roman" w:cs="Arial"/>
          <w:b w:val="0"/>
          <w:color w:val="000000" w:themeColor="text1"/>
          <w:sz w:val="24"/>
          <w:szCs w:val="24"/>
        </w:rPr>
      </w:pPr>
      <w:bookmarkStart w:id="4" w:name="_Toc275961400"/>
      <w:r>
        <w:rPr>
          <w:rFonts w:ascii="Times New Roman" w:eastAsia="宋体" w:hAnsi="Times New Roman" w:cs="Arial"/>
          <w:bCs w:val="0"/>
          <w:color w:val="000000" w:themeColor="text1"/>
          <w:sz w:val="24"/>
          <w:szCs w:val="24"/>
        </w:rPr>
        <w:t xml:space="preserve">6 </w:t>
      </w:r>
      <w:r>
        <w:rPr>
          <w:rFonts w:ascii="Times New Roman" w:eastAsia="宋体" w:hAnsi="Times New Roman" w:cs="Arial"/>
          <w:bCs w:val="0"/>
          <w:color w:val="000000" w:themeColor="text1"/>
          <w:sz w:val="24"/>
          <w:szCs w:val="24"/>
        </w:rPr>
        <w:t>定期定额投资业务</w:t>
      </w:r>
      <w:bookmarkEnd w:id="4"/>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基金定期定额投资业务是指投资人通过本公司指定的基金销售机构提出申请，约定每期扣款日、扣款金额及扣款方式，由销售机构于每期约定扣款日在投资人指定银行账户内自动完成扣款及基金申购申请的一种投资方式。基金定期定额投资业务并不构成对基金日常申购、赎回等业务的影响，投资人在办理基金定期定额投资业务的同时，仍然可以进行日常申购、赎回业务。</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1</w:t>
      </w:r>
      <w:r>
        <w:rPr>
          <w:rFonts w:eastAsia="宋体" w:cs="Arial"/>
          <w:color w:val="000000" w:themeColor="text1"/>
          <w:sz w:val="24"/>
          <w:szCs w:val="24"/>
        </w:rPr>
        <w:t>、开通定期定额投资业务的销售机构</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投资人可通过本基金销售机构办理本基金的定期定额投资业务。由于各销售机构业务安排等原因，各销售机构开展定期定额投资业务的时间、基金品种和办理的具体流</w:t>
      </w:r>
      <w:r>
        <w:rPr>
          <w:rFonts w:eastAsia="宋体" w:cs="Arial"/>
          <w:color w:val="000000" w:themeColor="text1"/>
          <w:sz w:val="24"/>
          <w:szCs w:val="24"/>
        </w:rPr>
        <w:t>程、规则以及投资者需要提交的文件等信息，请参照各销售机构的有关规定。</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2</w:t>
      </w:r>
      <w:r>
        <w:rPr>
          <w:rFonts w:eastAsia="宋体" w:cs="Arial"/>
          <w:color w:val="000000" w:themeColor="text1"/>
          <w:sz w:val="24"/>
          <w:szCs w:val="24"/>
        </w:rPr>
        <w:t>、办理时间</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定期定额申请办理时间与本基金日常申购业务受理时间相同。</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3</w:t>
      </w:r>
      <w:r>
        <w:rPr>
          <w:rFonts w:eastAsia="宋体" w:cs="Arial"/>
          <w:color w:val="000000" w:themeColor="text1"/>
          <w:sz w:val="24"/>
          <w:szCs w:val="24"/>
        </w:rPr>
        <w:t>、申请方式</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投资者应按照销售机构的规定办理开通定期定额投资业务的申请。</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4</w:t>
      </w:r>
      <w:r>
        <w:rPr>
          <w:rFonts w:eastAsia="宋体" w:cs="Arial"/>
          <w:color w:val="000000" w:themeColor="text1"/>
          <w:sz w:val="24"/>
          <w:szCs w:val="24"/>
        </w:rPr>
        <w:t>、扣款金额</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本基金定期定额申购业务的单笔最低金额为</w:t>
      </w:r>
      <w:r>
        <w:rPr>
          <w:rFonts w:eastAsia="宋体" w:cs="Arial"/>
          <w:color w:val="000000" w:themeColor="text1"/>
          <w:sz w:val="24"/>
          <w:szCs w:val="24"/>
        </w:rPr>
        <w:t>1</w:t>
      </w:r>
      <w:r>
        <w:rPr>
          <w:rFonts w:eastAsia="宋体" w:cs="Arial"/>
          <w:color w:val="000000" w:themeColor="text1"/>
          <w:sz w:val="24"/>
          <w:szCs w:val="24"/>
        </w:rPr>
        <w:t>元，在此最低金额基础之上，以各销售机构的具体规定为准。投资者可与本基金销售机构就本基金申请开办</w:t>
      </w:r>
      <w:r w:rsidR="006320FF">
        <w:rPr>
          <w:rFonts w:eastAsia="宋体" w:cs="Arial" w:hint="eastAsia"/>
          <w:color w:val="000000" w:themeColor="text1"/>
          <w:sz w:val="24"/>
          <w:szCs w:val="24"/>
        </w:rPr>
        <w:t>“</w:t>
      </w:r>
      <w:r>
        <w:rPr>
          <w:rFonts w:eastAsia="宋体" w:cs="Arial"/>
          <w:color w:val="000000" w:themeColor="text1"/>
          <w:sz w:val="24"/>
          <w:szCs w:val="24"/>
        </w:rPr>
        <w:t>定期定额申购业务</w:t>
      </w:r>
      <w:r w:rsidR="006320FF">
        <w:rPr>
          <w:rFonts w:eastAsia="宋体" w:cs="Arial" w:hint="eastAsia"/>
          <w:color w:val="000000" w:themeColor="text1"/>
          <w:sz w:val="24"/>
          <w:szCs w:val="24"/>
        </w:rPr>
        <w:t>”</w:t>
      </w:r>
      <w:r>
        <w:rPr>
          <w:rFonts w:eastAsia="宋体" w:cs="Arial"/>
          <w:color w:val="000000" w:themeColor="text1"/>
          <w:sz w:val="24"/>
          <w:szCs w:val="24"/>
        </w:rPr>
        <w:t>约定每期固定扣款金额。</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5</w:t>
      </w:r>
      <w:r>
        <w:rPr>
          <w:rFonts w:eastAsia="宋体" w:cs="Arial"/>
          <w:color w:val="000000" w:themeColor="text1"/>
          <w:sz w:val="24"/>
          <w:szCs w:val="24"/>
        </w:rPr>
        <w:t>、扣款日期</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投资者应遵循各销售机构的规定并与销售机构约定每期固定扣款日期，且每期扣款及申购申请日固定，具体扣款方式以各销售机构的相关业务规则为准。</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6</w:t>
      </w:r>
      <w:r>
        <w:rPr>
          <w:rFonts w:eastAsia="宋体" w:cs="Arial"/>
          <w:color w:val="000000" w:themeColor="text1"/>
          <w:sz w:val="24"/>
          <w:szCs w:val="24"/>
        </w:rPr>
        <w:t>、定期定额申购费率</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定期定额申购费率和计费方式与日常申购业务相同。</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7</w:t>
      </w:r>
      <w:r>
        <w:rPr>
          <w:rFonts w:eastAsia="宋体" w:cs="Arial"/>
          <w:color w:val="000000" w:themeColor="text1"/>
          <w:sz w:val="24"/>
          <w:szCs w:val="24"/>
        </w:rPr>
        <w:t>、交易确认</w:t>
      </w:r>
    </w:p>
    <w:p w:rsidR="00BE0037" w:rsidRDefault="002D470A">
      <w:pPr>
        <w:spacing w:line="360" w:lineRule="auto"/>
        <w:ind w:firstLineChars="200" w:firstLine="480"/>
        <w:rPr>
          <w:rFonts w:eastAsia="宋体" w:cs="Arial"/>
          <w:color w:val="000000" w:themeColor="text1"/>
          <w:sz w:val="24"/>
          <w:szCs w:val="24"/>
        </w:rPr>
      </w:pPr>
      <w:bookmarkStart w:id="5" w:name="_Toc275961401"/>
      <w:r>
        <w:rPr>
          <w:rFonts w:eastAsia="宋体" w:cs="Arial"/>
          <w:color w:val="000000" w:themeColor="text1"/>
          <w:sz w:val="24"/>
          <w:szCs w:val="24"/>
        </w:rPr>
        <w:t>实际扣款日即为基金定期定额申购的申请日，以该日</w:t>
      </w:r>
      <w:r w:rsidR="006320FF">
        <w:rPr>
          <w:rFonts w:eastAsia="宋体" w:cs="Arial" w:hint="eastAsia"/>
          <w:color w:val="000000" w:themeColor="text1"/>
          <w:sz w:val="24"/>
          <w:szCs w:val="24"/>
        </w:rPr>
        <w:t>（</w:t>
      </w:r>
      <w:r>
        <w:rPr>
          <w:rFonts w:eastAsia="宋体" w:cs="Arial"/>
          <w:color w:val="000000" w:themeColor="text1"/>
          <w:sz w:val="24"/>
          <w:szCs w:val="24"/>
        </w:rPr>
        <w:t>T</w:t>
      </w:r>
      <w:r>
        <w:rPr>
          <w:rFonts w:eastAsia="宋体" w:cs="Arial"/>
          <w:color w:val="000000" w:themeColor="text1"/>
          <w:sz w:val="24"/>
          <w:szCs w:val="24"/>
        </w:rPr>
        <w:t>日</w:t>
      </w:r>
      <w:r w:rsidR="006320FF">
        <w:rPr>
          <w:rFonts w:eastAsia="宋体" w:cs="Arial" w:hint="eastAsia"/>
          <w:color w:val="000000" w:themeColor="text1"/>
          <w:sz w:val="24"/>
          <w:szCs w:val="24"/>
        </w:rPr>
        <w:t>）</w:t>
      </w:r>
      <w:r>
        <w:rPr>
          <w:rFonts w:eastAsia="宋体" w:cs="Arial"/>
          <w:color w:val="000000" w:themeColor="text1"/>
          <w:sz w:val="24"/>
          <w:szCs w:val="24"/>
        </w:rPr>
        <w:t>的基金份额净值为基准计算申购份额</w:t>
      </w:r>
      <w:r w:rsidR="00FB1272">
        <w:rPr>
          <w:rFonts w:eastAsia="宋体" w:cs="Arial" w:hint="eastAsia"/>
          <w:color w:val="000000" w:themeColor="text1"/>
          <w:sz w:val="24"/>
          <w:szCs w:val="24"/>
        </w:rPr>
        <w:t>，</w:t>
      </w:r>
      <w:r>
        <w:rPr>
          <w:rFonts w:eastAsia="宋体" w:cs="Arial"/>
          <w:color w:val="000000" w:themeColor="text1"/>
          <w:sz w:val="24"/>
          <w:szCs w:val="24"/>
        </w:rPr>
        <w:t>在</w:t>
      </w:r>
      <w:r>
        <w:rPr>
          <w:rFonts w:eastAsia="宋体" w:cs="Arial"/>
          <w:color w:val="000000" w:themeColor="text1"/>
          <w:sz w:val="24"/>
          <w:szCs w:val="24"/>
        </w:rPr>
        <w:t>T</w:t>
      </w:r>
      <w:r>
        <w:rPr>
          <w:rFonts w:eastAsia="宋体" w:cs="Arial"/>
          <w:color w:val="000000" w:themeColor="text1"/>
          <w:sz w:val="24"/>
          <w:szCs w:val="24"/>
        </w:rPr>
        <w:t>＋</w:t>
      </w:r>
      <w:r>
        <w:rPr>
          <w:rFonts w:eastAsia="宋体" w:cs="Arial"/>
          <w:color w:val="000000" w:themeColor="text1"/>
          <w:sz w:val="24"/>
          <w:szCs w:val="24"/>
        </w:rPr>
        <w:t>1</w:t>
      </w:r>
      <w:r>
        <w:rPr>
          <w:rFonts w:eastAsia="宋体" w:cs="Arial"/>
          <w:color w:val="000000" w:themeColor="text1"/>
          <w:sz w:val="24"/>
          <w:szCs w:val="24"/>
        </w:rPr>
        <w:t>日进行确认，投资者可在</w:t>
      </w:r>
      <w:r>
        <w:rPr>
          <w:rFonts w:eastAsia="宋体" w:cs="Arial"/>
          <w:color w:val="000000" w:themeColor="text1"/>
          <w:sz w:val="24"/>
          <w:szCs w:val="24"/>
        </w:rPr>
        <w:t>T+2</w:t>
      </w:r>
      <w:r>
        <w:rPr>
          <w:rFonts w:eastAsia="宋体" w:cs="Arial"/>
          <w:color w:val="000000" w:themeColor="text1"/>
          <w:sz w:val="24"/>
          <w:szCs w:val="24"/>
        </w:rPr>
        <w:t>日后（包括该日）查询定期定额申购的确认情况。</w:t>
      </w:r>
    </w:p>
    <w:p w:rsidR="00BE0037" w:rsidRDefault="002D470A">
      <w:pPr>
        <w:pStyle w:val="2"/>
        <w:spacing w:line="560" w:lineRule="exact"/>
        <w:rPr>
          <w:rFonts w:ascii="Times New Roman" w:eastAsia="宋体" w:hAnsi="Times New Roman" w:cs="Arial"/>
          <w:bCs w:val="0"/>
          <w:color w:val="000000" w:themeColor="text1"/>
          <w:sz w:val="24"/>
          <w:szCs w:val="24"/>
        </w:rPr>
      </w:pPr>
      <w:r>
        <w:rPr>
          <w:rFonts w:ascii="Times New Roman" w:eastAsia="宋体" w:hAnsi="Times New Roman" w:cs="Arial"/>
          <w:bCs w:val="0"/>
          <w:color w:val="000000" w:themeColor="text1"/>
          <w:sz w:val="24"/>
          <w:szCs w:val="24"/>
        </w:rPr>
        <w:t xml:space="preserve">7 </w:t>
      </w:r>
      <w:r>
        <w:rPr>
          <w:rFonts w:ascii="Times New Roman" w:eastAsia="宋体" w:hAnsi="Times New Roman" w:cs="Arial"/>
          <w:bCs w:val="0"/>
          <w:color w:val="000000" w:themeColor="text1"/>
          <w:sz w:val="24"/>
          <w:szCs w:val="24"/>
        </w:rPr>
        <w:t>基金销售机构</w:t>
      </w:r>
      <w:bookmarkEnd w:id="5"/>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招商银行股份有限公司、</w:t>
      </w:r>
      <w:r>
        <w:rPr>
          <w:rFonts w:eastAsia="宋体" w:cs="Arial" w:hint="eastAsia"/>
          <w:color w:val="000000" w:themeColor="text1"/>
          <w:sz w:val="24"/>
          <w:szCs w:val="24"/>
        </w:rPr>
        <w:t>国泰海通证券股份有限公司、渤海证券股份有限公司、长江证券股份有限公司、第一创业证券</w:t>
      </w:r>
      <w:r>
        <w:rPr>
          <w:rFonts w:eastAsia="宋体" w:cs="Arial" w:hint="eastAsia"/>
          <w:color w:val="000000" w:themeColor="text1"/>
          <w:sz w:val="24"/>
          <w:szCs w:val="24"/>
        </w:rPr>
        <w:t>股份有限公司、东方财富证券股份有限公司、东莞证券股份有限公司、东吴证券股份有限公司、国金证券股份有限公司、国联民生证券股份有限公司、国投证券股份有限公司、国信证券股份有限公司、华龙证券股份有限公司、华泰证券股份有限公司、华西证券股份有限公司、南京证券股份有限公司、天风证券股份有限公司、西部证券股份有限公司、西南证券股份有限公司、湘财证券股份有限公司、招商证券股份有限公司、中国中金财富证券有限公司、中泰证券股份有限公司、中天证券股份有限公司、中信建投证券股份有限公司、中信证券股份有限公司、中信证券华南股份有限</w:t>
      </w:r>
      <w:r>
        <w:rPr>
          <w:rFonts w:eastAsia="宋体" w:cs="Arial" w:hint="eastAsia"/>
          <w:color w:val="000000" w:themeColor="text1"/>
          <w:sz w:val="24"/>
          <w:szCs w:val="24"/>
        </w:rPr>
        <w:t>公司、中信证券（山东）有限责任公司、中信期货有限公司、开源证券股份有限公司、国新证券股份有限公司、上海天天基金销售有限公司、北京度小满基金销售有限公司、京东肯特瑞基金销售有限公司、上海好买基金销售有限公司、珠海盈米基金销售有限公司</w:t>
      </w:r>
      <w:r>
        <w:rPr>
          <w:rFonts w:eastAsia="宋体" w:cs="Arial"/>
          <w:color w:val="000000" w:themeColor="text1"/>
          <w:sz w:val="24"/>
          <w:szCs w:val="24"/>
        </w:rPr>
        <w:t>。</w:t>
      </w:r>
    </w:p>
    <w:p w:rsidR="00BE0037" w:rsidRDefault="002D470A">
      <w:pPr>
        <w:pStyle w:val="2"/>
        <w:spacing w:line="560" w:lineRule="exact"/>
        <w:rPr>
          <w:rStyle w:val="ad"/>
          <w:rFonts w:ascii="Times New Roman" w:eastAsia="宋体" w:hAnsi="Times New Roman" w:cs="Arial"/>
          <w:color w:val="000000" w:themeColor="text1"/>
          <w:sz w:val="24"/>
          <w:szCs w:val="24"/>
        </w:rPr>
      </w:pPr>
      <w:bookmarkStart w:id="6" w:name="_Toc275961402"/>
      <w:r>
        <w:rPr>
          <w:rFonts w:ascii="Times New Roman" w:eastAsia="宋体" w:hAnsi="Times New Roman" w:cs="Arial"/>
          <w:bCs w:val="0"/>
          <w:color w:val="000000" w:themeColor="text1"/>
          <w:sz w:val="24"/>
          <w:szCs w:val="24"/>
        </w:rPr>
        <w:t xml:space="preserve">8 </w:t>
      </w:r>
      <w:r>
        <w:rPr>
          <w:rFonts w:ascii="Times New Roman" w:eastAsia="宋体" w:hAnsi="Times New Roman" w:cs="Arial"/>
          <w:bCs w:val="0"/>
          <w:color w:val="000000" w:themeColor="text1"/>
          <w:sz w:val="24"/>
          <w:szCs w:val="24"/>
        </w:rPr>
        <w:t>基金份额净值公告</w:t>
      </w:r>
      <w:r>
        <w:rPr>
          <w:rFonts w:ascii="Times New Roman" w:eastAsia="宋体" w:hAnsi="Times New Roman" w:cs="Arial"/>
          <w:bCs w:val="0"/>
          <w:color w:val="000000" w:themeColor="text1"/>
          <w:sz w:val="24"/>
          <w:szCs w:val="24"/>
        </w:rPr>
        <w:t>/</w:t>
      </w:r>
      <w:r>
        <w:rPr>
          <w:rFonts w:ascii="Times New Roman" w:eastAsia="宋体" w:hAnsi="Times New Roman" w:cs="Arial"/>
          <w:bCs w:val="0"/>
          <w:color w:val="000000" w:themeColor="text1"/>
          <w:sz w:val="24"/>
          <w:szCs w:val="24"/>
        </w:rPr>
        <w:t>基金收益公告的披露安排</w:t>
      </w:r>
      <w:bookmarkEnd w:id="6"/>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在开始办理基金份额申购之后，基金管理人将在</w:t>
      </w:r>
      <w:r>
        <w:rPr>
          <w:rFonts w:eastAsia="宋体" w:cs="Arial"/>
          <w:color w:val="000000" w:themeColor="text1"/>
          <w:sz w:val="24"/>
          <w:szCs w:val="24"/>
        </w:rPr>
        <w:t>T+1</w:t>
      </w:r>
      <w:r>
        <w:rPr>
          <w:rFonts w:eastAsia="宋体" w:cs="Arial"/>
          <w:color w:val="000000" w:themeColor="text1"/>
          <w:sz w:val="24"/>
          <w:szCs w:val="24"/>
        </w:rPr>
        <w:t>日（</w:t>
      </w:r>
      <w:r>
        <w:rPr>
          <w:rFonts w:eastAsia="宋体" w:cs="Arial"/>
          <w:color w:val="000000" w:themeColor="text1"/>
          <w:sz w:val="24"/>
          <w:szCs w:val="24"/>
        </w:rPr>
        <w:t>T</w:t>
      </w:r>
      <w:r>
        <w:rPr>
          <w:rFonts w:eastAsia="宋体" w:cs="Arial"/>
          <w:color w:val="000000" w:themeColor="text1"/>
          <w:sz w:val="24"/>
          <w:szCs w:val="24"/>
        </w:rPr>
        <w:t>日为开放日）通过规定网站、基金销售机构网站或营业网点披露开放日的各类基金份额的基金份额净值和基金份额累计净值。</w:t>
      </w:r>
    </w:p>
    <w:p w:rsidR="00BE0037" w:rsidRDefault="002D470A">
      <w:pPr>
        <w:pStyle w:val="2"/>
        <w:spacing w:line="560" w:lineRule="exact"/>
        <w:rPr>
          <w:rFonts w:ascii="Times New Roman" w:eastAsia="宋体" w:hAnsi="Times New Roman" w:cs="Arial"/>
          <w:bCs w:val="0"/>
          <w:color w:val="000000" w:themeColor="text1"/>
          <w:sz w:val="24"/>
          <w:szCs w:val="24"/>
        </w:rPr>
      </w:pPr>
      <w:bookmarkStart w:id="7" w:name="_Toc275961403"/>
      <w:r>
        <w:rPr>
          <w:rFonts w:ascii="Times New Roman" w:eastAsia="宋体" w:hAnsi="Times New Roman" w:cs="Arial"/>
          <w:bCs w:val="0"/>
          <w:color w:val="000000" w:themeColor="text1"/>
          <w:sz w:val="24"/>
          <w:szCs w:val="24"/>
        </w:rPr>
        <w:t xml:space="preserve">9 </w:t>
      </w:r>
      <w:r>
        <w:rPr>
          <w:rFonts w:ascii="Times New Roman" w:eastAsia="宋体" w:hAnsi="Times New Roman" w:cs="Arial"/>
          <w:bCs w:val="0"/>
          <w:color w:val="000000" w:themeColor="text1"/>
          <w:sz w:val="24"/>
          <w:szCs w:val="24"/>
        </w:rPr>
        <w:t>其他需要提示的事项</w:t>
      </w:r>
      <w:bookmarkEnd w:id="7"/>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w:t>
      </w:r>
      <w:r>
        <w:rPr>
          <w:rFonts w:eastAsia="宋体" w:cs="Arial"/>
          <w:color w:val="000000" w:themeColor="text1"/>
          <w:sz w:val="24"/>
          <w:szCs w:val="24"/>
        </w:rPr>
        <w:t>1</w:t>
      </w:r>
      <w:r>
        <w:rPr>
          <w:rFonts w:eastAsia="宋体" w:cs="Arial"/>
          <w:color w:val="000000" w:themeColor="text1"/>
          <w:sz w:val="24"/>
          <w:szCs w:val="24"/>
        </w:rPr>
        <w:t>）本基金对于每份基金份额设定</w:t>
      </w:r>
      <w:r>
        <w:rPr>
          <w:rFonts w:eastAsia="宋体" w:cs="Arial"/>
          <w:color w:val="000000" w:themeColor="text1"/>
          <w:sz w:val="24"/>
          <w:szCs w:val="24"/>
        </w:rPr>
        <w:t>30</w:t>
      </w:r>
      <w:r>
        <w:rPr>
          <w:rFonts w:eastAsia="宋体" w:cs="Arial"/>
          <w:color w:val="000000" w:themeColor="text1"/>
          <w:sz w:val="24"/>
          <w:szCs w:val="24"/>
        </w:rPr>
        <w:t>天的滚动运作期限，即：每个运作期到期日前，基金份额持有人不能提出赎回</w:t>
      </w:r>
      <w:r>
        <w:rPr>
          <w:rFonts w:eastAsia="宋体" w:cs="Arial"/>
          <w:color w:val="000000" w:themeColor="text1"/>
          <w:sz w:val="24"/>
          <w:szCs w:val="24"/>
        </w:rPr>
        <w:t>/</w:t>
      </w:r>
      <w:r>
        <w:rPr>
          <w:rFonts w:eastAsia="宋体" w:cs="Arial"/>
          <w:color w:val="000000" w:themeColor="text1"/>
          <w:sz w:val="24"/>
          <w:szCs w:val="24"/>
        </w:rPr>
        <w:t>转换转出申请；每个运作期到期日，基金份额持有人可提出赎回</w:t>
      </w:r>
      <w:r>
        <w:rPr>
          <w:rFonts w:eastAsia="宋体" w:cs="Arial"/>
          <w:color w:val="000000" w:themeColor="text1"/>
          <w:sz w:val="24"/>
          <w:szCs w:val="24"/>
        </w:rPr>
        <w:t>/</w:t>
      </w:r>
      <w:r>
        <w:rPr>
          <w:rFonts w:eastAsia="宋体" w:cs="Arial"/>
          <w:color w:val="000000" w:themeColor="text1"/>
          <w:sz w:val="24"/>
          <w:szCs w:val="24"/>
        </w:rPr>
        <w:t>转换转出申请。如果基金份额持有人在当期运作期到期日未申请赎回</w:t>
      </w:r>
      <w:r>
        <w:rPr>
          <w:rFonts w:eastAsia="宋体" w:cs="Arial"/>
          <w:color w:val="000000" w:themeColor="text1"/>
          <w:sz w:val="24"/>
          <w:szCs w:val="24"/>
        </w:rPr>
        <w:t>/</w:t>
      </w:r>
      <w:r>
        <w:rPr>
          <w:rFonts w:eastAsia="宋体" w:cs="Arial"/>
          <w:color w:val="000000" w:themeColor="text1"/>
          <w:sz w:val="24"/>
          <w:szCs w:val="24"/>
        </w:rPr>
        <w:t>转换转出或赎回</w:t>
      </w:r>
      <w:r>
        <w:rPr>
          <w:rFonts w:eastAsia="宋体" w:cs="Arial"/>
          <w:color w:val="000000" w:themeColor="text1"/>
          <w:sz w:val="24"/>
          <w:szCs w:val="24"/>
        </w:rPr>
        <w:t>/</w:t>
      </w:r>
      <w:r>
        <w:rPr>
          <w:rFonts w:eastAsia="宋体" w:cs="Arial"/>
          <w:color w:val="000000" w:themeColor="text1"/>
          <w:sz w:val="24"/>
          <w:szCs w:val="24"/>
        </w:rPr>
        <w:t>转换转出被确认失败，则自该运作期到期日下一日起该基金份额进入下一个运作期。因此基金份额持有人面临在滚动运作期内不能赎回或转换转出基金份额的风险。</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w:t>
      </w:r>
      <w:r>
        <w:rPr>
          <w:rFonts w:eastAsia="宋体" w:cs="Arial"/>
          <w:color w:val="000000" w:themeColor="text1"/>
          <w:sz w:val="24"/>
          <w:szCs w:val="24"/>
        </w:rPr>
        <w:t>2</w:t>
      </w:r>
      <w:r>
        <w:rPr>
          <w:rFonts w:eastAsia="宋体" w:cs="Arial"/>
          <w:color w:val="000000" w:themeColor="text1"/>
          <w:sz w:val="24"/>
          <w:szCs w:val="24"/>
        </w:rPr>
        <w:t>）投资者通过各代销机构申购（包括定期定额申购）本基金，在不违反法律法规和基金合同的相关要求下，申购（包括定期定额申购）费率不设置折扣限制（执行固定申购费用的</w:t>
      </w:r>
      <w:r>
        <w:rPr>
          <w:rFonts w:eastAsia="宋体" w:cs="Arial"/>
          <w:color w:val="000000" w:themeColor="text1"/>
          <w:sz w:val="24"/>
          <w:szCs w:val="24"/>
        </w:rPr>
        <w:t>除外），具体折扣费率以各代销机构的官方公告为准。基金原费率请详见基金合同、招募说明书（更新）、基金产品资料概要（更新）等法律文件，以及本公司发布的最新业务公告。</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w:t>
      </w:r>
      <w:r>
        <w:rPr>
          <w:rFonts w:eastAsia="宋体" w:cs="Arial"/>
          <w:color w:val="000000" w:themeColor="text1"/>
          <w:sz w:val="24"/>
          <w:szCs w:val="24"/>
        </w:rPr>
        <w:t>3</w:t>
      </w:r>
      <w:r>
        <w:rPr>
          <w:rFonts w:eastAsia="宋体" w:cs="Arial"/>
          <w:color w:val="000000" w:themeColor="text1"/>
          <w:sz w:val="24"/>
          <w:szCs w:val="24"/>
        </w:rPr>
        <w:t>）本公告仅对本基金开放申购、赎回、转换及开通定期定额投资业务的有关事项予以说明。投资者欲了解本基金的详细情况，请详细阅读披露在本公司网站（</w:t>
      </w:r>
      <w:r>
        <w:rPr>
          <w:rFonts w:eastAsia="宋体" w:cs="Arial"/>
          <w:color w:val="000000" w:themeColor="text1"/>
          <w:sz w:val="24"/>
          <w:szCs w:val="24"/>
        </w:rPr>
        <w:t>www.hftfund.com</w:t>
      </w:r>
      <w:r>
        <w:rPr>
          <w:rFonts w:eastAsia="宋体" w:cs="Arial"/>
          <w:color w:val="000000" w:themeColor="text1"/>
          <w:sz w:val="24"/>
          <w:szCs w:val="24"/>
        </w:rPr>
        <w:t>）上的《海富通瑞颐</w:t>
      </w:r>
      <w:r>
        <w:rPr>
          <w:rFonts w:eastAsia="宋体" w:cs="Arial"/>
          <w:color w:val="000000" w:themeColor="text1"/>
          <w:sz w:val="24"/>
          <w:szCs w:val="24"/>
        </w:rPr>
        <w:t>30</w:t>
      </w:r>
      <w:r>
        <w:rPr>
          <w:rFonts w:eastAsia="宋体" w:cs="Arial"/>
          <w:color w:val="000000" w:themeColor="text1"/>
          <w:sz w:val="24"/>
          <w:szCs w:val="24"/>
        </w:rPr>
        <w:t>天滚动持有债券型证券投资基金招募说明书》、《海富通瑞颐</w:t>
      </w:r>
      <w:r>
        <w:rPr>
          <w:rFonts w:eastAsia="宋体" w:cs="Arial"/>
          <w:color w:val="000000" w:themeColor="text1"/>
          <w:sz w:val="24"/>
          <w:szCs w:val="24"/>
        </w:rPr>
        <w:t>30</w:t>
      </w:r>
      <w:r>
        <w:rPr>
          <w:rFonts w:eastAsia="宋体" w:cs="Arial"/>
          <w:color w:val="000000" w:themeColor="text1"/>
          <w:sz w:val="24"/>
          <w:szCs w:val="24"/>
        </w:rPr>
        <w:t>天滚动持有债券型证券投资基金基金合同》等法律文件及最新公告。</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w:t>
      </w:r>
      <w:r>
        <w:rPr>
          <w:rFonts w:eastAsia="宋体" w:cs="Arial"/>
          <w:color w:val="000000" w:themeColor="text1"/>
          <w:sz w:val="24"/>
          <w:szCs w:val="24"/>
        </w:rPr>
        <w:t>4</w:t>
      </w:r>
      <w:r>
        <w:rPr>
          <w:rFonts w:eastAsia="宋体" w:cs="Arial"/>
          <w:color w:val="000000" w:themeColor="text1"/>
          <w:sz w:val="24"/>
          <w:szCs w:val="24"/>
        </w:rPr>
        <w:t>）对未开设销售网点地区的投资者及</w:t>
      </w:r>
      <w:r>
        <w:rPr>
          <w:rFonts w:eastAsia="宋体" w:cs="Arial"/>
          <w:color w:val="000000" w:themeColor="text1"/>
          <w:sz w:val="24"/>
          <w:szCs w:val="24"/>
        </w:rPr>
        <w:t>希望了解本基金其他有关信息的投资者，亦可拨打本公司的客户服务电话（</w:t>
      </w:r>
      <w:r>
        <w:rPr>
          <w:rFonts w:eastAsia="宋体" w:cs="Arial"/>
          <w:color w:val="000000" w:themeColor="text1"/>
          <w:sz w:val="24"/>
          <w:szCs w:val="24"/>
        </w:rPr>
        <w:t>40088-40099</w:t>
      </w:r>
      <w:r>
        <w:rPr>
          <w:rFonts w:eastAsia="宋体" w:cs="Arial"/>
          <w:color w:val="000000" w:themeColor="text1"/>
          <w:sz w:val="24"/>
          <w:szCs w:val="24"/>
        </w:rPr>
        <w:t>）垂询相关事宜。</w:t>
      </w: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w:t>
      </w:r>
      <w:r>
        <w:rPr>
          <w:rFonts w:eastAsia="宋体" w:cs="Arial"/>
          <w:color w:val="000000" w:themeColor="text1"/>
          <w:sz w:val="24"/>
          <w:szCs w:val="24"/>
        </w:rPr>
        <w:t>5</w:t>
      </w:r>
      <w:r>
        <w:rPr>
          <w:rFonts w:eastAsia="宋体" w:cs="Arial"/>
          <w:color w:val="000000" w:themeColor="text1"/>
          <w:sz w:val="24"/>
          <w:szCs w:val="24"/>
        </w:rPr>
        <w:t>）风险提示：本基金管理人承诺以诚实信用、勤勉尽责的原则管理和运用基金资产，但不保证基金一定盈利，也不保证最低收益。敬请投资者于投资前认真阅读本基金的基金合同、招募说明书和</w:t>
      </w:r>
      <w:r w:rsidR="00FB1272">
        <w:rPr>
          <w:rFonts w:eastAsia="宋体" w:cs="Arial" w:hint="eastAsia"/>
          <w:color w:val="000000" w:themeColor="text1"/>
          <w:sz w:val="24"/>
          <w:szCs w:val="24"/>
        </w:rPr>
        <w:t>基金产品资料概要</w:t>
      </w:r>
      <w:r>
        <w:rPr>
          <w:rFonts w:eastAsia="宋体" w:cs="Arial"/>
          <w:color w:val="000000" w:themeColor="text1"/>
          <w:sz w:val="24"/>
          <w:szCs w:val="24"/>
        </w:rPr>
        <w:t>等信息披露文件，全面认识本基金的风险收益特征和产品特性，并充分考虑自身的风险承受能力，理性判断市场，谨慎做出投资决策。</w:t>
      </w:r>
    </w:p>
    <w:p w:rsidR="00BE0037" w:rsidRDefault="00BE0037">
      <w:pPr>
        <w:spacing w:line="360" w:lineRule="auto"/>
        <w:ind w:firstLineChars="200" w:firstLine="480"/>
        <w:rPr>
          <w:rFonts w:eastAsia="宋体" w:cs="Arial"/>
          <w:color w:val="000000" w:themeColor="text1"/>
          <w:sz w:val="24"/>
          <w:szCs w:val="24"/>
        </w:rPr>
      </w:pPr>
    </w:p>
    <w:p w:rsidR="00BE0037" w:rsidRDefault="002D470A">
      <w:pPr>
        <w:spacing w:line="360" w:lineRule="auto"/>
        <w:ind w:firstLineChars="200" w:firstLine="480"/>
        <w:rPr>
          <w:rFonts w:eastAsia="宋体" w:cs="Arial"/>
          <w:color w:val="000000" w:themeColor="text1"/>
          <w:sz w:val="24"/>
          <w:szCs w:val="24"/>
        </w:rPr>
      </w:pPr>
      <w:r>
        <w:rPr>
          <w:rFonts w:eastAsia="宋体" w:cs="Arial"/>
          <w:color w:val="000000" w:themeColor="text1"/>
          <w:sz w:val="24"/>
          <w:szCs w:val="24"/>
        </w:rPr>
        <w:t>特此公告。</w:t>
      </w:r>
    </w:p>
    <w:p w:rsidR="00BE0037" w:rsidRDefault="00BE0037">
      <w:pPr>
        <w:spacing w:line="360" w:lineRule="auto"/>
        <w:ind w:firstLineChars="200" w:firstLine="480"/>
        <w:rPr>
          <w:rFonts w:eastAsia="宋体" w:cs="Arial"/>
          <w:color w:val="000000" w:themeColor="text1"/>
          <w:sz w:val="24"/>
          <w:szCs w:val="24"/>
        </w:rPr>
      </w:pPr>
    </w:p>
    <w:p w:rsidR="00BE0037" w:rsidRDefault="00BE0037">
      <w:pPr>
        <w:spacing w:line="360" w:lineRule="auto"/>
        <w:ind w:firstLineChars="200" w:firstLine="480"/>
        <w:rPr>
          <w:rFonts w:eastAsia="宋体" w:cs="Arial"/>
          <w:color w:val="000000" w:themeColor="text1"/>
          <w:sz w:val="24"/>
          <w:szCs w:val="24"/>
        </w:rPr>
      </w:pPr>
    </w:p>
    <w:p w:rsidR="00BE0037" w:rsidRDefault="002D470A">
      <w:pPr>
        <w:spacing w:line="360" w:lineRule="auto"/>
        <w:ind w:firstLineChars="200" w:firstLine="480"/>
        <w:jc w:val="right"/>
        <w:rPr>
          <w:rFonts w:eastAsia="宋体" w:cs="Arial"/>
          <w:color w:val="000000" w:themeColor="text1"/>
          <w:sz w:val="24"/>
          <w:szCs w:val="24"/>
        </w:rPr>
      </w:pPr>
      <w:r>
        <w:rPr>
          <w:rFonts w:eastAsia="宋体" w:cs="Arial"/>
          <w:color w:val="000000" w:themeColor="text1"/>
          <w:sz w:val="24"/>
          <w:szCs w:val="24"/>
        </w:rPr>
        <w:t>海富通基金管理有限公司</w:t>
      </w:r>
    </w:p>
    <w:p w:rsidR="00BE0037" w:rsidRDefault="002D470A">
      <w:pPr>
        <w:spacing w:line="360" w:lineRule="auto"/>
        <w:ind w:firstLineChars="200" w:firstLine="480"/>
        <w:jc w:val="right"/>
        <w:rPr>
          <w:rFonts w:eastAsia="宋体" w:cs="Arial"/>
          <w:color w:val="000000" w:themeColor="text1"/>
          <w:sz w:val="24"/>
          <w:szCs w:val="24"/>
        </w:rPr>
      </w:pPr>
      <w:r>
        <w:rPr>
          <w:rFonts w:eastAsia="宋体" w:cs="Arial"/>
          <w:color w:val="000000" w:themeColor="text1"/>
          <w:sz w:val="24"/>
          <w:szCs w:val="24"/>
        </w:rPr>
        <w:t>2026</w:t>
      </w:r>
      <w:r>
        <w:rPr>
          <w:rFonts w:eastAsia="宋体" w:cs="Arial"/>
          <w:color w:val="000000" w:themeColor="text1"/>
          <w:sz w:val="24"/>
          <w:szCs w:val="24"/>
        </w:rPr>
        <w:t>年</w:t>
      </w:r>
      <w:r>
        <w:rPr>
          <w:rFonts w:eastAsia="宋体" w:cs="Arial"/>
          <w:color w:val="000000" w:themeColor="text1"/>
          <w:sz w:val="24"/>
          <w:szCs w:val="24"/>
        </w:rPr>
        <w:t>2</w:t>
      </w:r>
      <w:r>
        <w:rPr>
          <w:rFonts w:eastAsia="宋体" w:cs="Arial"/>
          <w:color w:val="000000" w:themeColor="text1"/>
          <w:sz w:val="24"/>
          <w:szCs w:val="24"/>
        </w:rPr>
        <w:t>月</w:t>
      </w:r>
      <w:r>
        <w:rPr>
          <w:rFonts w:eastAsia="宋体" w:cs="Arial"/>
          <w:color w:val="000000" w:themeColor="text1"/>
          <w:sz w:val="24"/>
          <w:szCs w:val="24"/>
        </w:rPr>
        <w:t>12</w:t>
      </w:r>
      <w:r>
        <w:rPr>
          <w:rFonts w:eastAsia="宋体" w:cs="Arial"/>
          <w:color w:val="000000" w:themeColor="text1"/>
          <w:sz w:val="24"/>
          <w:szCs w:val="24"/>
        </w:rPr>
        <w:t>日</w:t>
      </w:r>
    </w:p>
    <w:sectPr w:rsidR="00BE0037" w:rsidSect="007E65A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AC6" w:rsidRDefault="00CC7AC6" w:rsidP="000477B9">
      <w:r>
        <w:separator/>
      </w:r>
    </w:p>
  </w:endnote>
  <w:endnote w:type="continuationSeparator" w:id="0">
    <w:p w:rsidR="00CC7AC6" w:rsidRDefault="00CC7AC6" w:rsidP="00047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148250"/>
      <w:docPartObj>
        <w:docPartGallery w:val="Page Numbers (Bottom of Page)"/>
        <w:docPartUnique/>
      </w:docPartObj>
    </w:sdtPr>
    <w:sdtContent>
      <w:p w:rsidR="00A479E6" w:rsidRDefault="007E65AD">
        <w:pPr>
          <w:pStyle w:val="a6"/>
          <w:jc w:val="center"/>
        </w:pPr>
        <w:r>
          <w:fldChar w:fldCharType="begin"/>
        </w:r>
        <w:r w:rsidR="00A479E6">
          <w:instrText>PAGE   \* MERGEFORMAT</w:instrText>
        </w:r>
        <w:r>
          <w:fldChar w:fldCharType="separate"/>
        </w:r>
        <w:r w:rsidR="002D470A" w:rsidRPr="002D470A">
          <w:rPr>
            <w:noProof/>
            <w:lang w:val="zh-CN"/>
          </w:rPr>
          <w:t>1</w:t>
        </w:r>
        <w:r>
          <w:fldChar w:fldCharType="end"/>
        </w:r>
      </w:p>
    </w:sdtContent>
  </w:sdt>
  <w:p w:rsidR="00A479E6" w:rsidRDefault="00A479E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AC6" w:rsidRDefault="00CC7AC6" w:rsidP="000477B9">
      <w:r>
        <w:separator/>
      </w:r>
    </w:p>
  </w:footnote>
  <w:footnote w:type="continuationSeparator" w:id="0">
    <w:p w:rsidR="00CC7AC6" w:rsidRDefault="00CC7AC6" w:rsidP="000477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A9C"/>
    <w:rsid w:val="00003A4B"/>
    <w:rsid w:val="0000459F"/>
    <w:rsid w:val="00004E9F"/>
    <w:rsid w:val="00011C60"/>
    <w:rsid w:val="00012C5D"/>
    <w:rsid w:val="00013CD4"/>
    <w:rsid w:val="000164E2"/>
    <w:rsid w:val="00017947"/>
    <w:rsid w:val="00020B19"/>
    <w:rsid w:val="000269EE"/>
    <w:rsid w:val="000279D7"/>
    <w:rsid w:val="000366AE"/>
    <w:rsid w:val="00037B67"/>
    <w:rsid w:val="00041353"/>
    <w:rsid w:val="000477B9"/>
    <w:rsid w:val="00054611"/>
    <w:rsid w:val="00054868"/>
    <w:rsid w:val="000617C4"/>
    <w:rsid w:val="000653E7"/>
    <w:rsid w:val="00072D89"/>
    <w:rsid w:val="000740C5"/>
    <w:rsid w:val="00077CCC"/>
    <w:rsid w:val="00083519"/>
    <w:rsid w:val="00084483"/>
    <w:rsid w:val="00085B71"/>
    <w:rsid w:val="00091B49"/>
    <w:rsid w:val="00091CE1"/>
    <w:rsid w:val="000924CB"/>
    <w:rsid w:val="0009614A"/>
    <w:rsid w:val="000A1BE1"/>
    <w:rsid w:val="000A75EC"/>
    <w:rsid w:val="000B4EA9"/>
    <w:rsid w:val="000B693A"/>
    <w:rsid w:val="000B6CD4"/>
    <w:rsid w:val="000B796E"/>
    <w:rsid w:val="000C0E5C"/>
    <w:rsid w:val="000C6D76"/>
    <w:rsid w:val="000C6ECC"/>
    <w:rsid w:val="000C754B"/>
    <w:rsid w:val="000C7A38"/>
    <w:rsid w:val="000D6EB6"/>
    <w:rsid w:val="000E2669"/>
    <w:rsid w:val="000E284F"/>
    <w:rsid w:val="000E3B1B"/>
    <w:rsid w:val="000E75AA"/>
    <w:rsid w:val="000F05A0"/>
    <w:rsid w:val="000F1656"/>
    <w:rsid w:val="000F2BA6"/>
    <w:rsid w:val="000F343E"/>
    <w:rsid w:val="000F55B4"/>
    <w:rsid w:val="000F5E86"/>
    <w:rsid w:val="000F6A9C"/>
    <w:rsid w:val="00100929"/>
    <w:rsid w:val="00101A1F"/>
    <w:rsid w:val="001061EA"/>
    <w:rsid w:val="00106A4E"/>
    <w:rsid w:val="00110DAC"/>
    <w:rsid w:val="001171ED"/>
    <w:rsid w:val="00122706"/>
    <w:rsid w:val="00123A11"/>
    <w:rsid w:val="00124081"/>
    <w:rsid w:val="00133242"/>
    <w:rsid w:val="0013444B"/>
    <w:rsid w:val="0013598F"/>
    <w:rsid w:val="00135AD8"/>
    <w:rsid w:val="00143F57"/>
    <w:rsid w:val="001451C2"/>
    <w:rsid w:val="00147770"/>
    <w:rsid w:val="00150C39"/>
    <w:rsid w:val="00151909"/>
    <w:rsid w:val="001522C5"/>
    <w:rsid w:val="0015320A"/>
    <w:rsid w:val="00157677"/>
    <w:rsid w:val="00161B29"/>
    <w:rsid w:val="00162C18"/>
    <w:rsid w:val="00164E54"/>
    <w:rsid w:val="00170676"/>
    <w:rsid w:val="00174D9C"/>
    <w:rsid w:val="00175231"/>
    <w:rsid w:val="00182569"/>
    <w:rsid w:val="00187B07"/>
    <w:rsid w:val="001907AB"/>
    <w:rsid w:val="0019121A"/>
    <w:rsid w:val="00195B31"/>
    <w:rsid w:val="001A09BE"/>
    <w:rsid w:val="001A23A3"/>
    <w:rsid w:val="001A2971"/>
    <w:rsid w:val="001A2A14"/>
    <w:rsid w:val="001A4FEC"/>
    <w:rsid w:val="001A525B"/>
    <w:rsid w:val="001B016A"/>
    <w:rsid w:val="001B0ACA"/>
    <w:rsid w:val="001B3528"/>
    <w:rsid w:val="001B5E34"/>
    <w:rsid w:val="001C0E10"/>
    <w:rsid w:val="001C0FAC"/>
    <w:rsid w:val="001C49C6"/>
    <w:rsid w:val="001C50AA"/>
    <w:rsid w:val="001C6A7E"/>
    <w:rsid w:val="001D0D00"/>
    <w:rsid w:val="001D24D4"/>
    <w:rsid w:val="001D699B"/>
    <w:rsid w:val="001F420C"/>
    <w:rsid w:val="00201347"/>
    <w:rsid w:val="00205AF1"/>
    <w:rsid w:val="002069B7"/>
    <w:rsid w:val="00210401"/>
    <w:rsid w:val="002118CE"/>
    <w:rsid w:val="0021249B"/>
    <w:rsid w:val="00215C39"/>
    <w:rsid w:val="002240B2"/>
    <w:rsid w:val="00224357"/>
    <w:rsid w:val="002254E5"/>
    <w:rsid w:val="0022703F"/>
    <w:rsid w:val="00231B48"/>
    <w:rsid w:val="00232CEC"/>
    <w:rsid w:val="00232EBD"/>
    <w:rsid w:val="00234D40"/>
    <w:rsid w:val="0023745E"/>
    <w:rsid w:val="00242453"/>
    <w:rsid w:val="00246CF2"/>
    <w:rsid w:val="002509E8"/>
    <w:rsid w:val="002520E1"/>
    <w:rsid w:val="00254B4D"/>
    <w:rsid w:val="00257DAE"/>
    <w:rsid w:val="00260B5C"/>
    <w:rsid w:val="00263968"/>
    <w:rsid w:val="00264DEF"/>
    <w:rsid w:val="00265716"/>
    <w:rsid w:val="00267A58"/>
    <w:rsid w:val="0027084D"/>
    <w:rsid w:val="002755CB"/>
    <w:rsid w:val="00285BD4"/>
    <w:rsid w:val="00290413"/>
    <w:rsid w:val="00293D21"/>
    <w:rsid w:val="002968E5"/>
    <w:rsid w:val="002A1D43"/>
    <w:rsid w:val="002A73B6"/>
    <w:rsid w:val="002A7F10"/>
    <w:rsid w:val="002B4521"/>
    <w:rsid w:val="002B6AB6"/>
    <w:rsid w:val="002B7651"/>
    <w:rsid w:val="002C27FD"/>
    <w:rsid w:val="002D00D2"/>
    <w:rsid w:val="002D3868"/>
    <w:rsid w:val="002D470A"/>
    <w:rsid w:val="002D4E4E"/>
    <w:rsid w:val="002D4E80"/>
    <w:rsid w:val="002D539E"/>
    <w:rsid w:val="002E1BB7"/>
    <w:rsid w:val="002E3D34"/>
    <w:rsid w:val="002E6102"/>
    <w:rsid w:val="002E6B59"/>
    <w:rsid w:val="00304E59"/>
    <w:rsid w:val="00312B62"/>
    <w:rsid w:val="00315737"/>
    <w:rsid w:val="00315D37"/>
    <w:rsid w:val="00331DF8"/>
    <w:rsid w:val="0033420A"/>
    <w:rsid w:val="00336DA2"/>
    <w:rsid w:val="00337F2E"/>
    <w:rsid w:val="00341B6E"/>
    <w:rsid w:val="003436DA"/>
    <w:rsid w:val="003459F0"/>
    <w:rsid w:val="00347C5C"/>
    <w:rsid w:val="0035532F"/>
    <w:rsid w:val="00355537"/>
    <w:rsid w:val="00357CFC"/>
    <w:rsid w:val="00360B90"/>
    <w:rsid w:val="00361F15"/>
    <w:rsid w:val="00363187"/>
    <w:rsid w:val="0036468A"/>
    <w:rsid w:val="00367A2C"/>
    <w:rsid w:val="00373285"/>
    <w:rsid w:val="00375C5E"/>
    <w:rsid w:val="00376C12"/>
    <w:rsid w:val="003840D7"/>
    <w:rsid w:val="003902C4"/>
    <w:rsid w:val="00390A28"/>
    <w:rsid w:val="003A1B36"/>
    <w:rsid w:val="003A38F2"/>
    <w:rsid w:val="003A493E"/>
    <w:rsid w:val="003B772F"/>
    <w:rsid w:val="003C0EB1"/>
    <w:rsid w:val="003C3FC5"/>
    <w:rsid w:val="003D1EB9"/>
    <w:rsid w:val="003D3176"/>
    <w:rsid w:val="003D6967"/>
    <w:rsid w:val="003E0CC3"/>
    <w:rsid w:val="003E516C"/>
    <w:rsid w:val="003F2EDF"/>
    <w:rsid w:val="0040437F"/>
    <w:rsid w:val="00410681"/>
    <w:rsid w:val="00412DE1"/>
    <w:rsid w:val="00414FBB"/>
    <w:rsid w:val="00415418"/>
    <w:rsid w:val="00415A69"/>
    <w:rsid w:val="0043398D"/>
    <w:rsid w:val="004371A9"/>
    <w:rsid w:val="0044016F"/>
    <w:rsid w:val="00440864"/>
    <w:rsid w:val="00440E99"/>
    <w:rsid w:val="00440F44"/>
    <w:rsid w:val="00447767"/>
    <w:rsid w:val="00457C37"/>
    <w:rsid w:val="004624B7"/>
    <w:rsid w:val="00462584"/>
    <w:rsid w:val="004662BA"/>
    <w:rsid w:val="00483265"/>
    <w:rsid w:val="0048509A"/>
    <w:rsid w:val="004966BA"/>
    <w:rsid w:val="0049711E"/>
    <w:rsid w:val="004B2AE4"/>
    <w:rsid w:val="004B3769"/>
    <w:rsid w:val="004B7622"/>
    <w:rsid w:val="004C7465"/>
    <w:rsid w:val="004D115A"/>
    <w:rsid w:val="004D290A"/>
    <w:rsid w:val="004E2F24"/>
    <w:rsid w:val="004E71B6"/>
    <w:rsid w:val="004F0E62"/>
    <w:rsid w:val="004F1775"/>
    <w:rsid w:val="004F496A"/>
    <w:rsid w:val="0050050D"/>
    <w:rsid w:val="00504466"/>
    <w:rsid w:val="00507DD6"/>
    <w:rsid w:val="00524D7A"/>
    <w:rsid w:val="00525F0A"/>
    <w:rsid w:val="00526488"/>
    <w:rsid w:val="005274CF"/>
    <w:rsid w:val="00537808"/>
    <w:rsid w:val="0054219A"/>
    <w:rsid w:val="0054597D"/>
    <w:rsid w:val="00546214"/>
    <w:rsid w:val="00547925"/>
    <w:rsid w:val="00550203"/>
    <w:rsid w:val="005508A0"/>
    <w:rsid w:val="00560D11"/>
    <w:rsid w:val="00561800"/>
    <w:rsid w:val="00565456"/>
    <w:rsid w:val="00565AD6"/>
    <w:rsid w:val="00574EC0"/>
    <w:rsid w:val="00580453"/>
    <w:rsid w:val="00591340"/>
    <w:rsid w:val="005920EB"/>
    <w:rsid w:val="00592D79"/>
    <w:rsid w:val="005953D3"/>
    <w:rsid w:val="00595DF4"/>
    <w:rsid w:val="0059628C"/>
    <w:rsid w:val="005A7BC8"/>
    <w:rsid w:val="005B15EF"/>
    <w:rsid w:val="005B3EE0"/>
    <w:rsid w:val="005B4979"/>
    <w:rsid w:val="005B5AE8"/>
    <w:rsid w:val="005C44FF"/>
    <w:rsid w:val="005C7221"/>
    <w:rsid w:val="005C777B"/>
    <w:rsid w:val="005D21E2"/>
    <w:rsid w:val="005D589C"/>
    <w:rsid w:val="005D77E7"/>
    <w:rsid w:val="005D7C0A"/>
    <w:rsid w:val="005E087F"/>
    <w:rsid w:val="005E10BC"/>
    <w:rsid w:val="005E21DB"/>
    <w:rsid w:val="005E3190"/>
    <w:rsid w:val="005E7139"/>
    <w:rsid w:val="005F6466"/>
    <w:rsid w:val="006024D9"/>
    <w:rsid w:val="0060560F"/>
    <w:rsid w:val="0061158D"/>
    <w:rsid w:val="006203B9"/>
    <w:rsid w:val="00622A72"/>
    <w:rsid w:val="006279F3"/>
    <w:rsid w:val="006320FF"/>
    <w:rsid w:val="00632D60"/>
    <w:rsid w:val="006357B1"/>
    <w:rsid w:val="0064280A"/>
    <w:rsid w:val="00644E22"/>
    <w:rsid w:val="006470D2"/>
    <w:rsid w:val="00650206"/>
    <w:rsid w:val="00651CF0"/>
    <w:rsid w:val="00652629"/>
    <w:rsid w:val="00653026"/>
    <w:rsid w:val="0065383C"/>
    <w:rsid w:val="00655E53"/>
    <w:rsid w:val="00663BDA"/>
    <w:rsid w:val="00674C14"/>
    <w:rsid w:val="00681B01"/>
    <w:rsid w:val="00686ABA"/>
    <w:rsid w:val="0069042B"/>
    <w:rsid w:val="00693615"/>
    <w:rsid w:val="006A1302"/>
    <w:rsid w:val="006A30F4"/>
    <w:rsid w:val="006A7158"/>
    <w:rsid w:val="006B6F63"/>
    <w:rsid w:val="006C085F"/>
    <w:rsid w:val="006C4A6A"/>
    <w:rsid w:val="006D01FE"/>
    <w:rsid w:val="006E1324"/>
    <w:rsid w:val="006E1BFF"/>
    <w:rsid w:val="006E50ED"/>
    <w:rsid w:val="006E6A6A"/>
    <w:rsid w:val="006F2E2E"/>
    <w:rsid w:val="006F336E"/>
    <w:rsid w:val="006F5DCD"/>
    <w:rsid w:val="007057EA"/>
    <w:rsid w:val="007068D3"/>
    <w:rsid w:val="00707D95"/>
    <w:rsid w:val="00716914"/>
    <w:rsid w:val="00716ABC"/>
    <w:rsid w:val="0072101E"/>
    <w:rsid w:val="00725597"/>
    <w:rsid w:val="00730DEB"/>
    <w:rsid w:val="0073160A"/>
    <w:rsid w:val="00735C02"/>
    <w:rsid w:val="00735E37"/>
    <w:rsid w:val="00736D39"/>
    <w:rsid w:val="00741EC9"/>
    <w:rsid w:val="0074415C"/>
    <w:rsid w:val="00752A9C"/>
    <w:rsid w:val="00753E11"/>
    <w:rsid w:val="0075433A"/>
    <w:rsid w:val="00755A3D"/>
    <w:rsid w:val="0075767F"/>
    <w:rsid w:val="00764D2F"/>
    <w:rsid w:val="00773B9E"/>
    <w:rsid w:val="007759B5"/>
    <w:rsid w:val="007811C4"/>
    <w:rsid w:val="0078641E"/>
    <w:rsid w:val="00786CB3"/>
    <w:rsid w:val="00795342"/>
    <w:rsid w:val="007A2674"/>
    <w:rsid w:val="007A5C38"/>
    <w:rsid w:val="007C16DF"/>
    <w:rsid w:val="007D0009"/>
    <w:rsid w:val="007D02B4"/>
    <w:rsid w:val="007D10CA"/>
    <w:rsid w:val="007E5255"/>
    <w:rsid w:val="007E65AD"/>
    <w:rsid w:val="007E7D4C"/>
    <w:rsid w:val="007F2580"/>
    <w:rsid w:val="007F3216"/>
    <w:rsid w:val="007F3368"/>
    <w:rsid w:val="007F69D2"/>
    <w:rsid w:val="007F6DE5"/>
    <w:rsid w:val="00810BF2"/>
    <w:rsid w:val="0081625F"/>
    <w:rsid w:val="008169CD"/>
    <w:rsid w:val="00820685"/>
    <w:rsid w:val="008214E0"/>
    <w:rsid w:val="0082170B"/>
    <w:rsid w:val="00823C25"/>
    <w:rsid w:val="0082483B"/>
    <w:rsid w:val="00833E90"/>
    <w:rsid w:val="0083409B"/>
    <w:rsid w:val="00837D84"/>
    <w:rsid w:val="008401BB"/>
    <w:rsid w:val="0084039B"/>
    <w:rsid w:val="008430A6"/>
    <w:rsid w:val="00844443"/>
    <w:rsid w:val="00846B22"/>
    <w:rsid w:val="00847486"/>
    <w:rsid w:val="008518F6"/>
    <w:rsid w:val="008546B5"/>
    <w:rsid w:val="00855587"/>
    <w:rsid w:val="0085657E"/>
    <w:rsid w:val="00856EC5"/>
    <w:rsid w:val="008571C7"/>
    <w:rsid w:val="008668F9"/>
    <w:rsid w:val="00873156"/>
    <w:rsid w:val="008804F9"/>
    <w:rsid w:val="00881D75"/>
    <w:rsid w:val="0088405F"/>
    <w:rsid w:val="00885086"/>
    <w:rsid w:val="00890942"/>
    <w:rsid w:val="00895CA3"/>
    <w:rsid w:val="0089726C"/>
    <w:rsid w:val="008A1202"/>
    <w:rsid w:val="008A2C93"/>
    <w:rsid w:val="008A4AC4"/>
    <w:rsid w:val="008B563A"/>
    <w:rsid w:val="008B56E6"/>
    <w:rsid w:val="008C7D70"/>
    <w:rsid w:val="008E1212"/>
    <w:rsid w:val="008E1998"/>
    <w:rsid w:val="008E273C"/>
    <w:rsid w:val="008E2DFD"/>
    <w:rsid w:val="008F1793"/>
    <w:rsid w:val="008F1BFB"/>
    <w:rsid w:val="008F61C7"/>
    <w:rsid w:val="008F6E62"/>
    <w:rsid w:val="00900EE9"/>
    <w:rsid w:val="009049E4"/>
    <w:rsid w:val="009062B4"/>
    <w:rsid w:val="009107B5"/>
    <w:rsid w:val="009118F8"/>
    <w:rsid w:val="00911D9B"/>
    <w:rsid w:val="00917F38"/>
    <w:rsid w:val="00920EF4"/>
    <w:rsid w:val="00923E00"/>
    <w:rsid w:val="00924526"/>
    <w:rsid w:val="0092463E"/>
    <w:rsid w:val="00937522"/>
    <w:rsid w:val="00946F8D"/>
    <w:rsid w:val="00952190"/>
    <w:rsid w:val="00953DB1"/>
    <w:rsid w:val="009567E6"/>
    <w:rsid w:val="00956B0F"/>
    <w:rsid w:val="00960CA7"/>
    <w:rsid w:val="00961140"/>
    <w:rsid w:val="00961151"/>
    <w:rsid w:val="00964617"/>
    <w:rsid w:val="009648E8"/>
    <w:rsid w:val="00972A0B"/>
    <w:rsid w:val="00973F33"/>
    <w:rsid w:val="00974793"/>
    <w:rsid w:val="009945D3"/>
    <w:rsid w:val="00994773"/>
    <w:rsid w:val="00995984"/>
    <w:rsid w:val="009960F0"/>
    <w:rsid w:val="009A04D5"/>
    <w:rsid w:val="009B7B8B"/>
    <w:rsid w:val="009C7145"/>
    <w:rsid w:val="009D178E"/>
    <w:rsid w:val="009D2AF2"/>
    <w:rsid w:val="009D4FC2"/>
    <w:rsid w:val="009D5C97"/>
    <w:rsid w:val="009D7194"/>
    <w:rsid w:val="009E44FE"/>
    <w:rsid w:val="009E4724"/>
    <w:rsid w:val="009E62D3"/>
    <w:rsid w:val="009F690A"/>
    <w:rsid w:val="009F75A1"/>
    <w:rsid w:val="009F7A64"/>
    <w:rsid w:val="00A06FE3"/>
    <w:rsid w:val="00A24B1A"/>
    <w:rsid w:val="00A25789"/>
    <w:rsid w:val="00A269F4"/>
    <w:rsid w:val="00A37412"/>
    <w:rsid w:val="00A422EA"/>
    <w:rsid w:val="00A4307E"/>
    <w:rsid w:val="00A453DD"/>
    <w:rsid w:val="00A46510"/>
    <w:rsid w:val="00A479E6"/>
    <w:rsid w:val="00A5588B"/>
    <w:rsid w:val="00A62667"/>
    <w:rsid w:val="00A62BEE"/>
    <w:rsid w:val="00A7014C"/>
    <w:rsid w:val="00A70296"/>
    <w:rsid w:val="00A70EAA"/>
    <w:rsid w:val="00A7321D"/>
    <w:rsid w:val="00A802B4"/>
    <w:rsid w:val="00A8126C"/>
    <w:rsid w:val="00A845A3"/>
    <w:rsid w:val="00A852C6"/>
    <w:rsid w:val="00AA7BB3"/>
    <w:rsid w:val="00AB1908"/>
    <w:rsid w:val="00AB64ED"/>
    <w:rsid w:val="00AC049B"/>
    <w:rsid w:val="00AC655A"/>
    <w:rsid w:val="00AC6E8D"/>
    <w:rsid w:val="00AD1879"/>
    <w:rsid w:val="00AD37C4"/>
    <w:rsid w:val="00AD3E5B"/>
    <w:rsid w:val="00AD513A"/>
    <w:rsid w:val="00AD7048"/>
    <w:rsid w:val="00AE2C85"/>
    <w:rsid w:val="00AE3002"/>
    <w:rsid w:val="00AE4CDE"/>
    <w:rsid w:val="00AF42D9"/>
    <w:rsid w:val="00AF4D5F"/>
    <w:rsid w:val="00B03A82"/>
    <w:rsid w:val="00B141B7"/>
    <w:rsid w:val="00B16404"/>
    <w:rsid w:val="00B16EA2"/>
    <w:rsid w:val="00B17E44"/>
    <w:rsid w:val="00B22C15"/>
    <w:rsid w:val="00B318CC"/>
    <w:rsid w:val="00B3630B"/>
    <w:rsid w:val="00B425B0"/>
    <w:rsid w:val="00B54041"/>
    <w:rsid w:val="00B548EA"/>
    <w:rsid w:val="00B60A0E"/>
    <w:rsid w:val="00B61F06"/>
    <w:rsid w:val="00B7440E"/>
    <w:rsid w:val="00B81993"/>
    <w:rsid w:val="00B81B23"/>
    <w:rsid w:val="00B82FE7"/>
    <w:rsid w:val="00B90CAE"/>
    <w:rsid w:val="00B91E8A"/>
    <w:rsid w:val="00B94893"/>
    <w:rsid w:val="00B955E4"/>
    <w:rsid w:val="00BA3F5A"/>
    <w:rsid w:val="00BA5459"/>
    <w:rsid w:val="00BA683E"/>
    <w:rsid w:val="00BB07C4"/>
    <w:rsid w:val="00BB2FBF"/>
    <w:rsid w:val="00BB3004"/>
    <w:rsid w:val="00BB5397"/>
    <w:rsid w:val="00BC113D"/>
    <w:rsid w:val="00BC2327"/>
    <w:rsid w:val="00BC360B"/>
    <w:rsid w:val="00BC6877"/>
    <w:rsid w:val="00BD5076"/>
    <w:rsid w:val="00BD7EEF"/>
    <w:rsid w:val="00BE0037"/>
    <w:rsid w:val="00BE34B4"/>
    <w:rsid w:val="00BE3709"/>
    <w:rsid w:val="00BE616A"/>
    <w:rsid w:val="00BF0EE2"/>
    <w:rsid w:val="00BF1095"/>
    <w:rsid w:val="00BF27C6"/>
    <w:rsid w:val="00BF463B"/>
    <w:rsid w:val="00BF5035"/>
    <w:rsid w:val="00BF52A8"/>
    <w:rsid w:val="00C01E80"/>
    <w:rsid w:val="00C05EDA"/>
    <w:rsid w:val="00C119CB"/>
    <w:rsid w:val="00C11C49"/>
    <w:rsid w:val="00C136B1"/>
    <w:rsid w:val="00C1584D"/>
    <w:rsid w:val="00C22604"/>
    <w:rsid w:val="00C22DA5"/>
    <w:rsid w:val="00C25676"/>
    <w:rsid w:val="00C308D3"/>
    <w:rsid w:val="00C34D17"/>
    <w:rsid w:val="00C37CAA"/>
    <w:rsid w:val="00C41DFB"/>
    <w:rsid w:val="00C457BF"/>
    <w:rsid w:val="00C51DA1"/>
    <w:rsid w:val="00C52737"/>
    <w:rsid w:val="00C547E5"/>
    <w:rsid w:val="00C54B68"/>
    <w:rsid w:val="00C55E0D"/>
    <w:rsid w:val="00C56713"/>
    <w:rsid w:val="00C60832"/>
    <w:rsid w:val="00C65A25"/>
    <w:rsid w:val="00C65D0A"/>
    <w:rsid w:val="00C70ABB"/>
    <w:rsid w:val="00C71187"/>
    <w:rsid w:val="00C719ED"/>
    <w:rsid w:val="00C73144"/>
    <w:rsid w:val="00C733C1"/>
    <w:rsid w:val="00C812C0"/>
    <w:rsid w:val="00C81DF5"/>
    <w:rsid w:val="00C8357C"/>
    <w:rsid w:val="00C9187F"/>
    <w:rsid w:val="00C9205D"/>
    <w:rsid w:val="00C957DB"/>
    <w:rsid w:val="00C95A30"/>
    <w:rsid w:val="00CA11F0"/>
    <w:rsid w:val="00CA1363"/>
    <w:rsid w:val="00CA5733"/>
    <w:rsid w:val="00CB1793"/>
    <w:rsid w:val="00CB3ED6"/>
    <w:rsid w:val="00CB446C"/>
    <w:rsid w:val="00CC66B9"/>
    <w:rsid w:val="00CC7AC6"/>
    <w:rsid w:val="00CD1E56"/>
    <w:rsid w:val="00CD3675"/>
    <w:rsid w:val="00CD5598"/>
    <w:rsid w:val="00CD6225"/>
    <w:rsid w:val="00CE1672"/>
    <w:rsid w:val="00CE504E"/>
    <w:rsid w:val="00CE600F"/>
    <w:rsid w:val="00CF07C9"/>
    <w:rsid w:val="00CF0E16"/>
    <w:rsid w:val="00CF0FEE"/>
    <w:rsid w:val="00CF6608"/>
    <w:rsid w:val="00D04C2E"/>
    <w:rsid w:val="00D1415D"/>
    <w:rsid w:val="00D17509"/>
    <w:rsid w:val="00D2278F"/>
    <w:rsid w:val="00D25597"/>
    <w:rsid w:val="00D25B91"/>
    <w:rsid w:val="00D302EA"/>
    <w:rsid w:val="00D319BD"/>
    <w:rsid w:val="00D33A12"/>
    <w:rsid w:val="00D34300"/>
    <w:rsid w:val="00D41B1A"/>
    <w:rsid w:val="00D440D9"/>
    <w:rsid w:val="00D5306C"/>
    <w:rsid w:val="00D53A14"/>
    <w:rsid w:val="00D658B7"/>
    <w:rsid w:val="00D67BA6"/>
    <w:rsid w:val="00D763CD"/>
    <w:rsid w:val="00D76587"/>
    <w:rsid w:val="00D858B6"/>
    <w:rsid w:val="00D86159"/>
    <w:rsid w:val="00D900EC"/>
    <w:rsid w:val="00D92561"/>
    <w:rsid w:val="00D941F4"/>
    <w:rsid w:val="00D963EC"/>
    <w:rsid w:val="00DA79B5"/>
    <w:rsid w:val="00DB139F"/>
    <w:rsid w:val="00DB5487"/>
    <w:rsid w:val="00DC6552"/>
    <w:rsid w:val="00DD14D3"/>
    <w:rsid w:val="00DD777B"/>
    <w:rsid w:val="00DE05CB"/>
    <w:rsid w:val="00DE7854"/>
    <w:rsid w:val="00E038BD"/>
    <w:rsid w:val="00E24C10"/>
    <w:rsid w:val="00E253B5"/>
    <w:rsid w:val="00E35FC1"/>
    <w:rsid w:val="00E42F3D"/>
    <w:rsid w:val="00E474B5"/>
    <w:rsid w:val="00E47B8E"/>
    <w:rsid w:val="00E51934"/>
    <w:rsid w:val="00E54328"/>
    <w:rsid w:val="00E54AD1"/>
    <w:rsid w:val="00E577EF"/>
    <w:rsid w:val="00E57C57"/>
    <w:rsid w:val="00E57E24"/>
    <w:rsid w:val="00E623F1"/>
    <w:rsid w:val="00E6624D"/>
    <w:rsid w:val="00E7098F"/>
    <w:rsid w:val="00E732FA"/>
    <w:rsid w:val="00E741A5"/>
    <w:rsid w:val="00E77012"/>
    <w:rsid w:val="00E822CA"/>
    <w:rsid w:val="00E87B0B"/>
    <w:rsid w:val="00E9589B"/>
    <w:rsid w:val="00EA0445"/>
    <w:rsid w:val="00EA1CE4"/>
    <w:rsid w:val="00EA418A"/>
    <w:rsid w:val="00EA68BB"/>
    <w:rsid w:val="00EA712F"/>
    <w:rsid w:val="00EB0C3F"/>
    <w:rsid w:val="00EB53CB"/>
    <w:rsid w:val="00EB7315"/>
    <w:rsid w:val="00EC031E"/>
    <w:rsid w:val="00EC267C"/>
    <w:rsid w:val="00EC7732"/>
    <w:rsid w:val="00ED3087"/>
    <w:rsid w:val="00ED57BD"/>
    <w:rsid w:val="00EE4694"/>
    <w:rsid w:val="00EE5969"/>
    <w:rsid w:val="00EE5CE9"/>
    <w:rsid w:val="00EF147F"/>
    <w:rsid w:val="00EF1CC0"/>
    <w:rsid w:val="00F07F46"/>
    <w:rsid w:val="00F114C0"/>
    <w:rsid w:val="00F203AC"/>
    <w:rsid w:val="00F2162A"/>
    <w:rsid w:val="00F22441"/>
    <w:rsid w:val="00F24863"/>
    <w:rsid w:val="00F27DDF"/>
    <w:rsid w:val="00F337DD"/>
    <w:rsid w:val="00F37509"/>
    <w:rsid w:val="00F424F6"/>
    <w:rsid w:val="00F5217F"/>
    <w:rsid w:val="00F53089"/>
    <w:rsid w:val="00F5419E"/>
    <w:rsid w:val="00F55DB7"/>
    <w:rsid w:val="00F71DE4"/>
    <w:rsid w:val="00F71DEA"/>
    <w:rsid w:val="00F7623F"/>
    <w:rsid w:val="00F85409"/>
    <w:rsid w:val="00F87D5D"/>
    <w:rsid w:val="00F90F73"/>
    <w:rsid w:val="00F92800"/>
    <w:rsid w:val="00F949D5"/>
    <w:rsid w:val="00FA12CF"/>
    <w:rsid w:val="00FA643D"/>
    <w:rsid w:val="00FB0FD9"/>
    <w:rsid w:val="00FB1272"/>
    <w:rsid w:val="00FB14E7"/>
    <w:rsid w:val="00FB40C2"/>
    <w:rsid w:val="00FB565D"/>
    <w:rsid w:val="00FC12AB"/>
    <w:rsid w:val="00FC2D13"/>
    <w:rsid w:val="00FC3720"/>
    <w:rsid w:val="00FC7E42"/>
    <w:rsid w:val="00FD0768"/>
    <w:rsid w:val="00FD1DCA"/>
    <w:rsid w:val="00FD345C"/>
    <w:rsid w:val="00FD54C8"/>
    <w:rsid w:val="00FD54E3"/>
    <w:rsid w:val="00FD690F"/>
    <w:rsid w:val="00FE195A"/>
    <w:rsid w:val="00FE4D88"/>
    <w:rsid w:val="00FE79FE"/>
    <w:rsid w:val="00FE7F25"/>
    <w:rsid w:val="00FF2B3E"/>
    <w:rsid w:val="00FF5453"/>
    <w:rsid w:val="00FF7AA4"/>
    <w:rsid w:val="1AE245D1"/>
    <w:rsid w:val="2EC07022"/>
    <w:rsid w:val="30A334CA"/>
    <w:rsid w:val="4769475C"/>
    <w:rsid w:val="491B3737"/>
    <w:rsid w:val="4F674670"/>
    <w:rsid w:val="53F45C42"/>
    <w:rsid w:val="590A23A7"/>
    <w:rsid w:val="6CF378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uiPriority="0" w:qFormat="1"/>
    <w:lsdException w:name="header" w:semiHidden="0" w:qFormat="1"/>
    <w:lsdException w:name="footer" w:semiHidden="0"/>
    <w:lsdException w:name="caption" w:uiPriority="35" w:qFormat="1"/>
    <w:lsdException w:name="footnote reference" w:semiHidden="0" w:uiPriority="0" w:unhideWhenUsed="0" w:qFormat="1"/>
    <w:lsdException w:name="annotation reference" w:semiHidden="0" w:uiPriority="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5AD"/>
    <w:pPr>
      <w:widowControl w:val="0"/>
      <w:jc w:val="both"/>
    </w:pPr>
    <w:rPr>
      <w:rFonts w:eastAsia="方正仿宋简体"/>
      <w:kern w:val="2"/>
      <w:sz w:val="32"/>
    </w:rPr>
  </w:style>
  <w:style w:type="paragraph" w:styleId="2">
    <w:name w:val="heading 2"/>
    <w:basedOn w:val="a"/>
    <w:next w:val="a"/>
    <w:link w:val="2Char"/>
    <w:qFormat/>
    <w:rsid w:val="007E65AD"/>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7E65AD"/>
    <w:rPr>
      <w:rFonts w:ascii="宋体" w:eastAsia="宋体"/>
      <w:sz w:val="18"/>
      <w:szCs w:val="18"/>
    </w:rPr>
  </w:style>
  <w:style w:type="paragraph" w:styleId="a4">
    <w:name w:val="annotation text"/>
    <w:basedOn w:val="a"/>
    <w:link w:val="Char0"/>
    <w:unhideWhenUsed/>
    <w:qFormat/>
    <w:rsid w:val="007E65AD"/>
    <w:pPr>
      <w:jc w:val="left"/>
    </w:pPr>
  </w:style>
  <w:style w:type="paragraph" w:styleId="a5">
    <w:name w:val="Balloon Text"/>
    <w:basedOn w:val="a"/>
    <w:link w:val="Char1"/>
    <w:uiPriority w:val="99"/>
    <w:unhideWhenUsed/>
    <w:qFormat/>
    <w:rsid w:val="007E65AD"/>
    <w:rPr>
      <w:sz w:val="18"/>
      <w:szCs w:val="18"/>
    </w:rPr>
  </w:style>
  <w:style w:type="paragraph" w:styleId="a6">
    <w:name w:val="footer"/>
    <w:basedOn w:val="a"/>
    <w:link w:val="Char2"/>
    <w:uiPriority w:val="99"/>
    <w:unhideWhenUsed/>
    <w:rsid w:val="007E65AD"/>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7E65AD"/>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rsid w:val="007E65AD"/>
    <w:pPr>
      <w:snapToGrid w:val="0"/>
      <w:jc w:val="left"/>
    </w:pPr>
    <w:rPr>
      <w:rFonts w:eastAsia="宋体"/>
      <w:sz w:val="18"/>
    </w:rPr>
  </w:style>
  <w:style w:type="paragraph" w:styleId="a9">
    <w:name w:val="Normal (Web)"/>
    <w:basedOn w:val="a"/>
    <w:uiPriority w:val="99"/>
    <w:semiHidden/>
    <w:unhideWhenUsed/>
    <w:qFormat/>
    <w:rsid w:val="007E65AD"/>
    <w:rPr>
      <w:sz w:val="24"/>
      <w:szCs w:val="24"/>
    </w:rPr>
  </w:style>
  <w:style w:type="paragraph" w:styleId="aa">
    <w:name w:val="annotation subject"/>
    <w:basedOn w:val="a4"/>
    <w:next w:val="a4"/>
    <w:link w:val="Char5"/>
    <w:uiPriority w:val="99"/>
    <w:semiHidden/>
    <w:unhideWhenUsed/>
    <w:rsid w:val="007E65AD"/>
    <w:rPr>
      <w:b/>
      <w:bCs/>
    </w:rPr>
  </w:style>
  <w:style w:type="character" w:styleId="ab">
    <w:name w:val="Hyperlink"/>
    <w:basedOn w:val="a0"/>
    <w:uiPriority w:val="99"/>
    <w:unhideWhenUsed/>
    <w:rsid w:val="007E65AD"/>
    <w:rPr>
      <w:color w:val="0000FF" w:themeColor="hyperlink"/>
      <w:u w:val="single"/>
    </w:rPr>
  </w:style>
  <w:style w:type="character" w:styleId="ac">
    <w:name w:val="annotation reference"/>
    <w:basedOn w:val="a0"/>
    <w:unhideWhenUsed/>
    <w:qFormat/>
    <w:rsid w:val="007E65AD"/>
    <w:rPr>
      <w:sz w:val="21"/>
      <w:szCs w:val="21"/>
    </w:rPr>
  </w:style>
  <w:style w:type="character" w:styleId="ad">
    <w:name w:val="footnote reference"/>
    <w:basedOn w:val="a0"/>
    <w:qFormat/>
    <w:rsid w:val="007E65AD"/>
    <w:rPr>
      <w:vertAlign w:val="superscript"/>
    </w:rPr>
  </w:style>
  <w:style w:type="character" w:customStyle="1" w:styleId="2Char">
    <w:name w:val="标题 2 Char"/>
    <w:basedOn w:val="a0"/>
    <w:link w:val="2"/>
    <w:qFormat/>
    <w:rsid w:val="007E65AD"/>
    <w:rPr>
      <w:rFonts w:ascii="Arial" w:eastAsia="黑体" w:hAnsi="Arial" w:cs="Times New Roman"/>
      <w:b/>
      <w:bCs/>
      <w:sz w:val="32"/>
      <w:szCs w:val="32"/>
    </w:rPr>
  </w:style>
  <w:style w:type="character" w:customStyle="1" w:styleId="Char4">
    <w:name w:val="脚注文本 Char"/>
    <w:basedOn w:val="a0"/>
    <w:link w:val="a8"/>
    <w:qFormat/>
    <w:rsid w:val="007E65AD"/>
    <w:rPr>
      <w:rFonts w:ascii="Times New Roman" w:eastAsia="宋体" w:hAnsi="Times New Roman" w:cs="Times New Roman"/>
      <w:sz w:val="18"/>
      <w:szCs w:val="20"/>
    </w:rPr>
  </w:style>
  <w:style w:type="character" w:customStyle="1" w:styleId="Char1">
    <w:name w:val="批注框文本 Char"/>
    <w:basedOn w:val="a0"/>
    <w:link w:val="a5"/>
    <w:uiPriority w:val="99"/>
    <w:semiHidden/>
    <w:qFormat/>
    <w:rsid w:val="007E65AD"/>
    <w:rPr>
      <w:rFonts w:ascii="Times New Roman" w:eastAsia="方正仿宋简体" w:hAnsi="Times New Roman" w:cs="Times New Roman"/>
      <w:sz w:val="18"/>
      <w:szCs w:val="18"/>
    </w:rPr>
  </w:style>
  <w:style w:type="character" w:customStyle="1" w:styleId="Char3">
    <w:name w:val="页眉 Char"/>
    <w:basedOn w:val="a0"/>
    <w:link w:val="a7"/>
    <w:uiPriority w:val="99"/>
    <w:rsid w:val="007E65AD"/>
    <w:rPr>
      <w:rFonts w:ascii="Times New Roman" w:eastAsia="方正仿宋简体" w:hAnsi="Times New Roman" w:cs="Times New Roman"/>
      <w:sz w:val="18"/>
      <w:szCs w:val="18"/>
    </w:rPr>
  </w:style>
  <w:style w:type="character" w:customStyle="1" w:styleId="Char2">
    <w:name w:val="页脚 Char"/>
    <w:basedOn w:val="a0"/>
    <w:link w:val="a6"/>
    <w:uiPriority w:val="99"/>
    <w:rsid w:val="007E65AD"/>
    <w:rPr>
      <w:rFonts w:ascii="Times New Roman" w:eastAsia="方正仿宋简体" w:hAnsi="Times New Roman" w:cs="Times New Roman"/>
      <w:sz w:val="18"/>
      <w:szCs w:val="18"/>
    </w:rPr>
  </w:style>
  <w:style w:type="character" w:customStyle="1" w:styleId="Char0">
    <w:name w:val="批注文字 Char"/>
    <w:basedOn w:val="a0"/>
    <w:link w:val="a4"/>
    <w:qFormat/>
    <w:rsid w:val="007E65AD"/>
    <w:rPr>
      <w:rFonts w:ascii="Times New Roman" w:eastAsia="方正仿宋简体" w:hAnsi="Times New Roman" w:cs="Times New Roman"/>
      <w:kern w:val="2"/>
      <w:sz w:val="32"/>
    </w:rPr>
  </w:style>
  <w:style w:type="character" w:customStyle="1" w:styleId="Char5">
    <w:name w:val="批注主题 Char"/>
    <w:basedOn w:val="Char0"/>
    <w:link w:val="aa"/>
    <w:uiPriority w:val="99"/>
    <w:semiHidden/>
    <w:qFormat/>
    <w:rsid w:val="007E65AD"/>
    <w:rPr>
      <w:rFonts w:ascii="Times New Roman" w:eastAsia="方正仿宋简体" w:hAnsi="Times New Roman" w:cs="Times New Roman"/>
      <w:b/>
      <w:bCs/>
      <w:kern w:val="2"/>
      <w:sz w:val="32"/>
    </w:rPr>
  </w:style>
  <w:style w:type="character" w:customStyle="1" w:styleId="Char">
    <w:name w:val="文档结构图 Char"/>
    <w:basedOn w:val="a0"/>
    <w:link w:val="a3"/>
    <w:uiPriority w:val="99"/>
    <w:semiHidden/>
    <w:qFormat/>
    <w:rsid w:val="007E65AD"/>
    <w:rPr>
      <w:rFonts w:ascii="宋体" w:eastAsia="宋体" w:hAnsi="Times New Roman" w:cs="Times New Roman"/>
      <w:kern w:val="2"/>
      <w:sz w:val="18"/>
      <w:szCs w:val="18"/>
    </w:rPr>
  </w:style>
  <w:style w:type="paragraph" w:customStyle="1" w:styleId="Default">
    <w:name w:val="Default"/>
    <w:qFormat/>
    <w:rsid w:val="007E65AD"/>
    <w:pPr>
      <w:widowControl w:val="0"/>
      <w:autoSpaceDE w:val="0"/>
      <w:autoSpaceDN w:val="0"/>
      <w:adjustRightInd w:val="0"/>
    </w:pPr>
    <w:rPr>
      <w:rFonts w:ascii="宋体" w:hAnsi="Calibri" w:cs="宋体"/>
      <w:color w:val="000000"/>
      <w:sz w:val="24"/>
      <w:szCs w:val="24"/>
    </w:rPr>
  </w:style>
  <w:style w:type="character" w:customStyle="1" w:styleId="CharChar">
    <w:name w:val="纯文本 Char Char"/>
    <w:qFormat/>
    <w:rsid w:val="007E65AD"/>
    <w:rPr>
      <w:rFonts w:ascii="宋体" w:eastAsia="宋体" w:hAnsi="宋体" w:cs="Courier New"/>
      <w:sz w:val="21"/>
      <w:szCs w:val="21"/>
      <w:lang w:val="en-US" w:eastAsia="ar-SA" w:bidi="ar-SA"/>
    </w:rPr>
  </w:style>
  <w:style w:type="character" w:customStyle="1" w:styleId="fontstyle01">
    <w:name w:val="fontstyle01"/>
    <w:basedOn w:val="a0"/>
    <w:qFormat/>
    <w:rsid w:val="007E65AD"/>
    <w:rPr>
      <w:rFonts w:ascii="宋体" w:eastAsia="宋体" w:hAnsi="宋体" w:hint="eastAsia"/>
      <w:color w:val="000000"/>
      <w:sz w:val="24"/>
      <w:szCs w:val="24"/>
    </w:rPr>
  </w:style>
  <w:style w:type="character" w:customStyle="1" w:styleId="fontstyle21">
    <w:name w:val="fontstyle21"/>
    <w:basedOn w:val="a0"/>
    <w:qFormat/>
    <w:rsid w:val="007E65AD"/>
    <w:rPr>
      <w:rFonts w:ascii="Times New Roman" w:hAnsi="Times New Roman" w:cs="Times New Roman" w:hint="default"/>
      <w:color w:val="000000"/>
      <w:sz w:val="24"/>
      <w:szCs w:val="24"/>
    </w:rPr>
  </w:style>
  <w:style w:type="paragraph" w:customStyle="1" w:styleId="1">
    <w:name w:val="修订1"/>
    <w:hidden/>
    <w:uiPriority w:val="99"/>
    <w:semiHidden/>
    <w:qFormat/>
    <w:rsid w:val="007E65AD"/>
    <w:rPr>
      <w:rFonts w:eastAsia="方正仿宋简体"/>
      <w:kern w:val="2"/>
      <w:sz w:val="32"/>
    </w:rPr>
  </w:style>
  <w:style w:type="paragraph" w:customStyle="1" w:styleId="20">
    <w:name w:val="修订2"/>
    <w:hidden/>
    <w:uiPriority w:val="99"/>
    <w:unhideWhenUsed/>
    <w:qFormat/>
    <w:rsid w:val="007E65AD"/>
    <w:rPr>
      <w:rFonts w:eastAsia="方正仿宋简体"/>
      <w:kern w:val="2"/>
      <w:sz w:val="32"/>
    </w:rPr>
  </w:style>
  <w:style w:type="paragraph" w:customStyle="1" w:styleId="3">
    <w:name w:val="修订3"/>
    <w:hidden/>
    <w:uiPriority w:val="99"/>
    <w:unhideWhenUsed/>
    <w:qFormat/>
    <w:rsid w:val="007E65AD"/>
    <w:rPr>
      <w:rFonts w:eastAsia="方正仿宋简体"/>
      <w:kern w:val="2"/>
      <w:sz w:val="32"/>
    </w:rPr>
  </w:style>
  <w:style w:type="paragraph" w:customStyle="1" w:styleId="4">
    <w:name w:val="修订4"/>
    <w:hidden/>
    <w:uiPriority w:val="99"/>
    <w:unhideWhenUsed/>
    <w:qFormat/>
    <w:rsid w:val="007E65AD"/>
    <w:rPr>
      <w:rFonts w:eastAsia="方正仿宋简体"/>
      <w:kern w:val="2"/>
      <w:sz w:val="32"/>
    </w:rPr>
  </w:style>
  <w:style w:type="paragraph" w:styleId="ae">
    <w:name w:val="List Paragraph"/>
    <w:basedOn w:val="a"/>
    <w:uiPriority w:val="99"/>
    <w:unhideWhenUsed/>
    <w:qFormat/>
    <w:rsid w:val="007E65AD"/>
    <w:pPr>
      <w:ind w:firstLineChars="200" w:firstLine="420"/>
    </w:pPr>
  </w:style>
  <w:style w:type="paragraph" w:customStyle="1" w:styleId="5">
    <w:name w:val="修订5"/>
    <w:hidden/>
    <w:uiPriority w:val="99"/>
    <w:unhideWhenUsed/>
    <w:qFormat/>
    <w:rsid w:val="007E65AD"/>
    <w:rPr>
      <w:rFonts w:eastAsia="方正仿宋简体"/>
      <w:kern w:val="2"/>
      <w:sz w:val="32"/>
    </w:rPr>
  </w:style>
  <w:style w:type="paragraph" w:styleId="af">
    <w:name w:val="Revision"/>
    <w:hidden/>
    <w:uiPriority w:val="99"/>
    <w:unhideWhenUsed/>
    <w:rsid w:val="000477B9"/>
    <w:rPr>
      <w:rFonts w:eastAsia="方正仿宋简体"/>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0CCA0-6203-4D6C-88D3-E36B06606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5523</Characters>
  <Application>Microsoft Office Word</Application>
  <DocSecurity>4</DocSecurity>
  <Lines>46</Lines>
  <Paragraphs>12</Paragraphs>
  <ScaleCrop>false</ScaleCrop>
  <Company>微软中国</Company>
  <LinksUpToDate>false</LinksUpToDate>
  <CharactersWithSpaces>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2018-05-07T06:59:00Z</cp:lastPrinted>
  <dcterms:created xsi:type="dcterms:W3CDTF">2026-02-11T16:03:00Z</dcterms:created>
  <dcterms:modified xsi:type="dcterms:W3CDTF">2026-02-11T16:03:00Z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3A5032123D19432899A4316D82D433F5</vt:lpwstr>
  </property>
</Properties>
</file>