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F63" w:rsidRDefault="00612349">
      <w:pPr>
        <w:widowControl/>
        <w:shd w:val="clear" w:color="auto" w:fill="FFFFFF"/>
        <w:spacing w:after="150"/>
        <w:jc w:val="center"/>
        <w:textAlignment w:val="baseline"/>
        <w:outlineLvl w:val="1"/>
        <w:rPr>
          <w:rFonts w:asciiTheme="minorEastAsia" w:hAnsiTheme="minorEastAsia" w:cs="Arial"/>
          <w:b/>
          <w:bCs/>
          <w:kern w:val="0"/>
          <w:sz w:val="36"/>
          <w:szCs w:val="36"/>
        </w:rPr>
      </w:pPr>
      <w:bookmarkStart w:id="0" w:name="OLE_LINK10"/>
      <w:bookmarkStart w:id="1" w:name="OLE_LINK11"/>
      <w:r>
        <w:rPr>
          <w:rFonts w:asciiTheme="minorEastAsia" w:hAnsiTheme="minorEastAsia" w:cs="Arial" w:hint="eastAsia"/>
          <w:b/>
          <w:bCs/>
          <w:kern w:val="0"/>
          <w:sz w:val="36"/>
          <w:szCs w:val="36"/>
        </w:rPr>
        <w:t>南华基金管理有限公司关于旗下部分基金新增</w:t>
      </w:r>
    </w:p>
    <w:p w:rsidR="00EF0F63" w:rsidRDefault="00612349">
      <w:pPr>
        <w:widowControl/>
        <w:shd w:val="clear" w:color="auto" w:fill="FFFFFF"/>
        <w:spacing w:after="150"/>
        <w:jc w:val="center"/>
        <w:textAlignment w:val="baseline"/>
        <w:outlineLvl w:val="1"/>
        <w:rPr>
          <w:rFonts w:asciiTheme="minorEastAsia" w:hAnsiTheme="minorEastAsia" w:cs="Arial"/>
          <w:b/>
          <w:bCs/>
          <w:kern w:val="0"/>
          <w:sz w:val="36"/>
          <w:szCs w:val="36"/>
        </w:rPr>
      </w:pPr>
      <w:bookmarkStart w:id="2" w:name="OLE_LINK7"/>
      <w:r>
        <w:rPr>
          <w:rFonts w:asciiTheme="minorEastAsia" w:hAnsiTheme="minorEastAsia" w:cs="Arial" w:hint="eastAsia"/>
          <w:b/>
          <w:bCs/>
          <w:kern w:val="0"/>
          <w:sz w:val="36"/>
          <w:szCs w:val="36"/>
        </w:rPr>
        <w:t>民生证券股份</w:t>
      </w:r>
      <w:r>
        <w:rPr>
          <w:rFonts w:asciiTheme="minorEastAsia" w:hAnsiTheme="minorEastAsia" w:cs="Arial" w:hint="eastAsia"/>
          <w:b/>
          <w:bCs/>
          <w:kern w:val="0"/>
          <w:sz w:val="36"/>
          <w:szCs w:val="36"/>
        </w:rPr>
        <w:t>有限公司</w:t>
      </w:r>
      <w:bookmarkEnd w:id="2"/>
      <w:r>
        <w:rPr>
          <w:rFonts w:asciiTheme="minorEastAsia" w:hAnsiTheme="minorEastAsia" w:cs="Arial" w:hint="eastAsia"/>
          <w:b/>
          <w:bCs/>
          <w:kern w:val="0"/>
          <w:sz w:val="36"/>
          <w:szCs w:val="36"/>
        </w:rPr>
        <w:t>为销售机构</w:t>
      </w:r>
    </w:p>
    <w:p w:rsidR="00EF0F63" w:rsidRDefault="00612349">
      <w:pPr>
        <w:widowControl/>
        <w:shd w:val="clear" w:color="auto" w:fill="FFFFFF"/>
        <w:spacing w:after="150"/>
        <w:jc w:val="center"/>
        <w:textAlignment w:val="baseline"/>
        <w:outlineLvl w:val="1"/>
        <w:rPr>
          <w:rFonts w:asciiTheme="minorEastAsia" w:hAnsiTheme="minorEastAsia" w:cs="Arial"/>
          <w:b/>
          <w:bCs/>
          <w:kern w:val="0"/>
          <w:sz w:val="36"/>
          <w:szCs w:val="36"/>
        </w:rPr>
      </w:pPr>
      <w:r>
        <w:rPr>
          <w:rFonts w:asciiTheme="minorEastAsia" w:hAnsiTheme="minorEastAsia" w:cs="Arial" w:hint="eastAsia"/>
          <w:b/>
          <w:bCs/>
          <w:kern w:val="0"/>
          <w:sz w:val="36"/>
          <w:szCs w:val="36"/>
        </w:rPr>
        <w:t>并参加其费率优惠的公告</w:t>
      </w:r>
    </w:p>
    <w:p w:rsidR="00EF0F63" w:rsidRDefault="00612349">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根据南华基金管理有限公司（简称</w:t>
      </w:r>
      <w:r>
        <w:rPr>
          <w:rFonts w:asciiTheme="minorEastAsia" w:hAnsiTheme="minorEastAsia" w:cs="Arial" w:hint="eastAsia"/>
          <w:kern w:val="0"/>
          <w:szCs w:val="21"/>
        </w:rPr>
        <w:t>“</w:t>
      </w:r>
      <w:r>
        <w:rPr>
          <w:rFonts w:asciiTheme="minorEastAsia" w:hAnsiTheme="minorEastAsia" w:cs="Arial"/>
          <w:kern w:val="0"/>
          <w:szCs w:val="21"/>
        </w:rPr>
        <w:t>本公司</w:t>
      </w:r>
      <w:r>
        <w:rPr>
          <w:rFonts w:asciiTheme="minorEastAsia" w:hAnsiTheme="minorEastAsia" w:cs="Arial" w:hint="eastAsia"/>
          <w:kern w:val="0"/>
          <w:szCs w:val="21"/>
        </w:rPr>
        <w:t>”</w:t>
      </w:r>
      <w:r>
        <w:rPr>
          <w:rFonts w:asciiTheme="minorEastAsia" w:hAnsiTheme="minorEastAsia" w:cs="Arial"/>
          <w:kern w:val="0"/>
          <w:szCs w:val="21"/>
        </w:rPr>
        <w:t>）与</w:t>
      </w:r>
      <w:r>
        <w:rPr>
          <w:rFonts w:asciiTheme="minorEastAsia" w:hAnsiTheme="minorEastAsia" w:cs="Arial" w:hint="eastAsia"/>
          <w:kern w:val="0"/>
          <w:szCs w:val="21"/>
        </w:rPr>
        <w:t>民生证券股份</w:t>
      </w:r>
      <w:r>
        <w:rPr>
          <w:rFonts w:asciiTheme="minorEastAsia" w:hAnsiTheme="minorEastAsia" w:cs="Arial" w:hint="eastAsia"/>
          <w:kern w:val="0"/>
          <w:szCs w:val="21"/>
        </w:rPr>
        <w:t>有限公司（简称“</w:t>
      </w:r>
      <w:r>
        <w:rPr>
          <w:rFonts w:asciiTheme="minorEastAsia" w:hAnsiTheme="minorEastAsia" w:cs="Arial" w:hint="eastAsia"/>
          <w:kern w:val="0"/>
          <w:szCs w:val="21"/>
        </w:rPr>
        <w:t>民生证券</w:t>
      </w:r>
      <w:r>
        <w:rPr>
          <w:rFonts w:asciiTheme="minorEastAsia" w:hAnsiTheme="minorEastAsia" w:cs="Arial" w:hint="eastAsia"/>
          <w:kern w:val="0"/>
          <w:szCs w:val="21"/>
        </w:rPr>
        <w:t>”）</w:t>
      </w:r>
      <w:r>
        <w:rPr>
          <w:rFonts w:asciiTheme="minorEastAsia" w:hAnsiTheme="minorEastAsia" w:cs="Arial"/>
          <w:kern w:val="0"/>
          <w:szCs w:val="21"/>
        </w:rPr>
        <w:t>签署的基金销售协议，经双方协商一致，自</w:t>
      </w:r>
      <w:r>
        <w:rPr>
          <w:rFonts w:ascii="宋体" w:eastAsia="宋体" w:hAnsi="宋体" w:cs="宋体" w:hint="eastAsia"/>
          <w:kern w:val="0"/>
          <w:szCs w:val="21"/>
        </w:rPr>
        <w:t>202</w:t>
      </w:r>
      <w:r>
        <w:rPr>
          <w:rFonts w:ascii="宋体" w:eastAsia="宋体" w:hAnsi="宋体" w:cs="宋体" w:hint="eastAsia"/>
          <w:kern w:val="0"/>
          <w:szCs w:val="21"/>
        </w:rPr>
        <w:t>6</w:t>
      </w:r>
      <w:r>
        <w:rPr>
          <w:rFonts w:ascii="宋体" w:eastAsia="宋体" w:hAnsi="宋体" w:cs="宋体" w:hint="eastAsia"/>
          <w:kern w:val="0"/>
          <w:szCs w:val="21"/>
        </w:rPr>
        <w:t>年</w:t>
      </w:r>
      <w:r>
        <w:rPr>
          <w:rFonts w:ascii="宋体" w:eastAsia="宋体" w:hAnsi="宋体" w:cs="宋体" w:hint="eastAsia"/>
          <w:kern w:val="0"/>
          <w:szCs w:val="21"/>
        </w:rPr>
        <w:t>2</w:t>
      </w:r>
      <w:r>
        <w:rPr>
          <w:rFonts w:ascii="宋体" w:eastAsia="宋体" w:hAnsi="宋体" w:cs="宋体" w:hint="eastAsia"/>
          <w:kern w:val="0"/>
          <w:szCs w:val="21"/>
        </w:rPr>
        <w:t>月</w:t>
      </w:r>
      <w:r>
        <w:rPr>
          <w:rFonts w:ascii="宋体" w:eastAsia="宋体" w:hAnsi="宋体" w:cs="宋体" w:hint="eastAsia"/>
          <w:kern w:val="0"/>
          <w:szCs w:val="21"/>
        </w:rPr>
        <w:t>11</w:t>
      </w:r>
      <w:r>
        <w:rPr>
          <w:rFonts w:asciiTheme="minorEastAsia" w:hAnsiTheme="minorEastAsia" w:cs="Arial" w:hint="eastAsia"/>
          <w:kern w:val="0"/>
          <w:szCs w:val="21"/>
        </w:rPr>
        <w:t>日</w:t>
      </w:r>
      <w:r>
        <w:rPr>
          <w:rFonts w:asciiTheme="minorEastAsia" w:hAnsiTheme="minorEastAsia" w:cs="Arial"/>
          <w:kern w:val="0"/>
          <w:szCs w:val="21"/>
        </w:rPr>
        <w:t>起，</w:t>
      </w:r>
      <w:r>
        <w:rPr>
          <w:rFonts w:asciiTheme="minorEastAsia" w:hAnsiTheme="minorEastAsia" w:cs="Arial" w:hint="eastAsia"/>
          <w:kern w:val="0"/>
          <w:szCs w:val="21"/>
        </w:rPr>
        <w:t>民生证券</w:t>
      </w:r>
      <w:r>
        <w:rPr>
          <w:rFonts w:asciiTheme="minorEastAsia" w:hAnsiTheme="minorEastAsia" w:cs="Arial"/>
          <w:kern w:val="0"/>
          <w:szCs w:val="21"/>
        </w:rPr>
        <w:t>开始</w:t>
      </w:r>
      <w:r>
        <w:rPr>
          <w:rFonts w:asciiTheme="minorEastAsia" w:hAnsiTheme="minorEastAsia" w:cs="Arial" w:hint="eastAsia"/>
          <w:kern w:val="0"/>
          <w:szCs w:val="21"/>
        </w:rPr>
        <w:t>销售</w:t>
      </w:r>
      <w:r>
        <w:rPr>
          <w:rFonts w:asciiTheme="minorEastAsia" w:hAnsiTheme="minorEastAsia" w:cs="Arial"/>
          <w:kern w:val="0"/>
          <w:szCs w:val="21"/>
        </w:rPr>
        <w:t>本公司旗下部分基金</w:t>
      </w:r>
      <w:r>
        <w:rPr>
          <w:rFonts w:asciiTheme="minorEastAsia" w:hAnsiTheme="minorEastAsia" w:cs="Arial" w:hint="eastAsia"/>
          <w:kern w:val="0"/>
          <w:szCs w:val="21"/>
        </w:rPr>
        <w:t>。</w:t>
      </w:r>
      <w:r>
        <w:rPr>
          <w:rFonts w:asciiTheme="minorEastAsia" w:hAnsiTheme="minorEastAsia" w:cs="Arial"/>
          <w:kern w:val="0"/>
          <w:szCs w:val="21"/>
        </w:rPr>
        <w:t>投资者可在</w:t>
      </w:r>
      <w:r>
        <w:rPr>
          <w:rFonts w:asciiTheme="minorEastAsia" w:hAnsiTheme="minorEastAsia" w:cs="Arial" w:hint="eastAsia"/>
          <w:kern w:val="0"/>
          <w:szCs w:val="21"/>
        </w:rPr>
        <w:t>民生证券</w:t>
      </w:r>
      <w:r>
        <w:rPr>
          <w:rFonts w:asciiTheme="minorEastAsia" w:hAnsiTheme="minorEastAsia" w:cs="Arial"/>
          <w:kern w:val="0"/>
          <w:szCs w:val="21"/>
        </w:rPr>
        <w:t>办理</w:t>
      </w:r>
      <w:r>
        <w:rPr>
          <w:rFonts w:asciiTheme="minorEastAsia" w:hAnsiTheme="minorEastAsia" w:cs="Arial" w:hint="eastAsia"/>
          <w:kern w:val="0"/>
          <w:szCs w:val="21"/>
        </w:rPr>
        <w:t>相关</w:t>
      </w:r>
      <w:r>
        <w:rPr>
          <w:rFonts w:asciiTheme="minorEastAsia" w:hAnsiTheme="minorEastAsia" w:cs="Arial"/>
          <w:kern w:val="0"/>
          <w:szCs w:val="21"/>
        </w:rPr>
        <w:t>基金的申购、赎回</w:t>
      </w:r>
      <w:r>
        <w:rPr>
          <w:rFonts w:asciiTheme="minorEastAsia" w:hAnsiTheme="minorEastAsia" w:cs="Arial" w:hint="eastAsia"/>
          <w:kern w:val="0"/>
          <w:szCs w:val="21"/>
        </w:rPr>
        <w:t>业务，</w:t>
      </w:r>
      <w:r>
        <w:rPr>
          <w:rFonts w:asciiTheme="minorEastAsia" w:hAnsiTheme="minorEastAsia" w:cs="Arial"/>
          <w:kern w:val="0"/>
          <w:szCs w:val="21"/>
        </w:rPr>
        <w:t>同时</w:t>
      </w:r>
      <w:r>
        <w:rPr>
          <w:rFonts w:asciiTheme="minorEastAsia" w:hAnsiTheme="minorEastAsia" w:cs="Arial" w:hint="eastAsia"/>
          <w:kern w:val="0"/>
          <w:szCs w:val="21"/>
        </w:rPr>
        <w:t>相关</w:t>
      </w:r>
      <w:r>
        <w:rPr>
          <w:rFonts w:asciiTheme="minorEastAsia" w:hAnsiTheme="minorEastAsia" w:cs="Arial"/>
          <w:kern w:val="0"/>
          <w:szCs w:val="21"/>
        </w:rPr>
        <w:t>基金将参加</w:t>
      </w:r>
      <w:r>
        <w:rPr>
          <w:rFonts w:asciiTheme="minorEastAsia" w:hAnsiTheme="minorEastAsia" w:cs="Arial" w:hint="eastAsia"/>
          <w:kern w:val="0"/>
          <w:szCs w:val="21"/>
        </w:rPr>
        <w:t>民生证券</w:t>
      </w:r>
      <w:r>
        <w:rPr>
          <w:rFonts w:asciiTheme="minorEastAsia" w:hAnsiTheme="minorEastAsia" w:cs="Arial"/>
          <w:kern w:val="0"/>
          <w:szCs w:val="21"/>
        </w:rPr>
        <w:t>的申购费率优惠活动。具体情况如下：</w:t>
      </w:r>
    </w:p>
    <w:p w:rsidR="00EF0F63" w:rsidRDefault="00612349">
      <w:pPr>
        <w:pStyle w:val="ae"/>
        <w:widowControl/>
        <w:numPr>
          <w:ilvl w:val="255"/>
          <w:numId w:val="0"/>
        </w:numPr>
        <w:shd w:val="clear" w:color="auto" w:fill="FFFFFF"/>
        <w:spacing w:after="150" w:line="375" w:lineRule="atLeast"/>
        <w:ind w:firstLineChars="200" w:firstLine="422"/>
        <w:jc w:val="left"/>
        <w:textAlignment w:val="baseline"/>
        <w:rPr>
          <w:rFonts w:ascii="inherit" w:eastAsia="宋体" w:hAnsi="inherit" w:cs="Arial" w:hint="eastAsia"/>
          <w:b/>
          <w:bCs/>
          <w:kern w:val="0"/>
          <w:szCs w:val="21"/>
        </w:rPr>
      </w:pPr>
      <w:bookmarkStart w:id="3" w:name="OLE_LINK1"/>
      <w:bookmarkStart w:id="4" w:name="OLE_LINK2"/>
      <w:r>
        <w:rPr>
          <w:rFonts w:ascii="inherit" w:eastAsia="宋体" w:hAnsi="inherit" w:cs="Arial" w:hint="eastAsia"/>
          <w:b/>
          <w:bCs/>
          <w:kern w:val="0"/>
          <w:szCs w:val="21"/>
        </w:rPr>
        <w:t>一、本次</w:t>
      </w:r>
      <w:r>
        <w:rPr>
          <w:rFonts w:asciiTheme="minorEastAsia" w:eastAsia="宋体" w:hAnsiTheme="minorEastAsia" w:cs="Arial" w:hint="eastAsia"/>
          <w:b/>
          <w:kern w:val="0"/>
          <w:szCs w:val="21"/>
        </w:rPr>
        <w:t>民生证券</w:t>
      </w:r>
      <w:r>
        <w:rPr>
          <w:rFonts w:ascii="inherit" w:eastAsia="宋体" w:hAnsi="inherit" w:cs="Arial" w:hint="eastAsia"/>
          <w:b/>
          <w:bCs/>
          <w:kern w:val="0"/>
          <w:szCs w:val="21"/>
        </w:rPr>
        <w:t>开通申购、赎回业务的基金</w:t>
      </w:r>
    </w:p>
    <w:tbl>
      <w:tblPr>
        <w:tblW w:w="8279" w:type="dxa"/>
        <w:tblInd w:w="2" w:type="dxa"/>
        <w:tblCellMar>
          <w:left w:w="0" w:type="dxa"/>
          <w:right w:w="0" w:type="dxa"/>
        </w:tblCellMar>
        <w:tblLook w:val="04A0"/>
      </w:tblPr>
      <w:tblGrid>
        <w:gridCol w:w="754"/>
        <w:gridCol w:w="4904"/>
        <w:gridCol w:w="2621"/>
      </w:tblGrid>
      <w:tr w:rsidR="00EF0F63">
        <w:trPr>
          <w:trHeight w:val="297"/>
        </w:trPr>
        <w:tc>
          <w:tcPr>
            <w:tcW w:w="7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F0F63" w:rsidRDefault="00612349">
            <w:pPr>
              <w:jc w:val="center"/>
              <w:rPr>
                <w:rFonts w:asciiTheme="minorEastAsia" w:hAnsiTheme="minorEastAsia" w:cstheme="minorEastAsia"/>
                <w:color w:val="000000"/>
                <w:kern w:val="0"/>
                <w:szCs w:val="21"/>
              </w:rPr>
            </w:pPr>
            <w:bookmarkStart w:id="5" w:name="OLE_LINK3"/>
            <w:bookmarkStart w:id="6" w:name="OLE_LINK4"/>
            <w:r>
              <w:rPr>
                <w:rFonts w:asciiTheme="minorEastAsia" w:hAnsiTheme="minorEastAsia" w:cstheme="minorEastAsia" w:hint="eastAsia"/>
                <w:color w:val="000000"/>
                <w:szCs w:val="21"/>
              </w:rPr>
              <w:t>序号</w:t>
            </w:r>
          </w:p>
        </w:tc>
        <w:tc>
          <w:tcPr>
            <w:tcW w:w="4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基金名称</w:t>
            </w:r>
          </w:p>
        </w:tc>
        <w:tc>
          <w:tcPr>
            <w:tcW w:w="26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基金代码</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rPr>
              <w:t>南华瑞盈混合型发起式证券投资基金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004845</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004846</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2</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rPr>
              <w:t>南华丰淳混合型证券投资基金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005296</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005297</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3</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南华瑞泽债券型证券投资基金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008345</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008346</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4</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南华瑞恒中短债债券型证券投资基金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005513</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005514</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5</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南华价值启航纯债债券型证券投资基金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007189</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007190</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6</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南华中证杭州湾区交易型开放式指数证券投资基金联接基金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007842</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007843</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7</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南华瑞利债券型证券投资基金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011464</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011465</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8</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南华丰汇混合型证券投资基金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015245</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021526</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9</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南华瑞享纯债债券型证券投资基金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020701</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020702</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10</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南华丰元量化选股混合型证券投资基金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020117</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020118</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11</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南华丰睿量化选股混合型证券投资基金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021995</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021996</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12</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南华丰利量化选股混合型证券投资基金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023365</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023366</w:t>
            </w:r>
          </w:p>
        </w:tc>
      </w:tr>
      <w:tr w:rsidR="00EF0F63">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13</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EF0F63" w:rsidRDefault="00612349">
            <w:pPr>
              <w:widowControl/>
              <w:jc w:val="left"/>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南华科技创新混合型发起式证券投资基金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A</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024476</w:t>
            </w:r>
          </w:p>
          <w:p w:rsidR="00EF0F63" w:rsidRDefault="00612349">
            <w:pPr>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C</w:t>
            </w:r>
            <w:r>
              <w:rPr>
                <w:rFonts w:asciiTheme="minorEastAsia" w:hAnsiTheme="minorEastAsia" w:cstheme="minorEastAsia" w:hint="eastAsia"/>
                <w:color w:val="000000"/>
                <w:szCs w:val="21"/>
              </w:rPr>
              <w:t>类：</w:t>
            </w:r>
            <w:r>
              <w:rPr>
                <w:rFonts w:asciiTheme="minorEastAsia" w:hAnsiTheme="minorEastAsia" w:cstheme="minorEastAsia" w:hint="eastAsia"/>
                <w:color w:val="000000"/>
                <w:szCs w:val="21"/>
              </w:rPr>
              <w:t>024477</w:t>
            </w:r>
          </w:p>
        </w:tc>
      </w:tr>
    </w:tbl>
    <w:p w:rsidR="00EF0F63" w:rsidRDefault="00612349">
      <w:pPr>
        <w:pStyle w:val="ae"/>
        <w:widowControl/>
        <w:numPr>
          <w:ilvl w:val="255"/>
          <w:numId w:val="0"/>
        </w:numPr>
        <w:shd w:val="clear" w:color="auto" w:fill="FFFFFF"/>
        <w:spacing w:after="150" w:line="375" w:lineRule="atLeast"/>
        <w:ind w:firstLineChars="200" w:firstLine="422"/>
        <w:jc w:val="left"/>
        <w:textAlignment w:val="baseline"/>
        <w:rPr>
          <w:rFonts w:ascii="inherit" w:eastAsia="宋体" w:hAnsi="inherit" w:cs="Arial" w:hint="eastAsia"/>
          <w:b/>
          <w:bCs/>
          <w:kern w:val="0"/>
          <w:szCs w:val="21"/>
        </w:rPr>
      </w:pPr>
      <w:bookmarkStart w:id="7" w:name="OLE_LINK14"/>
      <w:bookmarkStart w:id="8" w:name="OLE_LINK15"/>
      <w:bookmarkEnd w:id="3"/>
      <w:bookmarkEnd w:id="4"/>
      <w:bookmarkEnd w:id="5"/>
      <w:bookmarkEnd w:id="6"/>
      <w:r>
        <w:rPr>
          <w:rFonts w:ascii="inherit" w:eastAsia="宋体" w:hAnsi="inherit" w:cs="Arial" w:hint="eastAsia"/>
          <w:b/>
          <w:bCs/>
          <w:kern w:val="0"/>
          <w:szCs w:val="21"/>
        </w:rPr>
        <w:lastRenderedPageBreak/>
        <w:t>二、</w:t>
      </w:r>
      <w:r>
        <w:rPr>
          <w:rFonts w:ascii="inherit" w:eastAsia="宋体" w:hAnsi="inherit" w:cs="Arial"/>
          <w:b/>
          <w:bCs/>
          <w:kern w:val="0"/>
          <w:szCs w:val="21"/>
        </w:rPr>
        <w:t>费率优惠活动</w:t>
      </w:r>
    </w:p>
    <w:p w:rsidR="00EF0F63" w:rsidRDefault="00612349">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Times New Roman" w:eastAsia="宋体" w:hAnsi="Times New Roman" w:cs="Arial"/>
          <w:kern w:val="0"/>
          <w:szCs w:val="21"/>
        </w:rPr>
        <w:t>1</w:t>
      </w:r>
      <w:r>
        <w:rPr>
          <w:rFonts w:ascii="inherit" w:eastAsia="宋体" w:hAnsi="inherit" w:cs="Arial"/>
          <w:kern w:val="0"/>
          <w:szCs w:val="21"/>
        </w:rPr>
        <w:t>、费率优惠内容</w:t>
      </w:r>
    </w:p>
    <w:p w:rsidR="00EF0F63" w:rsidRDefault="00612349">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投资者通过</w:t>
      </w:r>
      <w:r>
        <w:rPr>
          <w:rFonts w:asciiTheme="minorEastAsia" w:hAnsiTheme="minorEastAsia" w:cs="Arial" w:hint="eastAsia"/>
          <w:kern w:val="0"/>
          <w:szCs w:val="21"/>
        </w:rPr>
        <w:t>民生证券</w:t>
      </w:r>
      <w:r>
        <w:rPr>
          <w:rFonts w:asciiTheme="minorEastAsia" w:hAnsiTheme="minorEastAsia" w:cs="Arial" w:hint="eastAsia"/>
          <w:kern w:val="0"/>
          <w:szCs w:val="21"/>
        </w:rPr>
        <w:t>办理上述基金的申购业务享受费率优惠，具体优惠内容以</w:t>
      </w:r>
      <w:r>
        <w:rPr>
          <w:rFonts w:asciiTheme="minorEastAsia" w:hAnsiTheme="minorEastAsia" w:cs="Arial" w:hint="eastAsia"/>
          <w:kern w:val="0"/>
          <w:szCs w:val="21"/>
        </w:rPr>
        <w:t>民生证券</w:t>
      </w:r>
      <w:r>
        <w:rPr>
          <w:rFonts w:asciiTheme="minorEastAsia" w:hAnsiTheme="minorEastAsia" w:cs="Arial" w:hint="eastAsia"/>
          <w:kern w:val="0"/>
          <w:szCs w:val="21"/>
        </w:rPr>
        <w:t>的业务规则或公告为准。</w:t>
      </w:r>
    </w:p>
    <w:p w:rsidR="00EF0F63" w:rsidRDefault="00612349">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Times New Roman" w:eastAsia="宋体" w:hAnsi="Times New Roman" w:cs="Arial"/>
          <w:kern w:val="0"/>
          <w:szCs w:val="21"/>
        </w:rPr>
        <w:t>2</w:t>
      </w:r>
      <w:r>
        <w:rPr>
          <w:rFonts w:ascii="inherit" w:eastAsia="宋体" w:hAnsi="inherit" w:cs="Arial"/>
          <w:kern w:val="0"/>
          <w:szCs w:val="21"/>
        </w:rPr>
        <w:t>、费率优惠期限</w:t>
      </w:r>
    </w:p>
    <w:p w:rsidR="00EF0F63" w:rsidRDefault="00612349">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上述费率优惠活动自</w:t>
      </w:r>
      <w:r>
        <w:rPr>
          <w:rFonts w:ascii="宋体" w:eastAsia="宋体" w:hAnsi="宋体" w:cs="宋体" w:hint="eastAsia"/>
          <w:kern w:val="0"/>
          <w:szCs w:val="21"/>
        </w:rPr>
        <w:t>202</w:t>
      </w:r>
      <w:r>
        <w:rPr>
          <w:rFonts w:ascii="宋体" w:eastAsia="宋体" w:hAnsi="宋体" w:cs="宋体" w:hint="eastAsia"/>
          <w:kern w:val="0"/>
          <w:szCs w:val="21"/>
        </w:rPr>
        <w:t>6</w:t>
      </w:r>
      <w:r>
        <w:rPr>
          <w:rFonts w:ascii="宋体" w:eastAsia="宋体" w:hAnsi="宋体" w:cs="宋体" w:hint="eastAsia"/>
          <w:kern w:val="0"/>
          <w:szCs w:val="21"/>
        </w:rPr>
        <w:t>年</w:t>
      </w:r>
      <w:r>
        <w:rPr>
          <w:rFonts w:ascii="宋体" w:eastAsia="宋体" w:hAnsi="宋体" w:cs="宋体" w:hint="eastAsia"/>
          <w:kern w:val="0"/>
          <w:szCs w:val="21"/>
        </w:rPr>
        <w:t>2</w:t>
      </w:r>
      <w:r>
        <w:rPr>
          <w:rFonts w:ascii="宋体" w:eastAsia="宋体" w:hAnsi="宋体" w:cs="宋体" w:hint="eastAsia"/>
          <w:kern w:val="0"/>
          <w:szCs w:val="21"/>
        </w:rPr>
        <w:t>月</w:t>
      </w:r>
      <w:r>
        <w:rPr>
          <w:rFonts w:ascii="宋体" w:eastAsia="宋体" w:hAnsi="宋体" w:cs="宋体" w:hint="eastAsia"/>
          <w:kern w:val="0"/>
          <w:szCs w:val="21"/>
        </w:rPr>
        <w:t>11</w:t>
      </w:r>
      <w:r>
        <w:rPr>
          <w:rFonts w:ascii="宋体" w:eastAsia="宋体" w:hAnsi="宋体" w:cs="宋体" w:hint="eastAsia"/>
          <w:kern w:val="0"/>
          <w:szCs w:val="21"/>
        </w:rPr>
        <w:t>日</w:t>
      </w:r>
      <w:r>
        <w:rPr>
          <w:rFonts w:asciiTheme="minorEastAsia" w:hAnsiTheme="minorEastAsia" w:cs="Arial"/>
          <w:kern w:val="0"/>
          <w:szCs w:val="21"/>
        </w:rPr>
        <w:t>起实施，活动结束日期以</w:t>
      </w:r>
      <w:r>
        <w:rPr>
          <w:rFonts w:asciiTheme="minorEastAsia" w:hAnsiTheme="minorEastAsia" w:cs="Arial" w:hint="eastAsia"/>
          <w:kern w:val="0"/>
          <w:szCs w:val="21"/>
        </w:rPr>
        <w:t>民生证券</w:t>
      </w:r>
      <w:r>
        <w:rPr>
          <w:rFonts w:asciiTheme="minorEastAsia" w:hAnsiTheme="minorEastAsia" w:cs="Arial"/>
          <w:kern w:val="0"/>
          <w:szCs w:val="21"/>
        </w:rPr>
        <w:t>的</w:t>
      </w:r>
      <w:r>
        <w:rPr>
          <w:rFonts w:asciiTheme="minorEastAsia" w:hAnsiTheme="minorEastAsia" w:cs="Arial" w:hint="eastAsia"/>
          <w:kern w:val="0"/>
          <w:szCs w:val="21"/>
        </w:rPr>
        <w:t>业务规则或公告</w:t>
      </w:r>
      <w:r>
        <w:rPr>
          <w:rFonts w:asciiTheme="minorEastAsia" w:hAnsiTheme="minorEastAsia" w:cs="Arial"/>
          <w:kern w:val="0"/>
          <w:szCs w:val="21"/>
        </w:rPr>
        <w:t>为准。</w:t>
      </w:r>
    </w:p>
    <w:p w:rsidR="00EF0F63" w:rsidRDefault="00612349">
      <w:pPr>
        <w:pStyle w:val="ae"/>
        <w:widowControl/>
        <w:numPr>
          <w:ilvl w:val="255"/>
          <w:numId w:val="0"/>
        </w:numPr>
        <w:shd w:val="clear" w:color="auto" w:fill="FFFFFF"/>
        <w:spacing w:after="150" w:line="375" w:lineRule="atLeast"/>
        <w:ind w:firstLineChars="200" w:firstLine="422"/>
        <w:jc w:val="left"/>
        <w:textAlignment w:val="baseline"/>
        <w:rPr>
          <w:rFonts w:ascii="inherit" w:eastAsia="宋体" w:hAnsi="inherit" w:cs="Arial" w:hint="eastAsia"/>
          <w:b/>
          <w:bCs/>
          <w:kern w:val="0"/>
          <w:szCs w:val="21"/>
        </w:rPr>
      </w:pPr>
      <w:r>
        <w:rPr>
          <w:rFonts w:ascii="inherit" w:eastAsia="宋体" w:hAnsi="inherit" w:cs="Arial" w:hint="eastAsia"/>
          <w:b/>
          <w:bCs/>
          <w:kern w:val="0"/>
          <w:szCs w:val="21"/>
        </w:rPr>
        <w:t>三、</w:t>
      </w:r>
      <w:r>
        <w:rPr>
          <w:rFonts w:ascii="inherit" w:eastAsia="宋体" w:hAnsi="inherit" w:cs="Arial"/>
          <w:b/>
          <w:bCs/>
          <w:kern w:val="0"/>
          <w:szCs w:val="21"/>
        </w:rPr>
        <w:t>有关申购、赎回业务的相关说明</w:t>
      </w:r>
    </w:p>
    <w:p w:rsidR="00EF0F63" w:rsidRDefault="00612349">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基金申购、赎回业务仅适用于处于正常申购、赎回期及处于特定开放日和开放时间的基金。基金封闭期、募集期等特殊期间的有关规定详见基金相关法律文件及本公司发布的最新业务公告。</w:t>
      </w:r>
    </w:p>
    <w:p w:rsidR="00EF0F63" w:rsidRDefault="00612349">
      <w:pPr>
        <w:pStyle w:val="ae"/>
        <w:widowControl/>
        <w:numPr>
          <w:ilvl w:val="255"/>
          <w:numId w:val="0"/>
        </w:numPr>
        <w:shd w:val="clear" w:color="auto" w:fill="FFFFFF"/>
        <w:spacing w:after="150" w:line="375" w:lineRule="atLeast"/>
        <w:ind w:firstLineChars="200" w:firstLine="422"/>
        <w:jc w:val="left"/>
        <w:textAlignment w:val="baseline"/>
        <w:rPr>
          <w:rFonts w:ascii="inherit" w:eastAsia="宋体" w:hAnsi="inherit" w:cs="Arial" w:hint="eastAsia"/>
          <w:b/>
          <w:bCs/>
          <w:kern w:val="0"/>
          <w:szCs w:val="21"/>
        </w:rPr>
      </w:pPr>
      <w:r>
        <w:rPr>
          <w:rFonts w:ascii="inherit" w:eastAsia="宋体" w:hAnsi="inherit" w:cs="Arial" w:hint="eastAsia"/>
          <w:b/>
          <w:bCs/>
          <w:kern w:val="0"/>
          <w:szCs w:val="21"/>
        </w:rPr>
        <w:t>四、</w:t>
      </w:r>
      <w:r>
        <w:rPr>
          <w:rFonts w:ascii="inherit" w:eastAsia="宋体" w:hAnsi="inherit" w:cs="Arial"/>
          <w:b/>
          <w:bCs/>
          <w:kern w:val="0"/>
          <w:szCs w:val="21"/>
        </w:rPr>
        <w:t>投资者可通过以下途径了解或咨询相关情况</w:t>
      </w:r>
    </w:p>
    <w:p w:rsidR="00EF0F63" w:rsidRDefault="00612349">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Times New Roman" w:eastAsia="宋体" w:hAnsi="Times New Roman" w:cs="Arial" w:hint="eastAsia"/>
          <w:kern w:val="0"/>
          <w:szCs w:val="21"/>
        </w:rPr>
        <w:t>1</w:t>
      </w:r>
      <w:r>
        <w:rPr>
          <w:rFonts w:ascii="inherit" w:eastAsia="宋体" w:hAnsi="inherit" w:cs="Arial" w:hint="eastAsia"/>
          <w:kern w:val="0"/>
          <w:szCs w:val="21"/>
        </w:rPr>
        <w:t>、</w:t>
      </w:r>
      <w:r>
        <w:rPr>
          <w:rFonts w:ascii="inherit" w:eastAsia="宋体" w:hAnsi="inherit" w:cs="Arial" w:hint="eastAsia"/>
          <w:kern w:val="0"/>
          <w:szCs w:val="21"/>
        </w:rPr>
        <w:t>民生证券</w:t>
      </w:r>
    </w:p>
    <w:p w:rsidR="00EF0F63" w:rsidRDefault="00612349">
      <w:pPr>
        <w:spacing w:line="360" w:lineRule="auto"/>
        <w:ind w:firstLineChars="200" w:firstLine="420"/>
        <w:rPr>
          <w:rFonts w:ascii="Times New Roman" w:hAnsi="Times New Roman"/>
          <w:color w:val="000000"/>
        </w:rPr>
      </w:pPr>
      <w:r>
        <w:rPr>
          <w:rFonts w:asciiTheme="minorEastAsia" w:hAnsiTheme="minorEastAsia" w:cs="Arial" w:hint="eastAsia"/>
          <w:kern w:val="0"/>
          <w:szCs w:val="21"/>
        </w:rPr>
        <w:t>客服电话：</w:t>
      </w:r>
      <w:r>
        <w:rPr>
          <w:rFonts w:asciiTheme="minorEastAsia" w:hAnsiTheme="minorEastAsia" w:cs="Arial" w:hint="eastAsia"/>
          <w:kern w:val="0"/>
          <w:szCs w:val="21"/>
        </w:rPr>
        <w:t>95376</w:t>
      </w:r>
    </w:p>
    <w:p w:rsidR="00EF0F63" w:rsidRDefault="00612349">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公司网址：</w:t>
      </w:r>
      <w:hyperlink r:id="rId5" w:tooltip="https://www.mszq.com" w:history="1">
        <w:r>
          <w:rPr>
            <w:rFonts w:asciiTheme="minorEastAsia" w:hAnsiTheme="minorEastAsia" w:cs="Arial" w:hint="eastAsia"/>
            <w:kern w:val="0"/>
            <w:szCs w:val="21"/>
          </w:rPr>
          <w:t>https://www.mszq.com</w:t>
        </w:r>
      </w:hyperlink>
    </w:p>
    <w:p w:rsidR="00EF0F63" w:rsidRDefault="00612349">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Times New Roman" w:eastAsia="宋体" w:hAnsi="Times New Roman" w:cs="Arial" w:hint="eastAsia"/>
          <w:kern w:val="0"/>
          <w:szCs w:val="21"/>
        </w:rPr>
        <w:t>2</w:t>
      </w:r>
      <w:r>
        <w:rPr>
          <w:rFonts w:ascii="inherit" w:eastAsia="宋体" w:hAnsi="inherit" w:cs="Arial" w:hint="eastAsia"/>
          <w:kern w:val="0"/>
          <w:szCs w:val="21"/>
        </w:rPr>
        <w:t>、本公司</w:t>
      </w:r>
      <w:bookmarkStart w:id="9" w:name="_GoBack"/>
      <w:bookmarkEnd w:id="9"/>
    </w:p>
    <w:p w:rsidR="00EF0F63" w:rsidRDefault="00612349">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客服</w:t>
      </w:r>
      <w:r>
        <w:rPr>
          <w:rFonts w:asciiTheme="minorEastAsia" w:hAnsiTheme="minorEastAsia" w:cs="Arial"/>
          <w:kern w:val="0"/>
          <w:szCs w:val="21"/>
        </w:rPr>
        <w:t>电话</w:t>
      </w:r>
      <w:r>
        <w:t>：</w:t>
      </w:r>
      <w:r>
        <w:rPr>
          <w:rFonts w:asciiTheme="minorEastAsia" w:hAnsiTheme="minorEastAsia" w:cs="Arial" w:hint="eastAsia"/>
          <w:kern w:val="0"/>
          <w:szCs w:val="21"/>
        </w:rPr>
        <w:t>400-810-5599</w:t>
      </w:r>
    </w:p>
    <w:p w:rsidR="00EF0F63" w:rsidRDefault="00612349">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公司</w:t>
      </w:r>
      <w:r>
        <w:rPr>
          <w:rFonts w:asciiTheme="minorEastAsia" w:hAnsiTheme="minorEastAsia" w:cs="Arial"/>
          <w:kern w:val="0"/>
          <w:szCs w:val="21"/>
        </w:rPr>
        <w:t>网址</w:t>
      </w:r>
      <w:r>
        <w:t>：</w:t>
      </w:r>
      <w:r>
        <w:rPr>
          <w:rFonts w:asciiTheme="minorEastAsia" w:hAnsiTheme="minorEastAsia" w:cs="Arial" w:hint="eastAsia"/>
          <w:kern w:val="0"/>
          <w:szCs w:val="21"/>
        </w:rPr>
        <w:t>http://www.nanhuafunds.com</w:t>
      </w:r>
    </w:p>
    <w:p w:rsidR="00EF0F63" w:rsidRDefault="00612349">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风险提示：</w:t>
      </w:r>
    </w:p>
    <w:p w:rsidR="00EF0F63" w:rsidRDefault="00612349">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产品资料概要》等基金法律文件，了解基金的风险收益特征，并根据自身的风险承受能力选择适合自己的基金产品。基金管理人提醒投资人基金投资的“买者自负”原则，在做出投资决策后，基金运营状况与基金净值变化引致的投资风险，由投资人自行负</w:t>
      </w:r>
      <w:r>
        <w:rPr>
          <w:rFonts w:asciiTheme="minorEastAsia" w:hAnsiTheme="minorEastAsia" w:cs="Arial" w:hint="eastAsia"/>
          <w:kern w:val="0"/>
          <w:szCs w:val="21"/>
        </w:rPr>
        <w:t>担。敬请投资人在购买基金前认真考虑、谨慎决策。</w:t>
      </w:r>
    </w:p>
    <w:p w:rsidR="00EF0F63" w:rsidRDefault="00612349">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特此公告。</w:t>
      </w:r>
    </w:p>
    <w:p w:rsidR="00EF0F63" w:rsidRDefault="00612349">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 </w:t>
      </w:r>
    </w:p>
    <w:p w:rsidR="00EF0F63" w:rsidRDefault="00612349">
      <w:pPr>
        <w:widowControl/>
        <w:shd w:val="clear" w:color="auto" w:fill="FFFFFF"/>
        <w:spacing w:after="150" w:line="375" w:lineRule="atLeast"/>
        <w:ind w:firstLine="480"/>
        <w:jc w:val="right"/>
        <w:textAlignment w:val="baseline"/>
        <w:rPr>
          <w:rFonts w:asciiTheme="minorEastAsia" w:hAnsiTheme="minorEastAsia" w:cs="Arial"/>
          <w:kern w:val="0"/>
          <w:szCs w:val="21"/>
        </w:rPr>
      </w:pPr>
      <w:r>
        <w:rPr>
          <w:rFonts w:asciiTheme="minorEastAsia" w:hAnsiTheme="minorEastAsia" w:cs="Arial"/>
          <w:kern w:val="0"/>
          <w:szCs w:val="21"/>
        </w:rPr>
        <w:lastRenderedPageBreak/>
        <w:t>南华基金管理有限公司</w:t>
      </w:r>
    </w:p>
    <w:p w:rsidR="00EF0F63" w:rsidRDefault="00612349">
      <w:pPr>
        <w:widowControl/>
        <w:shd w:val="clear" w:color="auto" w:fill="FFFFFF"/>
        <w:spacing w:after="150" w:line="375" w:lineRule="atLeast"/>
        <w:ind w:firstLine="480"/>
        <w:jc w:val="right"/>
        <w:textAlignment w:val="baseline"/>
        <w:rPr>
          <w:rFonts w:ascii="宋体" w:eastAsia="宋体" w:hAnsi="宋体" w:cs="宋体"/>
          <w:kern w:val="0"/>
          <w:szCs w:val="21"/>
        </w:rPr>
      </w:pPr>
      <w:r>
        <w:rPr>
          <w:rFonts w:ascii="宋体" w:eastAsia="宋体" w:hAnsi="宋体" w:cs="宋体" w:hint="eastAsia"/>
          <w:kern w:val="0"/>
          <w:szCs w:val="21"/>
        </w:rPr>
        <w:t>202</w:t>
      </w:r>
      <w:r>
        <w:rPr>
          <w:rFonts w:ascii="宋体" w:eastAsia="宋体" w:hAnsi="宋体" w:cs="宋体" w:hint="eastAsia"/>
          <w:kern w:val="0"/>
          <w:szCs w:val="21"/>
        </w:rPr>
        <w:t>6</w:t>
      </w:r>
      <w:r>
        <w:rPr>
          <w:rFonts w:ascii="宋体" w:eastAsia="宋体" w:hAnsi="宋体" w:cs="宋体" w:hint="eastAsia"/>
          <w:kern w:val="0"/>
          <w:szCs w:val="21"/>
        </w:rPr>
        <w:t>年</w:t>
      </w:r>
      <w:r>
        <w:rPr>
          <w:rFonts w:ascii="宋体" w:eastAsia="宋体" w:hAnsi="宋体" w:cs="宋体" w:hint="eastAsia"/>
          <w:kern w:val="0"/>
          <w:szCs w:val="21"/>
        </w:rPr>
        <w:t>2</w:t>
      </w:r>
      <w:r>
        <w:rPr>
          <w:rFonts w:ascii="宋体" w:eastAsia="宋体" w:hAnsi="宋体" w:cs="宋体" w:hint="eastAsia"/>
          <w:kern w:val="0"/>
          <w:szCs w:val="21"/>
        </w:rPr>
        <w:t>月</w:t>
      </w:r>
      <w:r>
        <w:rPr>
          <w:rFonts w:ascii="宋体" w:eastAsia="宋体" w:hAnsi="宋体" w:cs="宋体" w:hint="eastAsia"/>
          <w:kern w:val="0"/>
          <w:szCs w:val="21"/>
        </w:rPr>
        <w:t>11</w:t>
      </w:r>
      <w:r>
        <w:rPr>
          <w:rFonts w:ascii="宋体" w:eastAsia="宋体" w:hAnsi="宋体" w:cs="宋体" w:hint="eastAsia"/>
          <w:kern w:val="0"/>
          <w:szCs w:val="21"/>
        </w:rPr>
        <w:t>日</w:t>
      </w:r>
    </w:p>
    <w:bookmarkEnd w:id="0"/>
    <w:bookmarkEnd w:id="1"/>
    <w:bookmarkEnd w:id="7"/>
    <w:bookmarkEnd w:id="8"/>
    <w:p w:rsidR="00EF0F63" w:rsidRDefault="00EF0F63"/>
    <w:sectPr w:rsidR="00EF0F63" w:rsidSect="00EF0F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charset w:val="00"/>
    <w:family w:val="roman"/>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kzYjA3MzJiYTRhZWY0YjljYTkzNzY0YjhmM2MyMjkifQ=="/>
  </w:docVars>
  <w:rsids>
    <w:rsidRoot w:val="00375856"/>
    <w:rsid w:val="0000213C"/>
    <w:rsid w:val="000025C0"/>
    <w:rsid w:val="000106E2"/>
    <w:rsid w:val="00014649"/>
    <w:rsid w:val="000251AB"/>
    <w:rsid w:val="0003564D"/>
    <w:rsid w:val="00042D5B"/>
    <w:rsid w:val="00046337"/>
    <w:rsid w:val="00054A5E"/>
    <w:rsid w:val="00091081"/>
    <w:rsid w:val="00095559"/>
    <w:rsid w:val="000A3191"/>
    <w:rsid w:val="000B4416"/>
    <w:rsid w:val="000D5366"/>
    <w:rsid w:val="000D7641"/>
    <w:rsid w:val="000E1AC1"/>
    <w:rsid w:val="000E4BBF"/>
    <w:rsid w:val="000E4D1F"/>
    <w:rsid w:val="000E6554"/>
    <w:rsid w:val="000F5501"/>
    <w:rsid w:val="00101282"/>
    <w:rsid w:val="00101F81"/>
    <w:rsid w:val="00103A52"/>
    <w:rsid w:val="00114D50"/>
    <w:rsid w:val="001176EB"/>
    <w:rsid w:val="00120BA4"/>
    <w:rsid w:val="00120BF0"/>
    <w:rsid w:val="00143898"/>
    <w:rsid w:val="00155C4E"/>
    <w:rsid w:val="00155F73"/>
    <w:rsid w:val="00156947"/>
    <w:rsid w:val="0017581F"/>
    <w:rsid w:val="001768AF"/>
    <w:rsid w:val="001846B9"/>
    <w:rsid w:val="00185078"/>
    <w:rsid w:val="001A5105"/>
    <w:rsid w:val="001B659E"/>
    <w:rsid w:val="001B697A"/>
    <w:rsid w:val="001B77DE"/>
    <w:rsid w:val="001D52FA"/>
    <w:rsid w:val="001E1037"/>
    <w:rsid w:val="001E6501"/>
    <w:rsid w:val="001F06DB"/>
    <w:rsid w:val="001F4046"/>
    <w:rsid w:val="00204C64"/>
    <w:rsid w:val="00210391"/>
    <w:rsid w:val="00226DE0"/>
    <w:rsid w:val="00232175"/>
    <w:rsid w:val="00237BE6"/>
    <w:rsid w:val="00243E37"/>
    <w:rsid w:val="00246697"/>
    <w:rsid w:val="0026415E"/>
    <w:rsid w:val="0027121A"/>
    <w:rsid w:val="00272AE5"/>
    <w:rsid w:val="00274D05"/>
    <w:rsid w:val="00277A6A"/>
    <w:rsid w:val="00280767"/>
    <w:rsid w:val="00296317"/>
    <w:rsid w:val="002A209C"/>
    <w:rsid w:val="002C3E68"/>
    <w:rsid w:val="002C4DC6"/>
    <w:rsid w:val="002C51BD"/>
    <w:rsid w:val="002D1A3E"/>
    <w:rsid w:val="002D29ED"/>
    <w:rsid w:val="002F3470"/>
    <w:rsid w:val="002F59EE"/>
    <w:rsid w:val="00307826"/>
    <w:rsid w:val="00334F91"/>
    <w:rsid w:val="003426D3"/>
    <w:rsid w:val="00354D95"/>
    <w:rsid w:val="00365ED5"/>
    <w:rsid w:val="00367C8F"/>
    <w:rsid w:val="00375856"/>
    <w:rsid w:val="00384359"/>
    <w:rsid w:val="003A065D"/>
    <w:rsid w:val="003A07CE"/>
    <w:rsid w:val="003A2C15"/>
    <w:rsid w:val="003A5E3A"/>
    <w:rsid w:val="003B182F"/>
    <w:rsid w:val="003C1B81"/>
    <w:rsid w:val="003D0DD5"/>
    <w:rsid w:val="003D402B"/>
    <w:rsid w:val="003D44A8"/>
    <w:rsid w:val="003E1164"/>
    <w:rsid w:val="003E709E"/>
    <w:rsid w:val="003E7265"/>
    <w:rsid w:val="003E77AC"/>
    <w:rsid w:val="003F6805"/>
    <w:rsid w:val="003F770C"/>
    <w:rsid w:val="003F7EB3"/>
    <w:rsid w:val="0040684A"/>
    <w:rsid w:val="00410250"/>
    <w:rsid w:val="00413EA5"/>
    <w:rsid w:val="00424889"/>
    <w:rsid w:val="00435CFE"/>
    <w:rsid w:val="00442FD0"/>
    <w:rsid w:val="004430B2"/>
    <w:rsid w:val="0045317F"/>
    <w:rsid w:val="004940C5"/>
    <w:rsid w:val="004A5FB7"/>
    <w:rsid w:val="004B0D46"/>
    <w:rsid w:val="004E1B14"/>
    <w:rsid w:val="004E2CAB"/>
    <w:rsid w:val="004E5B7F"/>
    <w:rsid w:val="00512743"/>
    <w:rsid w:val="0051399C"/>
    <w:rsid w:val="005159D5"/>
    <w:rsid w:val="0052380A"/>
    <w:rsid w:val="005279FE"/>
    <w:rsid w:val="005309B1"/>
    <w:rsid w:val="005310CE"/>
    <w:rsid w:val="005349B4"/>
    <w:rsid w:val="00534DCA"/>
    <w:rsid w:val="00541A2C"/>
    <w:rsid w:val="005439F1"/>
    <w:rsid w:val="00550FF8"/>
    <w:rsid w:val="005556FD"/>
    <w:rsid w:val="00555E61"/>
    <w:rsid w:val="0057000E"/>
    <w:rsid w:val="00593AA2"/>
    <w:rsid w:val="00594384"/>
    <w:rsid w:val="005A505F"/>
    <w:rsid w:val="005A77AA"/>
    <w:rsid w:val="005B0994"/>
    <w:rsid w:val="005B54D6"/>
    <w:rsid w:val="005E004E"/>
    <w:rsid w:val="005E5608"/>
    <w:rsid w:val="005F3A6D"/>
    <w:rsid w:val="005F5CF1"/>
    <w:rsid w:val="005F673B"/>
    <w:rsid w:val="00603A04"/>
    <w:rsid w:val="00605DD6"/>
    <w:rsid w:val="00612349"/>
    <w:rsid w:val="006331A8"/>
    <w:rsid w:val="006355A9"/>
    <w:rsid w:val="00646B51"/>
    <w:rsid w:val="00650C9F"/>
    <w:rsid w:val="006634C6"/>
    <w:rsid w:val="006657FA"/>
    <w:rsid w:val="0067024F"/>
    <w:rsid w:val="00676891"/>
    <w:rsid w:val="00680A08"/>
    <w:rsid w:val="006925A3"/>
    <w:rsid w:val="006A0F91"/>
    <w:rsid w:val="006C22A5"/>
    <w:rsid w:val="006E4F16"/>
    <w:rsid w:val="00703921"/>
    <w:rsid w:val="00705FA7"/>
    <w:rsid w:val="00711346"/>
    <w:rsid w:val="00721D42"/>
    <w:rsid w:val="00724733"/>
    <w:rsid w:val="00736535"/>
    <w:rsid w:val="00746DC4"/>
    <w:rsid w:val="00754655"/>
    <w:rsid w:val="0077013F"/>
    <w:rsid w:val="007813F5"/>
    <w:rsid w:val="00785269"/>
    <w:rsid w:val="00785275"/>
    <w:rsid w:val="007A2DC6"/>
    <w:rsid w:val="007A4920"/>
    <w:rsid w:val="007B0135"/>
    <w:rsid w:val="007C18C0"/>
    <w:rsid w:val="007C5FD7"/>
    <w:rsid w:val="007C6C19"/>
    <w:rsid w:val="007D1CB4"/>
    <w:rsid w:val="007E3009"/>
    <w:rsid w:val="007E363C"/>
    <w:rsid w:val="007E4829"/>
    <w:rsid w:val="00802C2A"/>
    <w:rsid w:val="00805232"/>
    <w:rsid w:val="008071B9"/>
    <w:rsid w:val="0081350B"/>
    <w:rsid w:val="00816B95"/>
    <w:rsid w:val="008359DB"/>
    <w:rsid w:val="00835EB5"/>
    <w:rsid w:val="00844E34"/>
    <w:rsid w:val="008456AE"/>
    <w:rsid w:val="00850C48"/>
    <w:rsid w:val="008527BF"/>
    <w:rsid w:val="00852F53"/>
    <w:rsid w:val="0086033D"/>
    <w:rsid w:val="008A0CCA"/>
    <w:rsid w:val="008A12CF"/>
    <w:rsid w:val="008A5029"/>
    <w:rsid w:val="008B60F0"/>
    <w:rsid w:val="008C7B2E"/>
    <w:rsid w:val="009010F9"/>
    <w:rsid w:val="00906818"/>
    <w:rsid w:val="009271F8"/>
    <w:rsid w:val="00930721"/>
    <w:rsid w:val="00930BA6"/>
    <w:rsid w:val="00946BC0"/>
    <w:rsid w:val="0095229B"/>
    <w:rsid w:val="00971459"/>
    <w:rsid w:val="0097240F"/>
    <w:rsid w:val="00975AE5"/>
    <w:rsid w:val="009852CA"/>
    <w:rsid w:val="0099369D"/>
    <w:rsid w:val="00997661"/>
    <w:rsid w:val="009A4C98"/>
    <w:rsid w:val="009B3AEB"/>
    <w:rsid w:val="009B4D6B"/>
    <w:rsid w:val="009B6352"/>
    <w:rsid w:val="009C682F"/>
    <w:rsid w:val="009C734D"/>
    <w:rsid w:val="009D0EBF"/>
    <w:rsid w:val="009F57DF"/>
    <w:rsid w:val="00A00A79"/>
    <w:rsid w:val="00A03448"/>
    <w:rsid w:val="00A05784"/>
    <w:rsid w:val="00A07D54"/>
    <w:rsid w:val="00A14039"/>
    <w:rsid w:val="00A16A0A"/>
    <w:rsid w:val="00A226E3"/>
    <w:rsid w:val="00A41311"/>
    <w:rsid w:val="00A43F69"/>
    <w:rsid w:val="00A53001"/>
    <w:rsid w:val="00A602B9"/>
    <w:rsid w:val="00A8332B"/>
    <w:rsid w:val="00A85298"/>
    <w:rsid w:val="00A87325"/>
    <w:rsid w:val="00A97FBE"/>
    <w:rsid w:val="00AA213B"/>
    <w:rsid w:val="00AA74F3"/>
    <w:rsid w:val="00AB1312"/>
    <w:rsid w:val="00AC0AFD"/>
    <w:rsid w:val="00AC34FC"/>
    <w:rsid w:val="00AE3448"/>
    <w:rsid w:val="00B05FC0"/>
    <w:rsid w:val="00B15686"/>
    <w:rsid w:val="00B33DD3"/>
    <w:rsid w:val="00B3524F"/>
    <w:rsid w:val="00B35C92"/>
    <w:rsid w:val="00B50F98"/>
    <w:rsid w:val="00B53EAD"/>
    <w:rsid w:val="00B71D84"/>
    <w:rsid w:val="00B861FD"/>
    <w:rsid w:val="00B90689"/>
    <w:rsid w:val="00BA5238"/>
    <w:rsid w:val="00BB123B"/>
    <w:rsid w:val="00BB7F0E"/>
    <w:rsid w:val="00BC7F42"/>
    <w:rsid w:val="00BD0934"/>
    <w:rsid w:val="00BD5301"/>
    <w:rsid w:val="00BE0396"/>
    <w:rsid w:val="00BE3735"/>
    <w:rsid w:val="00BE6072"/>
    <w:rsid w:val="00BF240C"/>
    <w:rsid w:val="00C11858"/>
    <w:rsid w:val="00C16D33"/>
    <w:rsid w:val="00C20ED5"/>
    <w:rsid w:val="00C237E9"/>
    <w:rsid w:val="00C25863"/>
    <w:rsid w:val="00C46B56"/>
    <w:rsid w:val="00C471EC"/>
    <w:rsid w:val="00C520FE"/>
    <w:rsid w:val="00C5264B"/>
    <w:rsid w:val="00C60B37"/>
    <w:rsid w:val="00C634DF"/>
    <w:rsid w:val="00CA3137"/>
    <w:rsid w:val="00CA5FD4"/>
    <w:rsid w:val="00CB0105"/>
    <w:rsid w:val="00CB5029"/>
    <w:rsid w:val="00CC0950"/>
    <w:rsid w:val="00CD2296"/>
    <w:rsid w:val="00CD531A"/>
    <w:rsid w:val="00CE6BCC"/>
    <w:rsid w:val="00D202F5"/>
    <w:rsid w:val="00D57D92"/>
    <w:rsid w:val="00D81DD4"/>
    <w:rsid w:val="00D92EE8"/>
    <w:rsid w:val="00DA0A13"/>
    <w:rsid w:val="00DA27D3"/>
    <w:rsid w:val="00DA3516"/>
    <w:rsid w:val="00DC7014"/>
    <w:rsid w:val="00DE58BF"/>
    <w:rsid w:val="00DF091E"/>
    <w:rsid w:val="00E00C14"/>
    <w:rsid w:val="00E0424B"/>
    <w:rsid w:val="00E07706"/>
    <w:rsid w:val="00E07D3D"/>
    <w:rsid w:val="00E125FF"/>
    <w:rsid w:val="00E17FF3"/>
    <w:rsid w:val="00E35C6D"/>
    <w:rsid w:val="00E44DCD"/>
    <w:rsid w:val="00E5069C"/>
    <w:rsid w:val="00E51A3A"/>
    <w:rsid w:val="00E56130"/>
    <w:rsid w:val="00E629F8"/>
    <w:rsid w:val="00E73BE3"/>
    <w:rsid w:val="00E81DD6"/>
    <w:rsid w:val="00E86638"/>
    <w:rsid w:val="00E94BD9"/>
    <w:rsid w:val="00EA2AF4"/>
    <w:rsid w:val="00EC342D"/>
    <w:rsid w:val="00EC59B2"/>
    <w:rsid w:val="00EC614C"/>
    <w:rsid w:val="00EE0895"/>
    <w:rsid w:val="00EF0F63"/>
    <w:rsid w:val="00F36FE9"/>
    <w:rsid w:val="00F43A40"/>
    <w:rsid w:val="00F5393A"/>
    <w:rsid w:val="00F74303"/>
    <w:rsid w:val="00F749CE"/>
    <w:rsid w:val="00F81EA6"/>
    <w:rsid w:val="00F8210E"/>
    <w:rsid w:val="00FA0C1B"/>
    <w:rsid w:val="00FA0C7A"/>
    <w:rsid w:val="00FB0084"/>
    <w:rsid w:val="00FB045A"/>
    <w:rsid w:val="00FC243D"/>
    <w:rsid w:val="00FC31A0"/>
    <w:rsid w:val="00FD61BA"/>
    <w:rsid w:val="013B45DA"/>
    <w:rsid w:val="036227AB"/>
    <w:rsid w:val="04073072"/>
    <w:rsid w:val="062B4441"/>
    <w:rsid w:val="06557E57"/>
    <w:rsid w:val="0C575C72"/>
    <w:rsid w:val="0DBD4932"/>
    <w:rsid w:val="0DBE14DF"/>
    <w:rsid w:val="0EF750D1"/>
    <w:rsid w:val="125A48E6"/>
    <w:rsid w:val="12C0739F"/>
    <w:rsid w:val="1B2D1D27"/>
    <w:rsid w:val="1CCD3335"/>
    <w:rsid w:val="211401D1"/>
    <w:rsid w:val="21E75FAA"/>
    <w:rsid w:val="243548F6"/>
    <w:rsid w:val="24E45062"/>
    <w:rsid w:val="25CE2420"/>
    <w:rsid w:val="29001F50"/>
    <w:rsid w:val="2F465057"/>
    <w:rsid w:val="30086444"/>
    <w:rsid w:val="32DC2281"/>
    <w:rsid w:val="38AF010E"/>
    <w:rsid w:val="3C284DEE"/>
    <w:rsid w:val="3CC66044"/>
    <w:rsid w:val="3D2A3223"/>
    <w:rsid w:val="43472D70"/>
    <w:rsid w:val="44EB79FC"/>
    <w:rsid w:val="4A491F67"/>
    <w:rsid w:val="4B2950F3"/>
    <w:rsid w:val="4B5F27D9"/>
    <w:rsid w:val="4C601CDE"/>
    <w:rsid w:val="4D514916"/>
    <w:rsid w:val="4DCA03C1"/>
    <w:rsid w:val="4DE51ADA"/>
    <w:rsid w:val="541152DF"/>
    <w:rsid w:val="552611C2"/>
    <w:rsid w:val="5A9658BC"/>
    <w:rsid w:val="5ADC1773"/>
    <w:rsid w:val="605B1725"/>
    <w:rsid w:val="62A2173A"/>
    <w:rsid w:val="63613264"/>
    <w:rsid w:val="68474DAB"/>
    <w:rsid w:val="69DA38BA"/>
    <w:rsid w:val="6A2F543D"/>
    <w:rsid w:val="70842DE5"/>
    <w:rsid w:val="714F30B8"/>
    <w:rsid w:val="72436759"/>
    <w:rsid w:val="72802C82"/>
    <w:rsid w:val="73B6012D"/>
    <w:rsid w:val="73F310C6"/>
    <w:rsid w:val="7BFB2776"/>
    <w:rsid w:val="7E024E93"/>
    <w:rsid w:val="7FD75F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F63"/>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EF0F6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EF0F6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F0F63"/>
    <w:pPr>
      <w:jc w:val="left"/>
    </w:pPr>
  </w:style>
  <w:style w:type="paragraph" w:styleId="a4">
    <w:name w:val="Balloon Text"/>
    <w:basedOn w:val="a"/>
    <w:link w:val="Char0"/>
    <w:uiPriority w:val="99"/>
    <w:semiHidden/>
    <w:unhideWhenUsed/>
    <w:qFormat/>
    <w:rsid w:val="00EF0F63"/>
    <w:rPr>
      <w:sz w:val="18"/>
      <w:szCs w:val="18"/>
    </w:rPr>
  </w:style>
  <w:style w:type="paragraph" w:styleId="a5">
    <w:name w:val="footer"/>
    <w:basedOn w:val="a"/>
    <w:link w:val="Char1"/>
    <w:uiPriority w:val="99"/>
    <w:unhideWhenUsed/>
    <w:qFormat/>
    <w:rsid w:val="00EF0F6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F0F6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EF0F63"/>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EF0F63"/>
    <w:rPr>
      <w:b/>
      <w:bCs/>
    </w:rPr>
  </w:style>
  <w:style w:type="character" w:styleId="a9">
    <w:name w:val="Strong"/>
    <w:basedOn w:val="a0"/>
    <w:uiPriority w:val="22"/>
    <w:qFormat/>
    <w:rsid w:val="00EF0F63"/>
    <w:rPr>
      <w:b/>
      <w:bCs/>
    </w:rPr>
  </w:style>
  <w:style w:type="character" w:styleId="aa">
    <w:name w:val="FollowedHyperlink"/>
    <w:basedOn w:val="a0"/>
    <w:uiPriority w:val="99"/>
    <w:semiHidden/>
    <w:unhideWhenUsed/>
    <w:qFormat/>
    <w:rsid w:val="00EF0F63"/>
    <w:rPr>
      <w:color w:val="954F72"/>
      <w:u w:val="single"/>
    </w:rPr>
  </w:style>
  <w:style w:type="character" w:styleId="ab">
    <w:name w:val="Emphasis"/>
    <w:basedOn w:val="a0"/>
    <w:uiPriority w:val="20"/>
    <w:qFormat/>
    <w:rsid w:val="00EF0F63"/>
    <w:rPr>
      <w:i/>
      <w:iCs/>
    </w:rPr>
  </w:style>
  <w:style w:type="character" w:styleId="ac">
    <w:name w:val="Hyperlink"/>
    <w:basedOn w:val="a0"/>
    <w:uiPriority w:val="99"/>
    <w:unhideWhenUsed/>
    <w:qFormat/>
    <w:rsid w:val="00EF0F63"/>
    <w:rPr>
      <w:color w:val="0563C1" w:themeColor="hyperlink"/>
      <w:u w:val="single"/>
    </w:rPr>
  </w:style>
  <w:style w:type="character" w:styleId="ad">
    <w:name w:val="annotation reference"/>
    <w:basedOn w:val="a0"/>
    <w:uiPriority w:val="99"/>
    <w:semiHidden/>
    <w:unhideWhenUsed/>
    <w:qFormat/>
    <w:rsid w:val="00EF0F63"/>
    <w:rPr>
      <w:sz w:val="21"/>
      <w:szCs w:val="21"/>
    </w:rPr>
  </w:style>
  <w:style w:type="character" w:customStyle="1" w:styleId="2Char">
    <w:name w:val="标题 2 Char"/>
    <w:basedOn w:val="a0"/>
    <w:link w:val="2"/>
    <w:uiPriority w:val="9"/>
    <w:qFormat/>
    <w:rsid w:val="00EF0F63"/>
    <w:rPr>
      <w:rFonts w:ascii="宋体" w:eastAsia="宋体" w:hAnsi="宋体" w:cs="宋体"/>
      <w:b/>
      <w:bCs/>
      <w:kern w:val="0"/>
      <w:sz w:val="36"/>
      <w:szCs w:val="36"/>
    </w:rPr>
  </w:style>
  <w:style w:type="character" w:customStyle="1" w:styleId="3Char">
    <w:name w:val="标题 3 Char"/>
    <w:basedOn w:val="a0"/>
    <w:link w:val="3"/>
    <w:uiPriority w:val="9"/>
    <w:qFormat/>
    <w:rsid w:val="00EF0F63"/>
    <w:rPr>
      <w:rFonts w:ascii="宋体" w:eastAsia="宋体" w:hAnsi="宋体" w:cs="宋体"/>
      <w:b/>
      <w:bCs/>
      <w:kern w:val="0"/>
      <w:sz w:val="27"/>
      <w:szCs w:val="27"/>
    </w:rPr>
  </w:style>
  <w:style w:type="character" w:customStyle="1" w:styleId="Char2">
    <w:name w:val="页眉 Char"/>
    <w:basedOn w:val="a0"/>
    <w:link w:val="a6"/>
    <w:uiPriority w:val="99"/>
    <w:qFormat/>
    <w:rsid w:val="00EF0F63"/>
    <w:rPr>
      <w:sz w:val="18"/>
      <w:szCs w:val="18"/>
    </w:rPr>
  </w:style>
  <w:style w:type="character" w:customStyle="1" w:styleId="Char1">
    <w:name w:val="页脚 Char"/>
    <w:basedOn w:val="a0"/>
    <w:link w:val="a5"/>
    <w:uiPriority w:val="99"/>
    <w:qFormat/>
    <w:rsid w:val="00EF0F63"/>
    <w:rPr>
      <w:sz w:val="18"/>
      <w:szCs w:val="18"/>
    </w:rPr>
  </w:style>
  <w:style w:type="paragraph" w:styleId="ae">
    <w:name w:val="List Paragraph"/>
    <w:basedOn w:val="a"/>
    <w:uiPriority w:val="34"/>
    <w:qFormat/>
    <w:rsid w:val="00EF0F63"/>
    <w:pPr>
      <w:ind w:firstLineChars="200" w:firstLine="420"/>
    </w:pPr>
  </w:style>
  <w:style w:type="character" w:customStyle="1" w:styleId="Char">
    <w:name w:val="批注文字 Char"/>
    <w:basedOn w:val="a0"/>
    <w:link w:val="a3"/>
    <w:uiPriority w:val="99"/>
    <w:semiHidden/>
    <w:qFormat/>
    <w:rsid w:val="00EF0F63"/>
  </w:style>
  <w:style w:type="character" w:customStyle="1" w:styleId="Char3">
    <w:name w:val="批注主题 Char"/>
    <w:basedOn w:val="Char"/>
    <w:link w:val="a8"/>
    <w:uiPriority w:val="99"/>
    <w:semiHidden/>
    <w:qFormat/>
    <w:rsid w:val="00EF0F63"/>
    <w:rPr>
      <w:b/>
      <w:bCs/>
    </w:rPr>
  </w:style>
  <w:style w:type="character" w:customStyle="1" w:styleId="Char0">
    <w:name w:val="批注框文本 Char"/>
    <w:basedOn w:val="a0"/>
    <w:link w:val="a4"/>
    <w:uiPriority w:val="99"/>
    <w:semiHidden/>
    <w:qFormat/>
    <w:rsid w:val="00EF0F63"/>
    <w:rPr>
      <w:sz w:val="18"/>
      <w:szCs w:val="18"/>
    </w:rPr>
  </w:style>
  <w:style w:type="paragraph" w:customStyle="1" w:styleId="1">
    <w:name w:val="修订1"/>
    <w:hidden/>
    <w:uiPriority w:val="99"/>
    <w:semiHidden/>
    <w:qFormat/>
    <w:rsid w:val="00EF0F63"/>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msz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D0429-4CA7-4114-B1CB-7757CD9A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1262</Characters>
  <Application>Microsoft Office Word</Application>
  <DocSecurity>4</DocSecurity>
  <Lines>10</Lines>
  <Paragraphs>2</Paragraphs>
  <ScaleCrop>false</ScaleCrop>
  <Company>HP</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吴恙</dc:creator>
  <cp:lastModifiedBy>ZHONGM</cp:lastModifiedBy>
  <cp:revision>2</cp:revision>
  <dcterms:created xsi:type="dcterms:W3CDTF">2026-02-10T16:01:00Z</dcterms:created>
  <dcterms:modified xsi:type="dcterms:W3CDTF">2026-02-10T16:01:00Z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C3736EB55D964618BE5B5C2363D4824D</vt:lpwstr>
  </property>
  <property fmtid="{D5CDD505-2E9C-101B-9397-08002B2CF9AE}" pid="4" name="KSOTemplateDocerSaveRecord">
    <vt:lpwstr>eyJoZGlkIjoiODU5ZDg1YTQyNDc0ZTRjZDBjYjJiM2E1ZjYxOWVhNjgiLCJ1c2VySWQiOiIxNDY3Nzg3MDkxIn0=</vt:lpwstr>
  </property>
</Properties>
</file>