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1BE3" w:rsidRPr="00B03CCB" w:rsidRDefault="005C67AF">
      <w:pPr>
        <w:spacing w:line="360" w:lineRule="auto"/>
        <w:jc w:val="center"/>
        <w:rPr>
          <w:rFonts w:asciiTheme="minorEastAsia" w:hAnsiTheme="minorEastAsia"/>
          <w:b/>
          <w:sz w:val="32"/>
          <w:szCs w:val="32"/>
        </w:rPr>
      </w:pPr>
      <w:r w:rsidRPr="00B03CCB">
        <w:rPr>
          <w:rFonts w:hint="eastAsia"/>
          <w:b/>
          <w:sz w:val="32"/>
          <w:szCs w:val="32"/>
        </w:rPr>
        <w:t>中信建投基金管理有限公司关于旗下部分基金增加广发银行股份有限公司</w:t>
      </w:r>
      <w:r w:rsidRPr="00B03CCB">
        <w:rPr>
          <w:rFonts w:ascii="宋体" w:hAnsi="宋体" w:hint="eastAsia"/>
          <w:b/>
          <w:sz w:val="32"/>
          <w:szCs w:val="32"/>
        </w:rPr>
        <w:t>为代销机构并</w:t>
      </w:r>
      <w:r w:rsidRPr="00B03CCB">
        <w:rPr>
          <w:rFonts w:asciiTheme="minorEastAsia" w:hAnsiTheme="minorEastAsia" w:hint="eastAsia"/>
          <w:b/>
          <w:sz w:val="32"/>
          <w:szCs w:val="32"/>
        </w:rPr>
        <w:t>开通定期定额投资业务及开展费率优惠的公告</w:t>
      </w:r>
    </w:p>
    <w:p w:rsidR="00741BE3" w:rsidRPr="00B03CCB" w:rsidRDefault="00741BE3">
      <w:pPr>
        <w:spacing w:line="360" w:lineRule="auto"/>
        <w:ind w:rightChars="200" w:right="420"/>
        <w:jc w:val="center"/>
        <w:rPr>
          <w:b/>
          <w:sz w:val="32"/>
          <w:szCs w:val="32"/>
        </w:rPr>
      </w:pP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根据中信建投基金管理有限公司与广发银行股份有限公司（以下简称“广发银行”）签署</w:t>
      </w:r>
      <w:r w:rsidRPr="00B03CCB">
        <w:rPr>
          <w:rFonts w:asciiTheme="minorEastAsia" w:hAnsiTheme="minorEastAsia" w:cs="Times New Roman"/>
          <w:sz w:val="24"/>
          <w:szCs w:val="24"/>
        </w:rPr>
        <w:t>的</w:t>
      </w:r>
      <w:r w:rsidRPr="00B03CCB">
        <w:rPr>
          <w:rFonts w:asciiTheme="minorEastAsia" w:hAnsiTheme="minorEastAsia" w:cs="Times New Roman" w:hint="eastAsia"/>
          <w:sz w:val="24"/>
          <w:szCs w:val="24"/>
        </w:rPr>
        <w:t>证券投资基金销售服务协议，自</w:t>
      </w:r>
      <w:r w:rsidRPr="00B03CCB">
        <w:rPr>
          <w:rFonts w:asciiTheme="minorEastAsia" w:hAnsiTheme="minorEastAsia" w:cs="Times New Roman"/>
          <w:sz w:val="24"/>
          <w:szCs w:val="24"/>
        </w:rPr>
        <w:t>202</w:t>
      </w:r>
      <w:r w:rsidRPr="00B03CCB">
        <w:rPr>
          <w:rFonts w:asciiTheme="minorEastAsia" w:hAnsiTheme="minorEastAsia" w:cs="Times New Roman" w:hint="eastAsia"/>
          <w:sz w:val="24"/>
          <w:szCs w:val="24"/>
        </w:rPr>
        <w:t>6</w:t>
      </w:r>
      <w:r w:rsidRPr="00B03CCB">
        <w:rPr>
          <w:rFonts w:asciiTheme="minorEastAsia" w:hAnsiTheme="minorEastAsia" w:cs="Times New Roman" w:hint="eastAsia"/>
          <w:sz w:val="24"/>
          <w:szCs w:val="24"/>
        </w:rPr>
        <w:t>年</w:t>
      </w:r>
      <w:r w:rsidRPr="00B03CCB">
        <w:rPr>
          <w:rFonts w:asciiTheme="minorEastAsia" w:hAnsiTheme="minorEastAsia" w:cs="Times New Roman" w:hint="eastAsia"/>
          <w:sz w:val="24"/>
          <w:szCs w:val="24"/>
        </w:rPr>
        <w:t>2</w:t>
      </w:r>
      <w:r w:rsidRPr="00B03CCB">
        <w:rPr>
          <w:rFonts w:asciiTheme="minorEastAsia" w:hAnsiTheme="minorEastAsia" w:cs="Times New Roman" w:hint="eastAsia"/>
          <w:sz w:val="24"/>
          <w:szCs w:val="24"/>
        </w:rPr>
        <w:t>月</w:t>
      </w:r>
      <w:r w:rsidRPr="00B03CCB">
        <w:rPr>
          <w:rFonts w:asciiTheme="minorEastAsia" w:hAnsiTheme="minorEastAsia" w:cs="Times New Roman" w:hint="eastAsia"/>
          <w:sz w:val="24"/>
          <w:szCs w:val="24"/>
        </w:rPr>
        <w:t>11</w:t>
      </w:r>
      <w:r w:rsidRPr="00B03CCB">
        <w:rPr>
          <w:rFonts w:asciiTheme="minorEastAsia" w:hAnsiTheme="minorEastAsia" w:cs="Times New Roman" w:hint="eastAsia"/>
          <w:sz w:val="24"/>
          <w:szCs w:val="24"/>
        </w:rPr>
        <w:t>日起，增加广发银行为中信建投基金管理有限公司旗下部分基金的代销机构。</w:t>
      </w:r>
    </w:p>
    <w:p w:rsidR="00741BE3" w:rsidRPr="00B03CCB" w:rsidRDefault="005C67AF" w:rsidP="00B03CCB">
      <w:pPr>
        <w:spacing w:line="360" w:lineRule="auto"/>
        <w:ind w:firstLineChars="200" w:firstLine="480"/>
        <w:rPr>
          <w:rFonts w:asciiTheme="minorEastAsia" w:hAnsiTheme="minorEastAsia"/>
          <w:sz w:val="24"/>
          <w:szCs w:val="24"/>
        </w:rPr>
      </w:pPr>
      <w:r w:rsidRPr="00B03CCB">
        <w:rPr>
          <w:rFonts w:asciiTheme="minorEastAsia" w:hAnsiTheme="minorEastAsia" w:hint="eastAsia"/>
          <w:sz w:val="24"/>
          <w:szCs w:val="24"/>
        </w:rPr>
        <w:t>一、适用基金范围</w:t>
      </w:r>
    </w:p>
    <w:tbl>
      <w:tblPr>
        <w:tblW w:w="9209" w:type="dxa"/>
        <w:jc w:val="center"/>
        <w:tblLook w:val="04A0"/>
      </w:tblPr>
      <w:tblGrid>
        <w:gridCol w:w="6091"/>
        <w:gridCol w:w="3118"/>
      </w:tblGrid>
      <w:tr w:rsidR="00741BE3" w:rsidRPr="00B03CCB">
        <w:trPr>
          <w:trHeight w:val="285"/>
          <w:jc w:val="center"/>
        </w:trPr>
        <w:tc>
          <w:tcPr>
            <w:tcW w:w="6091" w:type="dxa"/>
            <w:tcBorders>
              <w:top w:val="single" w:sz="4" w:space="0" w:color="auto"/>
              <w:left w:val="single" w:sz="4" w:space="0" w:color="auto"/>
              <w:bottom w:val="single" w:sz="4" w:space="0" w:color="auto"/>
              <w:right w:val="single" w:sz="4" w:space="0" w:color="auto"/>
            </w:tcBorders>
            <w:vAlign w:val="center"/>
          </w:tcPr>
          <w:p w:rsidR="00741BE3" w:rsidRPr="00B03CCB" w:rsidRDefault="005C67AF">
            <w:pPr>
              <w:widowControl/>
              <w:spacing w:line="360" w:lineRule="auto"/>
              <w:jc w:val="center"/>
              <w:rPr>
                <w:rFonts w:ascii="宋体" w:eastAsia="宋体" w:hAnsi="宋体" w:cs="宋体"/>
                <w:b/>
                <w:bCs/>
                <w:color w:val="000000"/>
                <w:kern w:val="0"/>
                <w:sz w:val="24"/>
                <w:szCs w:val="24"/>
              </w:rPr>
            </w:pPr>
            <w:r w:rsidRPr="00B03CCB">
              <w:rPr>
                <w:rFonts w:ascii="宋体" w:eastAsia="宋体" w:hAnsi="宋体" w:cs="宋体" w:hint="eastAsia"/>
                <w:b/>
                <w:bCs/>
                <w:color w:val="000000"/>
                <w:kern w:val="0"/>
                <w:sz w:val="24"/>
                <w:szCs w:val="24"/>
              </w:rPr>
              <w:t>基金名称</w:t>
            </w:r>
          </w:p>
        </w:tc>
        <w:tc>
          <w:tcPr>
            <w:tcW w:w="3118" w:type="dxa"/>
            <w:tcBorders>
              <w:top w:val="single" w:sz="4" w:space="0" w:color="auto"/>
              <w:left w:val="nil"/>
              <w:bottom w:val="single" w:sz="4" w:space="0" w:color="auto"/>
              <w:right w:val="single" w:sz="4" w:space="0" w:color="auto"/>
            </w:tcBorders>
            <w:vAlign w:val="center"/>
          </w:tcPr>
          <w:p w:rsidR="00741BE3" w:rsidRPr="00B03CCB" w:rsidRDefault="005C67AF">
            <w:pPr>
              <w:widowControl/>
              <w:spacing w:line="360" w:lineRule="auto"/>
              <w:jc w:val="center"/>
              <w:rPr>
                <w:rFonts w:ascii="宋体" w:eastAsia="宋体" w:hAnsi="宋体" w:cs="宋体"/>
                <w:b/>
                <w:bCs/>
                <w:color w:val="000000"/>
                <w:kern w:val="0"/>
                <w:sz w:val="24"/>
                <w:szCs w:val="24"/>
              </w:rPr>
            </w:pPr>
            <w:r w:rsidRPr="00B03CCB">
              <w:rPr>
                <w:rFonts w:ascii="宋体" w:eastAsia="宋体" w:hAnsi="宋体" w:cs="宋体" w:hint="eastAsia"/>
                <w:b/>
                <w:bCs/>
                <w:color w:val="000000"/>
                <w:kern w:val="0"/>
                <w:sz w:val="24"/>
                <w:szCs w:val="24"/>
              </w:rPr>
              <w:t>基金代码</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中信建投稳鑫</w:t>
            </w:r>
            <w:r w:rsidRPr="00B03CCB">
              <w:rPr>
                <w:rFonts w:ascii="宋体" w:eastAsia="宋体" w:hAnsi="宋体" w:cs="宋体" w:hint="eastAsia"/>
                <w:kern w:val="0"/>
                <w:sz w:val="24"/>
                <w:szCs w:val="24"/>
              </w:rPr>
              <w:t>30</w:t>
            </w:r>
            <w:r w:rsidRPr="00B03CCB">
              <w:rPr>
                <w:rFonts w:ascii="宋体" w:eastAsia="宋体" w:hAnsi="宋体" w:cs="宋体" w:hint="eastAsia"/>
                <w:kern w:val="0"/>
                <w:sz w:val="24"/>
                <w:szCs w:val="24"/>
              </w:rPr>
              <w:t>天持有期债券型证券投资基金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024586</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024587</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中信建投双鑫债券型证券投资基金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012338</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012339</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中信建投双利</w:t>
            </w:r>
            <w:r w:rsidRPr="00B03CCB">
              <w:rPr>
                <w:rFonts w:ascii="宋体" w:eastAsia="宋体" w:hAnsi="宋体" w:cs="宋体" w:hint="eastAsia"/>
                <w:kern w:val="0"/>
                <w:sz w:val="24"/>
                <w:szCs w:val="24"/>
              </w:rPr>
              <w:t>3</w:t>
            </w:r>
            <w:r w:rsidRPr="00B03CCB">
              <w:rPr>
                <w:rFonts w:ascii="宋体" w:eastAsia="宋体" w:hAnsi="宋体" w:cs="宋体" w:hint="eastAsia"/>
                <w:kern w:val="0"/>
                <w:sz w:val="24"/>
                <w:szCs w:val="24"/>
              </w:rPr>
              <w:t>个月持有期债券型证券投资基金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011671</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011672</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中信建投景和中短债债券型证券投资基金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000503</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000504</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中信建投中证</w:t>
            </w:r>
            <w:r w:rsidRPr="00B03CCB">
              <w:rPr>
                <w:rFonts w:ascii="宋体" w:eastAsia="宋体" w:hAnsi="宋体" w:cs="宋体" w:hint="eastAsia"/>
                <w:kern w:val="0"/>
                <w:sz w:val="24"/>
                <w:szCs w:val="24"/>
              </w:rPr>
              <w:t>1000</w:t>
            </w:r>
            <w:r w:rsidRPr="00B03CCB">
              <w:rPr>
                <w:rFonts w:ascii="宋体" w:eastAsia="宋体" w:hAnsi="宋体" w:cs="宋体" w:hint="eastAsia"/>
                <w:kern w:val="0"/>
                <w:sz w:val="24"/>
                <w:szCs w:val="24"/>
              </w:rPr>
              <w:t>指数增强型证券投资基金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015784</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015785</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中信建投致远混合型证券投资基金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019322</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019323</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中信建投趋势领航两年持有期混合型证券投资基金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016265</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016266</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中信建投北交所精选两年定期开放混合型证券投资基金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016303</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016304</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中信建投品质</w:t>
            </w:r>
            <w:r w:rsidRPr="00B03CCB">
              <w:rPr>
                <w:rFonts w:ascii="宋体" w:eastAsia="宋体" w:hAnsi="宋体" w:cs="宋体" w:hint="eastAsia"/>
                <w:kern w:val="0"/>
                <w:sz w:val="24"/>
                <w:szCs w:val="24"/>
              </w:rPr>
              <w:t>优选一年持有期混合型证券投资基金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014016</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014017</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中信建投价值甄选混合型证券投资基金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008347</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008348</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中信建投策略精选混合型证券投资基金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007468</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007469</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中信建投稳利混合型证券投资基金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000804</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006844</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中信建投行业轮换混合型证券投资基金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003822</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003823</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中信建投睿利灵活配置混合型发起式证券投资基金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003308</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004635</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中信建投医改灵活配置混合型证券投资基金</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002408</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007553</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中信建投睿选</w:t>
            </w:r>
            <w:r w:rsidRPr="00B03CCB">
              <w:rPr>
                <w:rFonts w:ascii="宋体" w:eastAsia="宋体" w:hAnsi="宋体" w:cs="宋体" w:hint="eastAsia"/>
                <w:kern w:val="0"/>
                <w:sz w:val="24"/>
                <w:szCs w:val="24"/>
              </w:rPr>
              <w:t>6</w:t>
            </w:r>
            <w:r w:rsidRPr="00B03CCB">
              <w:rPr>
                <w:rFonts w:ascii="宋体" w:eastAsia="宋体" w:hAnsi="宋体" w:cs="宋体" w:hint="eastAsia"/>
                <w:kern w:val="0"/>
                <w:sz w:val="24"/>
                <w:szCs w:val="24"/>
              </w:rPr>
              <w:t>个月持有期混合型基金中基金（</w:t>
            </w:r>
            <w:r w:rsidRPr="00B03CCB">
              <w:rPr>
                <w:rFonts w:ascii="宋体" w:eastAsia="宋体" w:hAnsi="宋体" w:cs="宋体" w:hint="eastAsia"/>
                <w:kern w:val="0"/>
                <w:sz w:val="24"/>
                <w:szCs w:val="24"/>
              </w:rPr>
              <w:t>FOF</w:t>
            </w:r>
            <w:r w:rsidRPr="00B03CCB">
              <w:rPr>
                <w:rFonts w:ascii="宋体" w:eastAsia="宋体" w:hAnsi="宋体" w:cs="宋体" w:hint="eastAsia"/>
                <w:kern w:val="0"/>
                <w:sz w:val="24"/>
                <w:szCs w:val="24"/>
              </w:rPr>
              <w:t>）</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013844</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013845</w:t>
            </w:r>
          </w:p>
        </w:tc>
      </w:tr>
      <w:tr w:rsidR="00741BE3" w:rsidRPr="00B03CCB">
        <w:trPr>
          <w:trHeight w:val="270"/>
          <w:jc w:val="center"/>
        </w:trPr>
        <w:tc>
          <w:tcPr>
            <w:tcW w:w="6091" w:type="dxa"/>
            <w:tcBorders>
              <w:top w:val="nil"/>
              <w:left w:val="single" w:sz="4" w:space="0" w:color="auto"/>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kern w:val="0"/>
                <w:sz w:val="24"/>
                <w:szCs w:val="24"/>
              </w:rPr>
            </w:pPr>
            <w:r w:rsidRPr="00B03CCB">
              <w:rPr>
                <w:rFonts w:ascii="宋体" w:eastAsia="宋体" w:hAnsi="宋体" w:cs="宋体" w:hint="eastAsia"/>
                <w:kern w:val="0"/>
                <w:sz w:val="24"/>
                <w:szCs w:val="24"/>
              </w:rPr>
              <w:t>中信建投民享稳健养老目标一年持有期混合型发起式基金中基金（</w:t>
            </w:r>
            <w:r w:rsidRPr="00B03CCB">
              <w:rPr>
                <w:rFonts w:ascii="宋体" w:eastAsia="宋体" w:hAnsi="宋体" w:cs="宋体" w:hint="eastAsia"/>
                <w:kern w:val="0"/>
                <w:sz w:val="24"/>
                <w:szCs w:val="24"/>
              </w:rPr>
              <w:t>FOF</w:t>
            </w:r>
            <w:r w:rsidRPr="00B03CCB">
              <w:rPr>
                <w:rFonts w:ascii="宋体" w:eastAsia="宋体" w:hAnsi="宋体" w:cs="宋体" w:hint="eastAsia"/>
                <w:kern w:val="0"/>
                <w:sz w:val="24"/>
                <w:szCs w:val="24"/>
              </w:rPr>
              <w:t>）</w:t>
            </w:r>
          </w:p>
        </w:tc>
        <w:tc>
          <w:tcPr>
            <w:tcW w:w="3118" w:type="dxa"/>
            <w:tcBorders>
              <w:top w:val="nil"/>
              <w:left w:val="nil"/>
              <w:bottom w:val="single" w:sz="4" w:space="0" w:color="auto"/>
              <w:right w:val="single" w:sz="4" w:space="0" w:color="auto"/>
            </w:tcBorders>
            <w:noWrap/>
            <w:vAlign w:val="center"/>
          </w:tcPr>
          <w:p w:rsidR="00741BE3" w:rsidRPr="00B03CCB" w:rsidRDefault="005C67AF">
            <w:pPr>
              <w:widowControl/>
              <w:spacing w:line="360" w:lineRule="auto"/>
              <w:jc w:val="center"/>
              <w:rPr>
                <w:rFonts w:ascii="宋体" w:eastAsia="宋体" w:hAnsi="宋体" w:cs="宋体"/>
                <w:color w:val="000000"/>
                <w:kern w:val="0"/>
                <w:sz w:val="24"/>
                <w:szCs w:val="24"/>
              </w:rPr>
            </w:pPr>
            <w:r w:rsidRPr="00B03CCB">
              <w:rPr>
                <w:rFonts w:ascii="宋体" w:eastAsia="宋体" w:hAnsi="宋体" w:cs="宋体" w:hint="eastAsia"/>
                <w:color w:val="000000"/>
                <w:kern w:val="0"/>
                <w:sz w:val="24"/>
                <w:szCs w:val="24"/>
              </w:rPr>
              <w:t>018979</w:t>
            </w:r>
          </w:p>
        </w:tc>
      </w:tr>
    </w:tbl>
    <w:p w:rsidR="00741BE3" w:rsidRPr="00B03CCB" w:rsidRDefault="00741BE3">
      <w:pPr>
        <w:spacing w:line="360" w:lineRule="auto"/>
        <w:ind w:firstLineChars="200" w:firstLine="480"/>
        <w:rPr>
          <w:rFonts w:asciiTheme="minorEastAsia" w:hAnsiTheme="minorEastAsia" w:cs="Times New Roman"/>
          <w:sz w:val="24"/>
          <w:szCs w:val="24"/>
        </w:rPr>
      </w:pPr>
    </w:p>
    <w:p w:rsidR="00741BE3" w:rsidRPr="00B03CCB" w:rsidRDefault="005C67AF">
      <w:pPr>
        <w:spacing w:line="360" w:lineRule="auto"/>
        <w:ind w:firstLineChars="200" w:firstLine="480"/>
        <w:rPr>
          <w:rFonts w:asciiTheme="minorEastAsia" w:hAnsiTheme="minorEastAsia" w:cs="Times New Roman"/>
          <w:sz w:val="24"/>
          <w:szCs w:val="24"/>
        </w:rPr>
      </w:pPr>
      <w:r w:rsidRPr="00B03CCB">
        <w:rPr>
          <w:rFonts w:asciiTheme="minorEastAsia" w:hAnsiTheme="minorEastAsia" w:cs="Times New Roman" w:hint="eastAsia"/>
          <w:sz w:val="24"/>
          <w:szCs w:val="24"/>
        </w:rPr>
        <w:lastRenderedPageBreak/>
        <w:t>二、基金开户、申购、赎回等业务</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hint="eastAsia"/>
          <w:sz w:val="24"/>
          <w:szCs w:val="24"/>
        </w:rPr>
        <w:t>自</w:t>
      </w:r>
      <w:r w:rsidRPr="00B03CCB">
        <w:rPr>
          <w:rFonts w:asciiTheme="minorEastAsia" w:hAnsiTheme="minorEastAsia"/>
          <w:sz w:val="24"/>
          <w:szCs w:val="24"/>
        </w:rPr>
        <w:t>202</w:t>
      </w:r>
      <w:r w:rsidRPr="00B03CCB">
        <w:rPr>
          <w:rFonts w:asciiTheme="minorEastAsia" w:hAnsiTheme="minorEastAsia" w:hint="eastAsia"/>
          <w:sz w:val="24"/>
          <w:szCs w:val="24"/>
        </w:rPr>
        <w:t>6</w:t>
      </w:r>
      <w:r w:rsidRPr="00B03CCB">
        <w:rPr>
          <w:rFonts w:asciiTheme="minorEastAsia" w:hAnsiTheme="minorEastAsia" w:hint="eastAsia"/>
          <w:sz w:val="24"/>
          <w:szCs w:val="24"/>
        </w:rPr>
        <w:t>年</w:t>
      </w:r>
      <w:r w:rsidRPr="00B03CCB">
        <w:rPr>
          <w:rFonts w:asciiTheme="minorEastAsia" w:hAnsiTheme="minorEastAsia" w:hint="eastAsia"/>
          <w:sz w:val="24"/>
          <w:szCs w:val="24"/>
        </w:rPr>
        <w:t>2</w:t>
      </w:r>
      <w:r w:rsidRPr="00B03CCB">
        <w:rPr>
          <w:rFonts w:asciiTheme="minorEastAsia" w:hAnsiTheme="minorEastAsia" w:hint="eastAsia"/>
          <w:sz w:val="24"/>
          <w:szCs w:val="24"/>
        </w:rPr>
        <w:t>月</w:t>
      </w:r>
      <w:r w:rsidRPr="00B03CCB">
        <w:rPr>
          <w:rFonts w:asciiTheme="minorEastAsia" w:hAnsiTheme="minorEastAsia" w:hint="eastAsia"/>
          <w:sz w:val="24"/>
          <w:szCs w:val="24"/>
        </w:rPr>
        <w:t>11</w:t>
      </w:r>
      <w:r w:rsidRPr="00B03CCB">
        <w:rPr>
          <w:rFonts w:asciiTheme="minorEastAsia" w:hAnsiTheme="minorEastAsia" w:hint="eastAsia"/>
          <w:sz w:val="24"/>
          <w:szCs w:val="24"/>
        </w:rPr>
        <w:t>日起，</w:t>
      </w:r>
      <w:r w:rsidRPr="00B03CCB">
        <w:rPr>
          <w:rFonts w:asciiTheme="minorEastAsia" w:hAnsiTheme="minorEastAsia" w:cs="Times New Roman" w:hint="eastAsia"/>
          <w:sz w:val="24"/>
          <w:szCs w:val="24"/>
        </w:rPr>
        <w:t>投资者可通过广发银行办理上述基金的开户、申购、赎回等业务，具体的业务流程、办理时间和办理方式以广发银行的规定为准。</w:t>
      </w:r>
    </w:p>
    <w:p w:rsidR="00741BE3" w:rsidRPr="00B03CCB" w:rsidRDefault="005C67AF">
      <w:pPr>
        <w:spacing w:line="360" w:lineRule="auto"/>
        <w:ind w:firstLine="480"/>
        <w:rPr>
          <w:rFonts w:asciiTheme="minorEastAsia" w:hAnsiTheme="minorEastAsia"/>
          <w:sz w:val="24"/>
          <w:szCs w:val="24"/>
        </w:rPr>
      </w:pPr>
      <w:r w:rsidRPr="00B03CCB">
        <w:rPr>
          <w:rFonts w:asciiTheme="minorEastAsia" w:hAnsiTheme="minorEastAsia" w:cs="Times New Roman" w:hint="eastAsia"/>
          <w:sz w:val="24"/>
          <w:szCs w:val="24"/>
        </w:rPr>
        <w:t>三、</w:t>
      </w:r>
      <w:r w:rsidRPr="00B03CCB">
        <w:rPr>
          <w:rFonts w:asciiTheme="minorEastAsia" w:hAnsiTheme="minorEastAsia" w:hint="eastAsia"/>
          <w:sz w:val="24"/>
          <w:szCs w:val="24"/>
        </w:rPr>
        <w:t>调整申购起点金额</w:t>
      </w:r>
    </w:p>
    <w:p w:rsidR="00741BE3" w:rsidRPr="00B03CCB" w:rsidRDefault="005C67AF">
      <w:pPr>
        <w:spacing w:line="360" w:lineRule="auto"/>
        <w:ind w:firstLineChars="200" w:firstLine="480"/>
        <w:rPr>
          <w:rFonts w:asciiTheme="minorEastAsia" w:hAnsiTheme="minorEastAsia"/>
          <w:sz w:val="24"/>
          <w:szCs w:val="24"/>
        </w:rPr>
      </w:pPr>
      <w:r w:rsidRPr="00B03CCB">
        <w:rPr>
          <w:rFonts w:asciiTheme="minorEastAsia" w:hAnsiTheme="minorEastAsia" w:hint="eastAsia"/>
          <w:sz w:val="24"/>
          <w:szCs w:val="24"/>
        </w:rPr>
        <w:t>自</w:t>
      </w:r>
      <w:r w:rsidRPr="00B03CCB">
        <w:rPr>
          <w:rFonts w:asciiTheme="minorEastAsia" w:hAnsiTheme="minorEastAsia"/>
          <w:sz w:val="24"/>
          <w:szCs w:val="24"/>
        </w:rPr>
        <w:t>202</w:t>
      </w:r>
      <w:r w:rsidRPr="00B03CCB">
        <w:rPr>
          <w:rFonts w:asciiTheme="minorEastAsia" w:hAnsiTheme="minorEastAsia" w:hint="eastAsia"/>
          <w:sz w:val="24"/>
          <w:szCs w:val="24"/>
        </w:rPr>
        <w:t>6</w:t>
      </w:r>
      <w:r w:rsidRPr="00B03CCB">
        <w:rPr>
          <w:rFonts w:asciiTheme="minorEastAsia" w:hAnsiTheme="minorEastAsia" w:hint="eastAsia"/>
          <w:sz w:val="24"/>
          <w:szCs w:val="24"/>
        </w:rPr>
        <w:t>年</w:t>
      </w:r>
      <w:r w:rsidRPr="00B03CCB">
        <w:rPr>
          <w:rFonts w:asciiTheme="minorEastAsia" w:hAnsiTheme="minorEastAsia" w:hint="eastAsia"/>
          <w:sz w:val="24"/>
          <w:szCs w:val="24"/>
        </w:rPr>
        <w:t>2</w:t>
      </w:r>
      <w:r w:rsidRPr="00B03CCB">
        <w:rPr>
          <w:rFonts w:asciiTheme="minorEastAsia" w:hAnsiTheme="minorEastAsia" w:hint="eastAsia"/>
          <w:sz w:val="24"/>
          <w:szCs w:val="24"/>
        </w:rPr>
        <w:t>月</w:t>
      </w:r>
      <w:r w:rsidRPr="00B03CCB">
        <w:rPr>
          <w:rFonts w:asciiTheme="minorEastAsia" w:hAnsiTheme="minorEastAsia" w:hint="eastAsia"/>
          <w:sz w:val="24"/>
          <w:szCs w:val="24"/>
        </w:rPr>
        <w:t>11</w:t>
      </w:r>
      <w:r w:rsidRPr="00B03CCB">
        <w:rPr>
          <w:rFonts w:asciiTheme="minorEastAsia" w:hAnsiTheme="minorEastAsia" w:hint="eastAsia"/>
          <w:sz w:val="24"/>
          <w:szCs w:val="24"/>
        </w:rPr>
        <w:t>日起，投资者通过</w:t>
      </w:r>
      <w:r w:rsidRPr="00B03CCB">
        <w:rPr>
          <w:rFonts w:asciiTheme="minorEastAsia" w:hAnsiTheme="minorEastAsia" w:cs="Times New Roman" w:hint="eastAsia"/>
          <w:sz w:val="24"/>
          <w:szCs w:val="24"/>
        </w:rPr>
        <w:t>广发银行</w:t>
      </w:r>
      <w:r w:rsidRPr="00B03CCB">
        <w:rPr>
          <w:rFonts w:asciiTheme="minorEastAsia" w:hAnsiTheme="minorEastAsia" w:hint="eastAsia"/>
          <w:sz w:val="24"/>
          <w:szCs w:val="24"/>
        </w:rPr>
        <w:t>申购上述基金，首次最低申购金额为</w:t>
      </w:r>
      <w:r w:rsidRPr="00B03CCB">
        <w:rPr>
          <w:rFonts w:asciiTheme="minorEastAsia" w:hAnsiTheme="minorEastAsia" w:hint="eastAsia"/>
          <w:sz w:val="24"/>
          <w:szCs w:val="24"/>
        </w:rPr>
        <w:t>1</w:t>
      </w:r>
      <w:r w:rsidRPr="00B03CCB">
        <w:rPr>
          <w:rFonts w:asciiTheme="minorEastAsia" w:hAnsiTheme="minorEastAsia"/>
          <w:sz w:val="24"/>
          <w:szCs w:val="24"/>
        </w:rPr>
        <w:t>0</w:t>
      </w:r>
      <w:r w:rsidRPr="00B03CCB">
        <w:rPr>
          <w:rFonts w:asciiTheme="minorEastAsia" w:hAnsiTheme="minorEastAsia" w:hint="eastAsia"/>
          <w:sz w:val="24"/>
          <w:szCs w:val="24"/>
        </w:rPr>
        <w:t>元（含</w:t>
      </w:r>
      <w:r w:rsidRPr="00B03CCB">
        <w:rPr>
          <w:rFonts w:asciiTheme="minorEastAsia" w:hAnsiTheme="minorEastAsia" w:hint="eastAsia"/>
          <w:sz w:val="24"/>
          <w:szCs w:val="24"/>
        </w:rPr>
        <w:t>10</w:t>
      </w:r>
      <w:r w:rsidRPr="00B03CCB">
        <w:rPr>
          <w:rFonts w:asciiTheme="minorEastAsia" w:hAnsiTheme="minorEastAsia" w:hint="eastAsia"/>
          <w:sz w:val="24"/>
          <w:szCs w:val="24"/>
        </w:rPr>
        <w:t>元）。</w:t>
      </w:r>
    </w:p>
    <w:p w:rsidR="00741BE3" w:rsidRPr="00B03CCB" w:rsidRDefault="005C67AF">
      <w:pPr>
        <w:spacing w:line="360" w:lineRule="auto"/>
        <w:ind w:firstLineChars="200" w:firstLine="480"/>
        <w:rPr>
          <w:rFonts w:asciiTheme="minorEastAsia" w:hAnsiTheme="minorEastAsia" w:cs="Times New Roman"/>
          <w:sz w:val="24"/>
          <w:szCs w:val="24"/>
        </w:rPr>
      </w:pPr>
      <w:r w:rsidRPr="00B03CCB">
        <w:rPr>
          <w:rFonts w:asciiTheme="minorEastAsia" w:hAnsiTheme="minorEastAsia" w:cs="Times New Roman" w:hint="eastAsia"/>
          <w:sz w:val="24"/>
          <w:szCs w:val="24"/>
        </w:rPr>
        <w:t>四、定期定额投资业务</w:t>
      </w:r>
    </w:p>
    <w:p w:rsidR="00741BE3" w:rsidRPr="00B03CCB" w:rsidRDefault="005C67AF">
      <w:pPr>
        <w:widowControl/>
        <w:spacing w:line="360" w:lineRule="auto"/>
        <w:ind w:firstLineChars="177" w:firstLine="425"/>
        <w:rPr>
          <w:rFonts w:ascii="宋体" w:eastAsia="宋体" w:hAnsi="宋体" w:cs="宋体"/>
          <w:kern w:val="0"/>
          <w:sz w:val="24"/>
          <w:szCs w:val="24"/>
        </w:rPr>
      </w:pPr>
      <w:r w:rsidRPr="00B03CCB">
        <w:rPr>
          <w:rFonts w:asciiTheme="minorEastAsia" w:hAnsiTheme="minorEastAsia" w:hint="eastAsia"/>
          <w:sz w:val="24"/>
          <w:szCs w:val="24"/>
        </w:rPr>
        <w:t>“定期定额投资业务”是基金申购业务的一种方式，投资者可以通过</w:t>
      </w:r>
      <w:r w:rsidRPr="00B03CCB">
        <w:rPr>
          <w:rFonts w:asciiTheme="minorEastAsia" w:hAnsiTheme="minorEastAsia" w:cs="Times New Roman" w:hint="eastAsia"/>
          <w:sz w:val="24"/>
          <w:szCs w:val="24"/>
        </w:rPr>
        <w:t>广发银行</w:t>
      </w:r>
      <w:r w:rsidRPr="00B03CCB">
        <w:rPr>
          <w:rFonts w:asciiTheme="minorEastAsia" w:hAnsiTheme="minorEastAsia" w:hint="eastAsia"/>
          <w:sz w:val="24"/>
          <w:szCs w:val="24"/>
        </w:rPr>
        <w:t>提交申请办理上述基金（不包括</w:t>
      </w:r>
      <w:r w:rsidRPr="00B03CCB">
        <w:rPr>
          <w:rFonts w:ascii="宋体" w:eastAsia="宋体" w:hAnsi="宋体" w:cs="宋体" w:hint="eastAsia"/>
          <w:kern w:val="0"/>
          <w:sz w:val="24"/>
          <w:szCs w:val="24"/>
        </w:rPr>
        <w:t>中信建投北交所精选两年定期开放混合型证券投资基金，基金代码：</w:t>
      </w:r>
      <w:r w:rsidRPr="00B03CCB">
        <w:rPr>
          <w:rFonts w:ascii="宋体" w:eastAsia="宋体" w:hAnsi="宋体" w:cs="宋体" w:hint="eastAsia"/>
          <w:kern w:val="0"/>
          <w:sz w:val="24"/>
          <w:szCs w:val="24"/>
        </w:rPr>
        <w:t>A</w:t>
      </w:r>
      <w:r w:rsidRPr="00B03CCB">
        <w:rPr>
          <w:rFonts w:ascii="宋体" w:eastAsia="宋体" w:hAnsi="宋体" w:cs="宋体" w:hint="eastAsia"/>
          <w:kern w:val="0"/>
          <w:sz w:val="24"/>
          <w:szCs w:val="24"/>
        </w:rPr>
        <w:t>类</w:t>
      </w:r>
      <w:r w:rsidRPr="00B03CCB">
        <w:rPr>
          <w:rFonts w:ascii="宋体" w:eastAsia="宋体" w:hAnsi="宋体" w:cs="宋体" w:hint="eastAsia"/>
          <w:kern w:val="0"/>
          <w:sz w:val="24"/>
          <w:szCs w:val="24"/>
        </w:rPr>
        <w:t>016303</w:t>
      </w:r>
      <w:r w:rsidRPr="00B03CCB">
        <w:rPr>
          <w:rFonts w:ascii="宋体" w:eastAsia="宋体" w:hAnsi="宋体" w:cs="宋体" w:hint="eastAsia"/>
          <w:kern w:val="0"/>
          <w:sz w:val="24"/>
          <w:szCs w:val="24"/>
        </w:rPr>
        <w:t>、</w:t>
      </w:r>
      <w:r w:rsidRPr="00B03CCB">
        <w:rPr>
          <w:rFonts w:ascii="宋体" w:eastAsia="宋体" w:hAnsi="宋体" w:cs="宋体" w:hint="eastAsia"/>
          <w:kern w:val="0"/>
          <w:sz w:val="24"/>
          <w:szCs w:val="24"/>
        </w:rPr>
        <w:t>C</w:t>
      </w:r>
      <w:r w:rsidRPr="00B03CCB">
        <w:rPr>
          <w:rFonts w:ascii="宋体" w:eastAsia="宋体" w:hAnsi="宋体" w:cs="宋体" w:hint="eastAsia"/>
          <w:kern w:val="0"/>
          <w:sz w:val="24"/>
          <w:szCs w:val="24"/>
        </w:rPr>
        <w:t>类</w:t>
      </w:r>
      <w:r w:rsidRPr="00B03CCB">
        <w:rPr>
          <w:rFonts w:ascii="宋体" w:eastAsia="宋体" w:hAnsi="宋体" w:cs="宋体" w:hint="eastAsia"/>
          <w:kern w:val="0"/>
          <w:sz w:val="24"/>
          <w:szCs w:val="24"/>
        </w:rPr>
        <w:t>016304</w:t>
      </w:r>
      <w:r w:rsidRPr="00B03CCB">
        <w:rPr>
          <w:rFonts w:asciiTheme="minorEastAsia" w:hAnsiTheme="minorEastAsia" w:hint="eastAsia"/>
          <w:sz w:val="24"/>
          <w:szCs w:val="24"/>
        </w:rPr>
        <w:t>）的定期定额投资业务，约定每期扣款时间、扣款金额及扣款方式，由</w:t>
      </w:r>
      <w:r w:rsidRPr="00B03CCB">
        <w:rPr>
          <w:rFonts w:asciiTheme="minorEastAsia" w:hAnsiTheme="minorEastAsia" w:cs="Times New Roman" w:hint="eastAsia"/>
          <w:sz w:val="24"/>
          <w:szCs w:val="24"/>
        </w:rPr>
        <w:t>广发银行</w:t>
      </w:r>
      <w:r w:rsidRPr="00B03CCB">
        <w:rPr>
          <w:rFonts w:asciiTheme="minorEastAsia" w:hAnsiTheme="minorEastAsia" w:hint="eastAsia"/>
          <w:sz w:val="24"/>
          <w:szCs w:val="24"/>
        </w:rPr>
        <w:t>于约定扣款日在投资者指定资金账户内自动完成扣款及基金申购业务。投资者在办理基金定期定额投资业务的同时，仍然可以进行日常申购、赎回业务。</w:t>
      </w:r>
    </w:p>
    <w:p w:rsidR="00741BE3" w:rsidRPr="00B03CCB" w:rsidRDefault="005C67AF">
      <w:pPr>
        <w:spacing w:line="360" w:lineRule="auto"/>
        <w:ind w:firstLine="420"/>
        <w:rPr>
          <w:rFonts w:asciiTheme="minorEastAsia" w:hAnsiTheme="minorEastAsia" w:cs="Times New Roman"/>
          <w:sz w:val="24"/>
          <w:szCs w:val="24"/>
        </w:rPr>
      </w:pPr>
      <w:r w:rsidRPr="00B03CCB">
        <w:rPr>
          <w:rFonts w:asciiTheme="minorEastAsia" w:hAnsiTheme="minorEastAsia" w:cs="Times New Roman" w:hint="eastAsia"/>
          <w:sz w:val="24"/>
          <w:szCs w:val="24"/>
        </w:rPr>
        <w:t>（一）适用投资者</w:t>
      </w:r>
    </w:p>
    <w:p w:rsidR="00741BE3" w:rsidRPr="00B03CCB" w:rsidRDefault="005C67AF">
      <w:pPr>
        <w:spacing w:line="360" w:lineRule="auto"/>
        <w:ind w:firstLineChars="200" w:firstLine="480"/>
        <w:rPr>
          <w:rFonts w:asciiTheme="minorEastAsia" w:hAnsiTheme="minorEastAsia"/>
          <w:sz w:val="24"/>
          <w:szCs w:val="24"/>
        </w:rPr>
      </w:pPr>
      <w:r w:rsidRPr="00B03CCB">
        <w:rPr>
          <w:rFonts w:asciiTheme="minorEastAsia" w:hAnsiTheme="minorEastAsia" w:hint="eastAsia"/>
          <w:sz w:val="24"/>
          <w:szCs w:val="24"/>
        </w:rPr>
        <w:t>定期定额投资业务适用于依据国家有关法律法规和基金合同约定的可以投资证券投资基</w:t>
      </w:r>
      <w:r w:rsidRPr="00B03CCB">
        <w:rPr>
          <w:rFonts w:asciiTheme="minorEastAsia" w:hAnsiTheme="minorEastAsia" w:hint="eastAsia"/>
          <w:sz w:val="24"/>
          <w:szCs w:val="24"/>
        </w:rPr>
        <w:t>金的投资者。</w:t>
      </w:r>
    </w:p>
    <w:p w:rsidR="00741BE3" w:rsidRPr="00B03CCB" w:rsidRDefault="005C67AF">
      <w:pPr>
        <w:spacing w:line="360" w:lineRule="auto"/>
        <w:ind w:firstLineChars="200" w:firstLine="480"/>
        <w:rPr>
          <w:rFonts w:asciiTheme="minorEastAsia" w:hAnsiTheme="minorEastAsia"/>
          <w:sz w:val="24"/>
          <w:szCs w:val="24"/>
        </w:rPr>
      </w:pPr>
      <w:r w:rsidRPr="00B03CCB">
        <w:rPr>
          <w:rFonts w:asciiTheme="minorEastAsia" w:hAnsiTheme="minorEastAsia" w:cs="Times New Roman" w:hint="eastAsia"/>
          <w:sz w:val="24"/>
          <w:szCs w:val="24"/>
        </w:rPr>
        <w:t>（二）</w:t>
      </w:r>
      <w:r w:rsidRPr="00B03CCB">
        <w:rPr>
          <w:rFonts w:asciiTheme="minorEastAsia" w:hAnsiTheme="minorEastAsia" w:hint="eastAsia"/>
          <w:sz w:val="24"/>
          <w:szCs w:val="24"/>
        </w:rPr>
        <w:t>办理场所</w:t>
      </w:r>
    </w:p>
    <w:p w:rsidR="00741BE3" w:rsidRPr="00B03CCB" w:rsidRDefault="005C67AF">
      <w:pPr>
        <w:spacing w:line="360" w:lineRule="auto"/>
        <w:ind w:firstLineChars="200" w:firstLine="480"/>
        <w:rPr>
          <w:rFonts w:asciiTheme="minorEastAsia" w:hAnsiTheme="minorEastAsia"/>
          <w:sz w:val="24"/>
          <w:szCs w:val="24"/>
        </w:rPr>
      </w:pPr>
      <w:r w:rsidRPr="00B03CCB">
        <w:rPr>
          <w:rFonts w:asciiTheme="minorEastAsia" w:hAnsiTheme="minorEastAsia" w:hint="eastAsia"/>
          <w:sz w:val="24"/>
          <w:szCs w:val="24"/>
        </w:rPr>
        <w:t>自</w:t>
      </w:r>
      <w:r w:rsidRPr="00B03CCB">
        <w:rPr>
          <w:rFonts w:asciiTheme="minorEastAsia" w:hAnsiTheme="minorEastAsia"/>
          <w:sz w:val="24"/>
          <w:szCs w:val="24"/>
        </w:rPr>
        <w:t>202</w:t>
      </w:r>
      <w:r w:rsidRPr="00B03CCB">
        <w:rPr>
          <w:rFonts w:asciiTheme="minorEastAsia" w:hAnsiTheme="minorEastAsia" w:hint="eastAsia"/>
          <w:sz w:val="24"/>
          <w:szCs w:val="24"/>
        </w:rPr>
        <w:t>6</w:t>
      </w:r>
      <w:r w:rsidRPr="00B03CCB">
        <w:rPr>
          <w:rFonts w:asciiTheme="minorEastAsia" w:hAnsiTheme="minorEastAsia" w:hint="eastAsia"/>
          <w:sz w:val="24"/>
          <w:szCs w:val="24"/>
        </w:rPr>
        <w:t>年</w:t>
      </w:r>
      <w:r w:rsidRPr="00B03CCB">
        <w:rPr>
          <w:rFonts w:asciiTheme="minorEastAsia" w:hAnsiTheme="minorEastAsia" w:hint="eastAsia"/>
          <w:sz w:val="24"/>
          <w:szCs w:val="24"/>
        </w:rPr>
        <w:t>2</w:t>
      </w:r>
      <w:r w:rsidRPr="00B03CCB">
        <w:rPr>
          <w:rFonts w:asciiTheme="minorEastAsia" w:hAnsiTheme="minorEastAsia" w:hint="eastAsia"/>
          <w:sz w:val="24"/>
          <w:szCs w:val="24"/>
        </w:rPr>
        <w:t>月</w:t>
      </w:r>
      <w:r w:rsidRPr="00B03CCB">
        <w:rPr>
          <w:rFonts w:asciiTheme="minorEastAsia" w:hAnsiTheme="minorEastAsia" w:hint="eastAsia"/>
          <w:sz w:val="24"/>
          <w:szCs w:val="24"/>
        </w:rPr>
        <w:t>11</w:t>
      </w:r>
      <w:r w:rsidRPr="00B03CCB">
        <w:rPr>
          <w:rFonts w:asciiTheme="minorEastAsia" w:hAnsiTheme="minorEastAsia" w:hint="eastAsia"/>
          <w:sz w:val="24"/>
          <w:szCs w:val="24"/>
        </w:rPr>
        <w:t>日起，投资者可</w:t>
      </w:r>
      <w:r w:rsidRPr="00B03CCB">
        <w:rPr>
          <w:rFonts w:asciiTheme="minorEastAsia" w:hAnsiTheme="minorEastAsia" w:cs="Times New Roman" w:hint="eastAsia"/>
          <w:sz w:val="24"/>
          <w:szCs w:val="24"/>
        </w:rPr>
        <w:t>按广发银行规定的办理方式</w:t>
      </w:r>
      <w:r w:rsidRPr="00B03CCB">
        <w:rPr>
          <w:rFonts w:asciiTheme="minorEastAsia" w:hAnsiTheme="minorEastAsia" w:hint="eastAsia"/>
          <w:sz w:val="24"/>
          <w:szCs w:val="24"/>
        </w:rPr>
        <w:t>办理上述基金（不包括</w:t>
      </w:r>
      <w:r w:rsidRPr="00B03CCB">
        <w:rPr>
          <w:rFonts w:ascii="宋体" w:eastAsia="宋体" w:hAnsi="宋体" w:cs="宋体" w:hint="eastAsia"/>
          <w:kern w:val="0"/>
          <w:sz w:val="24"/>
          <w:szCs w:val="24"/>
        </w:rPr>
        <w:t>中信建投北交所精选两年定期开放混合型证券投资基金，基金代码：</w:t>
      </w:r>
      <w:r w:rsidRPr="00B03CCB">
        <w:rPr>
          <w:rFonts w:ascii="宋体" w:eastAsia="宋体" w:hAnsi="宋体" w:cs="宋体" w:hint="eastAsia"/>
          <w:kern w:val="0"/>
          <w:sz w:val="24"/>
          <w:szCs w:val="24"/>
        </w:rPr>
        <w:t>A</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016303</w:t>
      </w:r>
      <w:r w:rsidRPr="00B03CCB">
        <w:rPr>
          <w:rFonts w:ascii="宋体" w:eastAsia="宋体" w:hAnsi="宋体" w:cs="宋体" w:hint="eastAsia"/>
          <w:color w:val="000000"/>
          <w:kern w:val="0"/>
          <w:sz w:val="24"/>
          <w:szCs w:val="24"/>
        </w:rPr>
        <w:t>、</w:t>
      </w:r>
      <w:r w:rsidRPr="00B03CCB">
        <w:rPr>
          <w:rFonts w:ascii="宋体" w:eastAsia="宋体" w:hAnsi="宋体" w:cs="宋体" w:hint="eastAsia"/>
          <w:color w:val="000000"/>
          <w:kern w:val="0"/>
          <w:sz w:val="24"/>
          <w:szCs w:val="24"/>
        </w:rPr>
        <w:t>C</w:t>
      </w:r>
      <w:r w:rsidRPr="00B03CCB">
        <w:rPr>
          <w:rFonts w:ascii="宋体" w:eastAsia="宋体" w:hAnsi="宋体" w:cs="宋体" w:hint="eastAsia"/>
          <w:color w:val="000000"/>
          <w:kern w:val="0"/>
          <w:sz w:val="24"/>
          <w:szCs w:val="24"/>
        </w:rPr>
        <w:t>类</w:t>
      </w:r>
      <w:r w:rsidRPr="00B03CCB">
        <w:rPr>
          <w:rFonts w:ascii="宋体" w:eastAsia="宋体" w:hAnsi="宋体" w:cs="宋体" w:hint="eastAsia"/>
          <w:color w:val="000000"/>
          <w:kern w:val="0"/>
          <w:sz w:val="24"/>
          <w:szCs w:val="24"/>
        </w:rPr>
        <w:t>016304</w:t>
      </w:r>
      <w:r w:rsidRPr="00B03CCB">
        <w:rPr>
          <w:rFonts w:asciiTheme="minorEastAsia" w:hAnsiTheme="minorEastAsia" w:hint="eastAsia"/>
          <w:sz w:val="24"/>
          <w:szCs w:val="24"/>
        </w:rPr>
        <w:t>）定期定额投资业务申请。</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（三）申请方式</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1</w:t>
      </w:r>
      <w:r w:rsidRPr="00B03CCB">
        <w:rPr>
          <w:rFonts w:asciiTheme="minorEastAsia" w:hAnsiTheme="minorEastAsia" w:cs="Times New Roman" w:hint="eastAsia"/>
          <w:sz w:val="24"/>
          <w:szCs w:val="24"/>
        </w:rPr>
        <w:t>、凡申请办理上述基金定期定额投资业务的投资者，须先开立中信建投基金管理有限公司开放式基金账户（已开户者除外）；</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2</w:t>
      </w:r>
      <w:r w:rsidRPr="00B03CCB">
        <w:rPr>
          <w:rFonts w:asciiTheme="minorEastAsia" w:hAnsiTheme="minorEastAsia" w:cs="Times New Roman" w:hint="eastAsia"/>
          <w:sz w:val="24"/>
          <w:szCs w:val="24"/>
        </w:rPr>
        <w:t>、已开立上述基金账户的投资者，应按广发银行规定的办理方式申请办理此项业务。</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（四）办理时间</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定期定额投资业务申请办理时间为开放式基金开放日</w:t>
      </w:r>
      <w:r w:rsidRPr="00B03CCB">
        <w:rPr>
          <w:rFonts w:asciiTheme="minorEastAsia" w:hAnsiTheme="minorEastAsia" w:cs="Times New Roman" w:hint="eastAsia"/>
          <w:sz w:val="24"/>
          <w:szCs w:val="24"/>
        </w:rPr>
        <w:t>9:30-15</w:t>
      </w:r>
      <w:r w:rsidRPr="00B03CCB">
        <w:rPr>
          <w:rFonts w:asciiTheme="minorEastAsia" w:hAnsiTheme="minorEastAsia" w:cs="Times New Roman" w:hint="eastAsia"/>
          <w:sz w:val="24"/>
          <w:szCs w:val="24"/>
        </w:rPr>
        <w:t>:00</w:t>
      </w:r>
      <w:r w:rsidRPr="00B03CCB">
        <w:rPr>
          <w:rFonts w:asciiTheme="minorEastAsia" w:hAnsiTheme="minorEastAsia" w:cs="Times New Roman" w:hint="eastAsia"/>
          <w:sz w:val="24"/>
          <w:szCs w:val="24"/>
        </w:rPr>
        <w:t>。</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（五）扣款日</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投资者应与广发银行约定固定扣款日期，该扣款日期视为基金合同中约定的</w:t>
      </w:r>
      <w:r w:rsidRPr="00B03CCB">
        <w:rPr>
          <w:rFonts w:asciiTheme="minorEastAsia" w:hAnsiTheme="minorEastAsia" w:cs="Times New Roman" w:hint="eastAsia"/>
          <w:sz w:val="24"/>
          <w:szCs w:val="24"/>
        </w:rPr>
        <w:lastRenderedPageBreak/>
        <w:t>申购申请日（</w:t>
      </w:r>
      <w:r w:rsidRPr="00B03CCB">
        <w:rPr>
          <w:rFonts w:asciiTheme="minorEastAsia" w:hAnsiTheme="minorEastAsia" w:cs="Times New Roman" w:hint="eastAsia"/>
          <w:sz w:val="24"/>
          <w:szCs w:val="24"/>
        </w:rPr>
        <w:t>T</w:t>
      </w:r>
      <w:r w:rsidRPr="00B03CCB">
        <w:rPr>
          <w:rFonts w:asciiTheme="minorEastAsia" w:hAnsiTheme="minorEastAsia" w:cs="Times New Roman" w:hint="eastAsia"/>
          <w:sz w:val="24"/>
          <w:szCs w:val="24"/>
        </w:rPr>
        <w:t>日）。</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（六）扣款金额</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投资者应与广发银行就上述基金申请开办定期定额投资业务约定固定扣款（申购）金额，基金扣款金额为人民币</w:t>
      </w:r>
      <w:r w:rsidRPr="00B03CCB">
        <w:rPr>
          <w:rFonts w:asciiTheme="minorEastAsia" w:hAnsiTheme="minorEastAsia" w:cs="Times New Roman"/>
          <w:sz w:val="24"/>
          <w:szCs w:val="24"/>
        </w:rPr>
        <w:t>10</w:t>
      </w:r>
      <w:r w:rsidRPr="00B03CCB">
        <w:rPr>
          <w:rFonts w:asciiTheme="minorEastAsia" w:hAnsiTheme="minorEastAsia" w:cs="Times New Roman" w:hint="eastAsia"/>
          <w:sz w:val="24"/>
          <w:szCs w:val="24"/>
        </w:rPr>
        <w:t>元起（含</w:t>
      </w:r>
      <w:r w:rsidRPr="00B03CCB">
        <w:rPr>
          <w:rFonts w:asciiTheme="minorEastAsia" w:hAnsiTheme="minorEastAsia" w:cs="Times New Roman" w:hint="eastAsia"/>
          <w:sz w:val="24"/>
          <w:szCs w:val="24"/>
        </w:rPr>
        <w:t>10</w:t>
      </w:r>
      <w:r w:rsidRPr="00B03CCB">
        <w:rPr>
          <w:rFonts w:asciiTheme="minorEastAsia" w:hAnsiTheme="minorEastAsia" w:cs="Times New Roman" w:hint="eastAsia"/>
          <w:sz w:val="24"/>
          <w:szCs w:val="24"/>
        </w:rPr>
        <w:t>元）。</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（七）扣款方式</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1</w:t>
      </w:r>
      <w:r w:rsidRPr="00B03CCB">
        <w:rPr>
          <w:rFonts w:asciiTheme="minorEastAsia" w:hAnsiTheme="minorEastAsia" w:cs="Times New Roman" w:hint="eastAsia"/>
          <w:sz w:val="24"/>
          <w:szCs w:val="24"/>
        </w:rPr>
        <w:t>、将按照投资者申请时所约定的固定扣款日、扣款金额扣款。若遇非基金申购开放日，则顺延至下一基金申购开放日；</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2</w:t>
      </w:r>
      <w:r w:rsidRPr="00B03CCB">
        <w:rPr>
          <w:rFonts w:asciiTheme="minorEastAsia" w:hAnsiTheme="minorEastAsia" w:cs="Times New Roman" w:hint="eastAsia"/>
          <w:sz w:val="24"/>
          <w:szCs w:val="24"/>
        </w:rPr>
        <w:t>、投资者须指定一个有效资金账户作为固定扣款账户。</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五、交易确认</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以实际扣款日（</w:t>
      </w:r>
      <w:r w:rsidRPr="00B03CCB">
        <w:rPr>
          <w:rFonts w:asciiTheme="minorEastAsia" w:hAnsiTheme="minorEastAsia" w:cs="Times New Roman" w:hint="eastAsia"/>
          <w:sz w:val="24"/>
          <w:szCs w:val="24"/>
        </w:rPr>
        <w:t>T</w:t>
      </w:r>
      <w:r w:rsidRPr="00B03CCB">
        <w:rPr>
          <w:rFonts w:asciiTheme="minorEastAsia" w:hAnsiTheme="minorEastAsia" w:cs="Times New Roman" w:hint="eastAsia"/>
          <w:sz w:val="24"/>
          <w:szCs w:val="24"/>
        </w:rPr>
        <w:t>日）的基金份额净值为基准计算申购份额。上述基金（不包括</w:t>
      </w:r>
      <w:r w:rsidRPr="00B03CCB">
        <w:rPr>
          <w:rFonts w:ascii="宋体" w:eastAsia="宋体" w:hAnsi="宋体" w:cs="宋体" w:hint="eastAsia"/>
          <w:kern w:val="0"/>
          <w:sz w:val="24"/>
          <w:szCs w:val="24"/>
        </w:rPr>
        <w:t>中信建投睿选</w:t>
      </w:r>
      <w:r w:rsidRPr="00B03CCB">
        <w:rPr>
          <w:rFonts w:ascii="宋体" w:eastAsia="宋体" w:hAnsi="宋体" w:cs="宋体" w:hint="eastAsia"/>
          <w:kern w:val="0"/>
          <w:sz w:val="24"/>
          <w:szCs w:val="24"/>
        </w:rPr>
        <w:t>6</w:t>
      </w:r>
      <w:r w:rsidRPr="00B03CCB">
        <w:rPr>
          <w:rFonts w:ascii="宋体" w:eastAsia="宋体" w:hAnsi="宋体" w:cs="宋体" w:hint="eastAsia"/>
          <w:kern w:val="0"/>
          <w:sz w:val="24"/>
          <w:szCs w:val="24"/>
        </w:rPr>
        <w:t>个月持有期混合型基金中基金（</w:t>
      </w:r>
      <w:r w:rsidRPr="00B03CCB">
        <w:rPr>
          <w:rFonts w:ascii="宋体" w:eastAsia="宋体" w:hAnsi="宋体" w:cs="宋体" w:hint="eastAsia"/>
          <w:kern w:val="0"/>
          <w:sz w:val="24"/>
          <w:szCs w:val="24"/>
        </w:rPr>
        <w:t>FOF</w:t>
      </w:r>
      <w:r w:rsidRPr="00B03CCB">
        <w:rPr>
          <w:rFonts w:ascii="宋体" w:eastAsia="宋体" w:hAnsi="宋体" w:cs="宋体" w:hint="eastAsia"/>
          <w:kern w:val="0"/>
          <w:sz w:val="24"/>
          <w:szCs w:val="24"/>
        </w:rPr>
        <w:t>）</w:t>
      </w:r>
      <w:r w:rsidRPr="00B03CCB">
        <w:rPr>
          <w:rFonts w:ascii="宋体" w:eastAsia="宋体" w:hAnsi="宋体" w:cs="宋体" w:hint="eastAsia"/>
          <w:color w:val="000000"/>
          <w:kern w:val="0"/>
          <w:sz w:val="24"/>
          <w:szCs w:val="24"/>
        </w:rPr>
        <w:t>及</w:t>
      </w:r>
      <w:r w:rsidRPr="00B03CCB">
        <w:rPr>
          <w:rFonts w:ascii="宋体" w:eastAsia="宋体" w:hAnsi="宋体" w:cs="宋体" w:hint="eastAsia"/>
          <w:kern w:val="0"/>
          <w:sz w:val="24"/>
          <w:szCs w:val="24"/>
        </w:rPr>
        <w:t>中信建投民享稳健养老目标一年持有期混合型发起式基金中基金（</w:t>
      </w:r>
      <w:r w:rsidRPr="00B03CCB">
        <w:rPr>
          <w:rFonts w:ascii="宋体" w:eastAsia="宋体" w:hAnsi="宋体" w:cs="宋体" w:hint="eastAsia"/>
          <w:kern w:val="0"/>
          <w:sz w:val="24"/>
          <w:szCs w:val="24"/>
        </w:rPr>
        <w:t>FOF</w:t>
      </w:r>
      <w:r w:rsidRPr="00B03CCB">
        <w:rPr>
          <w:rFonts w:ascii="宋体" w:eastAsia="宋体" w:hAnsi="宋体" w:cs="宋体" w:hint="eastAsia"/>
          <w:kern w:val="0"/>
          <w:sz w:val="24"/>
          <w:szCs w:val="24"/>
        </w:rPr>
        <w:t>）</w:t>
      </w:r>
      <w:r w:rsidRPr="00B03CCB">
        <w:rPr>
          <w:rFonts w:asciiTheme="minorEastAsia" w:hAnsiTheme="minorEastAsia" w:cs="Times New Roman" w:hint="eastAsia"/>
          <w:sz w:val="24"/>
          <w:szCs w:val="24"/>
        </w:rPr>
        <w:t>）份额确认日为</w:t>
      </w:r>
      <w:r w:rsidRPr="00B03CCB">
        <w:rPr>
          <w:rFonts w:asciiTheme="minorEastAsia" w:hAnsiTheme="minorEastAsia" w:cs="Times New Roman" w:hint="eastAsia"/>
          <w:sz w:val="24"/>
          <w:szCs w:val="24"/>
        </w:rPr>
        <w:t>T+1</w:t>
      </w:r>
      <w:r w:rsidRPr="00B03CCB">
        <w:rPr>
          <w:rFonts w:asciiTheme="minorEastAsia" w:hAnsiTheme="minorEastAsia" w:cs="Times New Roman" w:hint="eastAsia"/>
          <w:sz w:val="24"/>
          <w:szCs w:val="24"/>
        </w:rPr>
        <w:t>日，投资者可在</w:t>
      </w:r>
      <w:r w:rsidRPr="00B03CCB">
        <w:rPr>
          <w:rFonts w:asciiTheme="minorEastAsia" w:hAnsiTheme="minorEastAsia" w:cs="Times New Roman" w:hint="eastAsia"/>
          <w:sz w:val="24"/>
          <w:szCs w:val="24"/>
        </w:rPr>
        <w:t>T</w:t>
      </w:r>
      <w:r w:rsidRPr="00B03CCB">
        <w:rPr>
          <w:rFonts w:asciiTheme="minorEastAsia" w:hAnsiTheme="minorEastAsia" w:cs="Times New Roman" w:hint="eastAsia"/>
          <w:sz w:val="24"/>
          <w:szCs w:val="24"/>
        </w:rPr>
        <w:t>＋</w:t>
      </w:r>
      <w:r w:rsidRPr="00B03CCB">
        <w:rPr>
          <w:rFonts w:asciiTheme="minorEastAsia" w:hAnsiTheme="minorEastAsia" w:cs="Times New Roman" w:hint="eastAsia"/>
          <w:sz w:val="24"/>
          <w:szCs w:val="24"/>
        </w:rPr>
        <w:t>2</w:t>
      </w:r>
      <w:r w:rsidRPr="00B03CCB">
        <w:rPr>
          <w:rFonts w:asciiTheme="minorEastAsia" w:hAnsiTheme="minorEastAsia" w:cs="Times New Roman" w:hint="eastAsia"/>
          <w:sz w:val="24"/>
          <w:szCs w:val="24"/>
        </w:rPr>
        <w:t>日到广发银行查询相应基金的申购确认情况。</w:t>
      </w:r>
      <w:r w:rsidRPr="00B03CCB">
        <w:rPr>
          <w:rFonts w:ascii="宋体" w:eastAsia="宋体" w:hAnsi="宋体" w:cs="宋体" w:hint="eastAsia"/>
          <w:kern w:val="0"/>
          <w:sz w:val="24"/>
          <w:szCs w:val="24"/>
        </w:rPr>
        <w:t>中信建投睿选</w:t>
      </w:r>
      <w:r w:rsidRPr="00B03CCB">
        <w:rPr>
          <w:rFonts w:ascii="宋体" w:eastAsia="宋体" w:hAnsi="宋体" w:cs="宋体" w:hint="eastAsia"/>
          <w:kern w:val="0"/>
          <w:sz w:val="24"/>
          <w:szCs w:val="24"/>
        </w:rPr>
        <w:t>6</w:t>
      </w:r>
      <w:r w:rsidRPr="00B03CCB">
        <w:rPr>
          <w:rFonts w:ascii="宋体" w:eastAsia="宋体" w:hAnsi="宋体" w:cs="宋体" w:hint="eastAsia"/>
          <w:kern w:val="0"/>
          <w:sz w:val="24"/>
          <w:szCs w:val="24"/>
        </w:rPr>
        <w:t>个月持有期混合型基金中基金（</w:t>
      </w:r>
      <w:r w:rsidRPr="00B03CCB">
        <w:rPr>
          <w:rFonts w:ascii="宋体" w:eastAsia="宋体" w:hAnsi="宋体" w:cs="宋体" w:hint="eastAsia"/>
          <w:kern w:val="0"/>
          <w:sz w:val="24"/>
          <w:szCs w:val="24"/>
        </w:rPr>
        <w:t>FOF</w:t>
      </w:r>
      <w:r w:rsidRPr="00B03CCB">
        <w:rPr>
          <w:rFonts w:ascii="宋体" w:eastAsia="宋体" w:hAnsi="宋体" w:cs="宋体" w:hint="eastAsia"/>
          <w:kern w:val="0"/>
          <w:sz w:val="24"/>
          <w:szCs w:val="24"/>
        </w:rPr>
        <w:t>）份额确认日为</w:t>
      </w:r>
      <w:r w:rsidRPr="00B03CCB">
        <w:rPr>
          <w:rFonts w:ascii="宋体" w:eastAsia="宋体" w:hAnsi="宋体" w:cs="宋体" w:hint="eastAsia"/>
          <w:kern w:val="0"/>
          <w:sz w:val="24"/>
          <w:szCs w:val="24"/>
        </w:rPr>
        <w:t>T+2</w:t>
      </w:r>
      <w:r w:rsidRPr="00B03CCB">
        <w:rPr>
          <w:rFonts w:ascii="宋体" w:eastAsia="宋体" w:hAnsi="宋体" w:cs="宋体" w:hint="eastAsia"/>
          <w:kern w:val="0"/>
          <w:sz w:val="24"/>
          <w:szCs w:val="24"/>
        </w:rPr>
        <w:t>日，</w:t>
      </w:r>
      <w:r w:rsidRPr="00B03CCB">
        <w:rPr>
          <w:rFonts w:asciiTheme="minorEastAsia" w:hAnsiTheme="minorEastAsia" w:cs="Times New Roman" w:hint="eastAsia"/>
          <w:sz w:val="24"/>
          <w:szCs w:val="24"/>
        </w:rPr>
        <w:t>投资者可在</w:t>
      </w:r>
      <w:r w:rsidRPr="00B03CCB">
        <w:rPr>
          <w:rFonts w:asciiTheme="minorEastAsia" w:hAnsiTheme="minorEastAsia" w:cs="Times New Roman" w:hint="eastAsia"/>
          <w:sz w:val="24"/>
          <w:szCs w:val="24"/>
        </w:rPr>
        <w:t>T</w:t>
      </w:r>
      <w:r w:rsidRPr="00B03CCB">
        <w:rPr>
          <w:rFonts w:asciiTheme="minorEastAsia" w:hAnsiTheme="minorEastAsia" w:cs="Times New Roman" w:hint="eastAsia"/>
          <w:sz w:val="24"/>
          <w:szCs w:val="24"/>
        </w:rPr>
        <w:t>＋</w:t>
      </w:r>
      <w:r w:rsidRPr="00B03CCB">
        <w:rPr>
          <w:rFonts w:asciiTheme="minorEastAsia" w:hAnsiTheme="minorEastAsia" w:cs="Times New Roman" w:hint="eastAsia"/>
          <w:sz w:val="24"/>
          <w:szCs w:val="24"/>
        </w:rPr>
        <w:t>3</w:t>
      </w:r>
      <w:r w:rsidRPr="00B03CCB">
        <w:rPr>
          <w:rFonts w:asciiTheme="minorEastAsia" w:hAnsiTheme="minorEastAsia" w:cs="Times New Roman" w:hint="eastAsia"/>
          <w:sz w:val="24"/>
          <w:szCs w:val="24"/>
        </w:rPr>
        <w:t>日到广发银行查询相应基金的申购确认情况。</w:t>
      </w:r>
      <w:r w:rsidRPr="00B03CCB">
        <w:rPr>
          <w:rFonts w:ascii="宋体" w:eastAsia="宋体" w:hAnsi="宋体" w:cs="宋体" w:hint="eastAsia"/>
          <w:kern w:val="0"/>
          <w:sz w:val="24"/>
          <w:szCs w:val="24"/>
        </w:rPr>
        <w:t>中信建投民享稳健养老目标一年持有期混合型发起式基金中基金（</w:t>
      </w:r>
      <w:r w:rsidRPr="00B03CCB">
        <w:rPr>
          <w:rFonts w:ascii="宋体" w:eastAsia="宋体" w:hAnsi="宋体" w:cs="宋体" w:hint="eastAsia"/>
          <w:kern w:val="0"/>
          <w:sz w:val="24"/>
          <w:szCs w:val="24"/>
        </w:rPr>
        <w:t>FOF</w:t>
      </w:r>
      <w:r w:rsidRPr="00B03CCB">
        <w:rPr>
          <w:rFonts w:ascii="宋体" w:eastAsia="宋体" w:hAnsi="宋体" w:cs="宋体" w:hint="eastAsia"/>
          <w:kern w:val="0"/>
          <w:sz w:val="24"/>
          <w:szCs w:val="24"/>
        </w:rPr>
        <w:t>）份额确认日为</w:t>
      </w:r>
      <w:r w:rsidRPr="00B03CCB">
        <w:rPr>
          <w:rFonts w:ascii="宋体" w:eastAsia="宋体" w:hAnsi="宋体" w:cs="宋体" w:hint="eastAsia"/>
          <w:kern w:val="0"/>
          <w:sz w:val="24"/>
          <w:szCs w:val="24"/>
        </w:rPr>
        <w:t>T+3</w:t>
      </w:r>
      <w:r w:rsidRPr="00B03CCB">
        <w:rPr>
          <w:rFonts w:ascii="宋体" w:eastAsia="宋体" w:hAnsi="宋体" w:cs="宋体" w:hint="eastAsia"/>
          <w:kern w:val="0"/>
          <w:sz w:val="24"/>
          <w:szCs w:val="24"/>
        </w:rPr>
        <w:t>日，</w:t>
      </w:r>
      <w:r w:rsidRPr="00B03CCB">
        <w:rPr>
          <w:rFonts w:asciiTheme="minorEastAsia" w:hAnsiTheme="minorEastAsia" w:cs="Times New Roman" w:hint="eastAsia"/>
          <w:sz w:val="24"/>
          <w:szCs w:val="24"/>
        </w:rPr>
        <w:t>投资者可在</w:t>
      </w:r>
      <w:r w:rsidRPr="00B03CCB">
        <w:rPr>
          <w:rFonts w:asciiTheme="minorEastAsia" w:hAnsiTheme="minorEastAsia" w:cs="Times New Roman" w:hint="eastAsia"/>
          <w:sz w:val="24"/>
          <w:szCs w:val="24"/>
        </w:rPr>
        <w:t>T</w:t>
      </w:r>
      <w:r w:rsidRPr="00B03CCB">
        <w:rPr>
          <w:rFonts w:asciiTheme="minorEastAsia" w:hAnsiTheme="minorEastAsia" w:cs="Times New Roman" w:hint="eastAsia"/>
          <w:sz w:val="24"/>
          <w:szCs w:val="24"/>
        </w:rPr>
        <w:t>＋</w:t>
      </w:r>
      <w:r w:rsidRPr="00B03CCB">
        <w:rPr>
          <w:rFonts w:asciiTheme="minorEastAsia" w:hAnsiTheme="minorEastAsia" w:cs="Times New Roman" w:hint="eastAsia"/>
          <w:sz w:val="24"/>
          <w:szCs w:val="24"/>
        </w:rPr>
        <w:t>4</w:t>
      </w:r>
      <w:r w:rsidRPr="00B03CCB">
        <w:rPr>
          <w:rFonts w:asciiTheme="minorEastAsia" w:hAnsiTheme="minorEastAsia" w:cs="Times New Roman" w:hint="eastAsia"/>
          <w:sz w:val="24"/>
          <w:szCs w:val="24"/>
        </w:rPr>
        <w:t>日到广发银行查询相应基金的申购确认情况。</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六、定期定额投资业务的变更和终止</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1</w:t>
      </w:r>
      <w:r w:rsidRPr="00B03CCB">
        <w:rPr>
          <w:rFonts w:asciiTheme="minorEastAsia" w:hAnsiTheme="minorEastAsia" w:cs="Times New Roman" w:hint="eastAsia"/>
          <w:sz w:val="24"/>
          <w:szCs w:val="24"/>
        </w:rPr>
        <w:t>、投资者变更扣款金额、扣款日期、扣款账户等信息，须按广发银行规定的办理方式申请办理业务变更手续；</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2</w:t>
      </w:r>
      <w:r w:rsidRPr="00B03CCB">
        <w:rPr>
          <w:rFonts w:asciiTheme="minorEastAsia" w:hAnsiTheme="minorEastAsia" w:cs="Times New Roman" w:hint="eastAsia"/>
          <w:sz w:val="24"/>
          <w:szCs w:val="24"/>
        </w:rPr>
        <w:t>、投资者终止定期定额投资业务，须按广发银行规定的办理方式申请办理业务终止手续；</w:t>
      </w:r>
    </w:p>
    <w:p w:rsidR="00741BE3" w:rsidRPr="00B03CCB" w:rsidRDefault="005C67AF">
      <w:pPr>
        <w:spacing w:line="360" w:lineRule="auto"/>
        <w:ind w:firstLine="480"/>
        <w:rPr>
          <w:rFonts w:asciiTheme="minorEastAsia" w:hAnsiTheme="minorEastAsia" w:cs="Times New Roman"/>
          <w:sz w:val="24"/>
          <w:szCs w:val="24"/>
        </w:rPr>
      </w:pPr>
      <w:r w:rsidRPr="00B03CCB">
        <w:rPr>
          <w:rFonts w:asciiTheme="minorEastAsia" w:hAnsiTheme="minorEastAsia" w:cs="Times New Roman" w:hint="eastAsia"/>
          <w:sz w:val="24"/>
          <w:szCs w:val="24"/>
        </w:rPr>
        <w:t>3</w:t>
      </w:r>
      <w:r w:rsidRPr="00B03CCB">
        <w:rPr>
          <w:rFonts w:asciiTheme="minorEastAsia" w:hAnsiTheme="minorEastAsia" w:cs="Times New Roman" w:hint="eastAsia"/>
          <w:sz w:val="24"/>
          <w:szCs w:val="24"/>
        </w:rPr>
        <w:t>、具体办理程序应遵循广发银行的有关规定。</w:t>
      </w:r>
    </w:p>
    <w:p w:rsidR="00741BE3" w:rsidRPr="00B03CCB" w:rsidRDefault="005C67AF">
      <w:pPr>
        <w:spacing w:line="360" w:lineRule="auto"/>
        <w:ind w:firstLine="420"/>
        <w:rPr>
          <w:rFonts w:asciiTheme="minorEastAsia" w:hAnsiTheme="minorEastAsia" w:cs="Times New Roman"/>
          <w:sz w:val="24"/>
          <w:szCs w:val="24"/>
        </w:rPr>
      </w:pPr>
      <w:r w:rsidRPr="00B03CCB">
        <w:rPr>
          <w:rFonts w:asciiTheme="minorEastAsia" w:hAnsiTheme="minorEastAsia" w:hint="eastAsia"/>
          <w:sz w:val="24"/>
          <w:szCs w:val="24"/>
        </w:rPr>
        <w:t>七</w:t>
      </w:r>
      <w:r w:rsidRPr="00B03CCB">
        <w:rPr>
          <w:rFonts w:asciiTheme="minorEastAsia" w:hAnsiTheme="minorEastAsia" w:cs="Times New Roman" w:hint="eastAsia"/>
          <w:sz w:val="24"/>
          <w:szCs w:val="24"/>
        </w:rPr>
        <w:t>、</w:t>
      </w:r>
      <w:r w:rsidRPr="00B03CCB">
        <w:rPr>
          <w:rFonts w:asciiTheme="minorEastAsia" w:hAnsiTheme="minorEastAsia"/>
          <w:sz w:val="24"/>
          <w:szCs w:val="24"/>
        </w:rPr>
        <w:t>投资者通过</w:t>
      </w:r>
      <w:r w:rsidRPr="00B03CCB">
        <w:rPr>
          <w:rFonts w:asciiTheme="minorEastAsia" w:hAnsiTheme="minorEastAsia" w:cs="Times New Roman" w:hint="eastAsia"/>
          <w:sz w:val="24"/>
          <w:szCs w:val="24"/>
        </w:rPr>
        <w:t>广发银行</w:t>
      </w:r>
      <w:r w:rsidRPr="00B03CCB">
        <w:rPr>
          <w:rFonts w:asciiTheme="minorEastAsia" w:hAnsiTheme="minorEastAsia"/>
          <w:sz w:val="24"/>
          <w:szCs w:val="24"/>
        </w:rPr>
        <w:t>指定</w:t>
      </w:r>
      <w:r w:rsidRPr="00B03CCB">
        <w:rPr>
          <w:rFonts w:asciiTheme="minorEastAsia" w:hAnsiTheme="minorEastAsia" w:hint="eastAsia"/>
          <w:sz w:val="24"/>
          <w:szCs w:val="24"/>
        </w:rPr>
        <w:t>方式</w:t>
      </w:r>
      <w:r w:rsidRPr="00B03CCB">
        <w:rPr>
          <w:rFonts w:asciiTheme="minorEastAsia" w:hAnsiTheme="minorEastAsia"/>
          <w:sz w:val="24"/>
          <w:szCs w:val="24"/>
        </w:rPr>
        <w:t>办理</w:t>
      </w:r>
      <w:r w:rsidRPr="00B03CCB">
        <w:rPr>
          <w:rFonts w:asciiTheme="minorEastAsia" w:hAnsiTheme="minorEastAsia" w:hint="eastAsia"/>
          <w:sz w:val="24"/>
          <w:szCs w:val="24"/>
        </w:rPr>
        <w:t>上述基金</w:t>
      </w:r>
      <w:r w:rsidRPr="00B03CCB">
        <w:rPr>
          <w:rFonts w:asciiTheme="minorEastAsia" w:hAnsiTheme="minorEastAsia" w:cs="Times New Roman" w:hint="eastAsia"/>
          <w:sz w:val="24"/>
          <w:szCs w:val="24"/>
        </w:rPr>
        <w:t>A</w:t>
      </w:r>
      <w:r w:rsidRPr="00B03CCB">
        <w:rPr>
          <w:rFonts w:asciiTheme="minorEastAsia" w:hAnsiTheme="minorEastAsia" w:cs="Times New Roman" w:hint="eastAsia"/>
          <w:sz w:val="24"/>
          <w:szCs w:val="24"/>
        </w:rPr>
        <w:t>类份额</w:t>
      </w:r>
      <w:r w:rsidRPr="00B03CCB">
        <w:rPr>
          <w:rFonts w:hint="eastAsia"/>
        </w:rPr>
        <w:t>、</w:t>
      </w:r>
      <w:r w:rsidRPr="00B03CCB">
        <w:rPr>
          <w:rFonts w:ascii="宋体" w:eastAsia="宋体" w:hAnsi="宋体" w:cs="宋体" w:hint="eastAsia"/>
          <w:kern w:val="0"/>
          <w:sz w:val="24"/>
          <w:szCs w:val="24"/>
        </w:rPr>
        <w:t>中信建投民享稳健养老目标一年持有期混合型发起式基金中基金（</w:t>
      </w:r>
      <w:r w:rsidRPr="00B03CCB">
        <w:rPr>
          <w:rFonts w:ascii="宋体" w:eastAsia="宋体" w:hAnsi="宋体" w:cs="宋体" w:hint="eastAsia"/>
          <w:kern w:val="0"/>
          <w:sz w:val="24"/>
          <w:szCs w:val="24"/>
        </w:rPr>
        <w:t>FOF</w:t>
      </w:r>
      <w:r w:rsidRPr="00B03CCB">
        <w:rPr>
          <w:rFonts w:ascii="宋体" w:eastAsia="宋体" w:hAnsi="宋体" w:cs="宋体" w:hint="eastAsia"/>
          <w:kern w:val="0"/>
          <w:sz w:val="24"/>
          <w:szCs w:val="24"/>
        </w:rPr>
        <w:t>）</w:t>
      </w:r>
      <w:r w:rsidRPr="00B03CCB">
        <w:rPr>
          <w:rFonts w:asciiTheme="minorEastAsia" w:hAnsiTheme="minorEastAsia" w:cs="Times New Roman" w:hint="eastAsia"/>
          <w:sz w:val="24"/>
          <w:szCs w:val="24"/>
        </w:rPr>
        <w:t>的申购（含定期定额投资）业务具体折扣率以广发银行的规定为准。</w:t>
      </w:r>
    </w:p>
    <w:p w:rsidR="00741BE3" w:rsidRPr="00B03CCB" w:rsidRDefault="005C67AF">
      <w:pPr>
        <w:spacing w:line="360" w:lineRule="auto"/>
        <w:ind w:firstLine="420"/>
        <w:rPr>
          <w:rFonts w:asciiTheme="minorEastAsia" w:hAnsiTheme="minorEastAsia"/>
          <w:sz w:val="24"/>
          <w:szCs w:val="24"/>
        </w:rPr>
      </w:pPr>
      <w:r w:rsidRPr="00B03CCB">
        <w:rPr>
          <w:rFonts w:asciiTheme="minorEastAsia" w:hAnsiTheme="minorEastAsia" w:cs="Times New Roman" w:hint="eastAsia"/>
          <w:sz w:val="24"/>
          <w:szCs w:val="24"/>
        </w:rPr>
        <w:t>八、</w:t>
      </w:r>
      <w:r w:rsidRPr="00B03CCB">
        <w:rPr>
          <w:rFonts w:asciiTheme="minorEastAsia" w:hAnsiTheme="minorEastAsia" w:hint="eastAsia"/>
          <w:sz w:val="24"/>
          <w:szCs w:val="24"/>
        </w:rPr>
        <w:t>投资者可通过以下途径了解或咨询相关情况：</w:t>
      </w:r>
    </w:p>
    <w:p w:rsidR="00741BE3" w:rsidRPr="00B03CCB" w:rsidRDefault="005C67AF">
      <w:pPr>
        <w:spacing w:line="360" w:lineRule="auto"/>
        <w:ind w:rightChars="200" w:right="420" w:firstLineChars="200" w:firstLine="480"/>
        <w:rPr>
          <w:rFonts w:asciiTheme="minorEastAsia" w:hAnsiTheme="minorEastAsia"/>
          <w:sz w:val="24"/>
          <w:szCs w:val="24"/>
        </w:rPr>
      </w:pPr>
      <w:r w:rsidRPr="00B03CCB">
        <w:rPr>
          <w:rFonts w:asciiTheme="minorEastAsia" w:hAnsiTheme="minorEastAsia" w:hint="eastAsia"/>
          <w:sz w:val="24"/>
          <w:szCs w:val="24"/>
        </w:rPr>
        <w:t>1</w:t>
      </w:r>
      <w:r w:rsidRPr="00B03CCB">
        <w:rPr>
          <w:rFonts w:asciiTheme="minorEastAsia" w:hAnsiTheme="minorEastAsia" w:hint="eastAsia"/>
          <w:sz w:val="24"/>
          <w:szCs w:val="24"/>
        </w:rPr>
        <w:t>、广发银行股份有限公司</w:t>
      </w:r>
    </w:p>
    <w:p w:rsidR="00741BE3" w:rsidRPr="00B03CCB" w:rsidRDefault="005C67AF">
      <w:pPr>
        <w:spacing w:line="360" w:lineRule="auto"/>
        <w:ind w:rightChars="200" w:right="420" w:firstLineChars="200" w:firstLine="480"/>
        <w:rPr>
          <w:rFonts w:asciiTheme="minorEastAsia" w:hAnsiTheme="minorEastAsia"/>
          <w:sz w:val="24"/>
          <w:szCs w:val="24"/>
        </w:rPr>
      </w:pPr>
      <w:r w:rsidRPr="00B03CCB">
        <w:rPr>
          <w:rFonts w:asciiTheme="minorEastAsia" w:hAnsiTheme="minorEastAsia" w:hint="eastAsia"/>
          <w:sz w:val="24"/>
          <w:szCs w:val="24"/>
        </w:rPr>
        <w:t>网址：</w:t>
      </w:r>
      <w:r w:rsidRPr="00B03CCB">
        <w:rPr>
          <w:rFonts w:asciiTheme="minorEastAsia" w:hAnsiTheme="minorEastAsia"/>
          <w:sz w:val="24"/>
          <w:szCs w:val="24"/>
        </w:rPr>
        <w:t>www.cgbchina.com.cn</w:t>
      </w:r>
    </w:p>
    <w:p w:rsidR="00741BE3" w:rsidRPr="00B03CCB" w:rsidRDefault="005C67AF">
      <w:pPr>
        <w:spacing w:line="360" w:lineRule="auto"/>
        <w:ind w:rightChars="200" w:right="420" w:firstLineChars="200" w:firstLine="480"/>
        <w:rPr>
          <w:rFonts w:asciiTheme="minorEastAsia" w:hAnsiTheme="minorEastAsia"/>
          <w:sz w:val="24"/>
          <w:szCs w:val="24"/>
        </w:rPr>
      </w:pPr>
      <w:r w:rsidRPr="00B03CCB">
        <w:rPr>
          <w:rFonts w:asciiTheme="minorEastAsia" w:hAnsiTheme="minorEastAsia" w:hint="eastAsia"/>
          <w:sz w:val="24"/>
          <w:szCs w:val="24"/>
        </w:rPr>
        <w:t>联系电话：</w:t>
      </w:r>
      <w:r w:rsidRPr="00B03CCB">
        <w:rPr>
          <w:rFonts w:asciiTheme="minorEastAsia" w:hAnsiTheme="minorEastAsia"/>
          <w:sz w:val="24"/>
          <w:szCs w:val="24"/>
        </w:rPr>
        <w:t>400-830-8003</w:t>
      </w:r>
    </w:p>
    <w:p w:rsidR="00741BE3" w:rsidRPr="00B03CCB" w:rsidRDefault="005C67AF">
      <w:pPr>
        <w:spacing w:line="360" w:lineRule="auto"/>
        <w:ind w:rightChars="200" w:right="420" w:firstLineChars="200" w:firstLine="480"/>
        <w:rPr>
          <w:rFonts w:asciiTheme="minorEastAsia" w:hAnsiTheme="minorEastAsia" w:cs="Times New Roman"/>
          <w:sz w:val="24"/>
          <w:szCs w:val="24"/>
        </w:rPr>
      </w:pPr>
      <w:r w:rsidRPr="00B03CCB">
        <w:rPr>
          <w:rFonts w:asciiTheme="minorEastAsia" w:hAnsiTheme="minorEastAsia" w:cs="Times New Roman" w:hint="eastAsia"/>
          <w:sz w:val="24"/>
          <w:szCs w:val="24"/>
        </w:rPr>
        <w:t>2</w:t>
      </w:r>
      <w:r w:rsidRPr="00B03CCB">
        <w:rPr>
          <w:rFonts w:asciiTheme="minorEastAsia" w:hAnsiTheme="minorEastAsia" w:cs="Times New Roman" w:hint="eastAsia"/>
          <w:sz w:val="24"/>
          <w:szCs w:val="24"/>
        </w:rPr>
        <w:t>、中信建投基金管理有限公司</w:t>
      </w:r>
    </w:p>
    <w:p w:rsidR="00741BE3" w:rsidRPr="00B03CCB" w:rsidRDefault="005C67AF">
      <w:pPr>
        <w:spacing w:line="360" w:lineRule="auto"/>
        <w:ind w:firstLineChars="200" w:firstLine="480"/>
        <w:rPr>
          <w:rFonts w:asciiTheme="minorEastAsia" w:hAnsiTheme="minorEastAsia" w:cs="Times New Roman"/>
          <w:sz w:val="24"/>
          <w:szCs w:val="24"/>
        </w:rPr>
      </w:pPr>
      <w:r w:rsidRPr="00B03CCB">
        <w:rPr>
          <w:rFonts w:asciiTheme="minorEastAsia" w:hAnsiTheme="minorEastAsia" w:cs="Times New Roman" w:hint="eastAsia"/>
          <w:sz w:val="24"/>
          <w:szCs w:val="24"/>
        </w:rPr>
        <w:t>网址：</w:t>
      </w:r>
      <w:r w:rsidRPr="00B03CCB">
        <w:rPr>
          <w:rFonts w:asciiTheme="minorEastAsia" w:hAnsiTheme="minorEastAsia" w:cs="Times New Roman" w:hint="eastAsia"/>
          <w:sz w:val="24"/>
          <w:szCs w:val="24"/>
        </w:rPr>
        <w:t>www.cfund108.com</w:t>
      </w:r>
    </w:p>
    <w:p w:rsidR="00741BE3" w:rsidRPr="00B03CCB" w:rsidRDefault="005C67AF">
      <w:pPr>
        <w:spacing w:line="360" w:lineRule="auto"/>
        <w:ind w:firstLineChars="200" w:firstLine="480"/>
        <w:rPr>
          <w:rFonts w:asciiTheme="minorEastAsia" w:hAnsiTheme="minorEastAsia" w:cs="Times New Roman"/>
          <w:sz w:val="24"/>
          <w:szCs w:val="24"/>
        </w:rPr>
      </w:pPr>
      <w:r w:rsidRPr="00B03CCB">
        <w:rPr>
          <w:rFonts w:asciiTheme="minorEastAsia" w:hAnsiTheme="minorEastAsia" w:cs="Times New Roman" w:hint="eastAsia"/>
          <w:sz w:val="24"/>
          <w:szCs w:val="24"/>
        </w:rPr>
        <w:t>联系电话：</w:t>
      </w:r>
      <w:r w:rsidRPr="00B03CCB">
        <w:rPr>
          <w:rFonts w:asciiTheme="minorEastAsia" w:hAnsiTheme="minorEastAsia" w:cs="Times New Roman" w:hint="eastAsia"/>
          <w:sz w:val="24"/>
          <w:szCs w:val="24"/>
        </w:rPr>
        <w:t>4009-108-108</w:t>
      </w:r>
    </w:p>
    <w:p w:rsidR="00741BE3" w:rsidRPr="00B03CCB" w:rsidRDefault="00741BE3">
      <w:pPr>
        <w:spacing w:line="360" w:lineRule="auto"/>
        <w:ind w:firstLineChars="200" w:firstLine="480"/>
        <w:rPr>
          <w:rFonts w:asciiTheme="minorEastAsia" w:hAnsiTheme="minorEastAsia" w:cs="Times New Roman"/>
          <w:sz w:val="24"/>
          <w:szCs w:val="24"/>
        </w:rPr>
      </w:pPr>
    </w:p>
    <w:p w:rsidR="00741BE3" w:rsidRPr="00B03CCB" w:rsidRDefault="005C67AF">
      <w:pPr>
        <w:numPr>
          <w:ilvl w:val="255"/>
          <w:numId w:val="0"/>
        </w:numPr>
        <w:spacing w:line="360" w:lineRule="auto"/>
        <w:ind w:firstLineChars="200" w:firstLine="480"/>
        <w:rPr>
          <w:rFonts w:asciiTheme="minorEastAsia" w:hAnsiTheme="minorEastAsia" w:cs="Times New Roman"/>
          <w:sz w:val="24"/>
          <w:szCs w:val="24"/>
        </w:rPr>
      </w:pPr>
      <w:r w:rsidRPr="00B03CCB">
        <w:rPr>
          <w:rFonts w:asciiTheme="minorEastAsia" w:hAnsiTheme="minorEastAsia" w:cs="Times New Roman" w:hint="eastAsia"/>
          <w:sz w:val="24"/>
          <w:szCs w:val="24"/>
        </w:rPr>
        <w:t>风险</w:t>
      </w:r>
      <w:r w:rsidRPr="00B03CCB">
        <w:rPr>
          <w:rFonts w:asciiTheme="minorEastAsia" w:hAnsiTheme="minorEastAsia" w:cs="Times New Roman"/>
          <w:sz w:val="24"/>
          <w:szCs w:val="24"/>
        </w:rPr>
        <w:t>提示</w:t>
      </w:r>
      <w:r w:rsidRPr="00B03CCB">
        <w:rPr>
          <w:rFonts w:asciiTheme="minorEastAsia" w:hAnsiTheme="minorEastAsia" w:cs="Times New Roman" w:hint="eastAsia"/>
          <w:sz w:val="24"/>
          <w:szCs w:val="24"/>
        </w:rPr>
        <w:t>：</w:t>
      </w:r>
    </w:p>
    <w:p w:rsidR="00741BE3" w:rsidRPr="00B03CCB" w:rsidRDefault="005C67AF" w:rsidP="00B03CCB">
      <w:pPr>
        <w:spacing w:line="360" w:lineRule="auto"/>
        <w:ind w:firstLineChars="200" w:firstLine="480"/>
        <w:rPr>
          <w:rFonts w:ascii="宋体" w:eastAsia="宋体" w:hAnsi="宋体" w:cs="宋体"/>
          <w:sz w:val="24"/>
          <w:szCs w:val="24"/>
        </w:rPr>
      </w:pPr>
      <w:r w:rsidRPr="00B03CCB">
        <w:rPr>
          <w:rFonts w:ascii="宋体" w:eastAsia="宋体" w:hAnsi="宋体" w:cs="宋体" w:hint="eastAsia"/>
          <w:sz w:val="24"/>
          <w:szCs w:val="24"/>
        </w:rPr>
        <w:t>1</w:t>
      </w:r>
      <w:r w:rsidRPr="00B03CCB">
        <w:rPr>
          <w:rFonts w:ascii="宋体" w:eastAsia="宋体" w:hAnsi="宋体" w:cs="宋体" w:hint="eastAsia"/>
          <w:sz w:val="24"/>
          <w:szCs w:val="24"/>
        </w:rPr>
        <w:t>、</w:t>
      </w:r>
      <w:r w:rsidRPr="00B03CCB">
        <w:rPr>
          <w:rFonts w:ascii="宋体" w:eastAsia="宋体" w:hAnsi="宋体" w:cs="宋体"/>
          <w:sz w:val="24"/>
          <w:szCs w:val="24"/>
        </w:rPr>
        <w:t>定期开放式基金于开放期内可以办理申购、赎回业务；设有最短持有期的基金于每份基金份额最短持有期结束后可以办理赎回业务</w:t>
      </w:r>
      <w:r w:rsidRPr="00B03CCB">
        <w:rPr>
          <w:rFonts w:ascii="宋体" w:eastAsia="宋体" w:hAnsi="宋体" w:cs="宋体" w:hint="eastAsia"/>
          <w:sz w:val="24"/>
          <w:szCs w:val="24"/>
        </w:rPr>
        <w:t>。</w:t>
      </w:r>
    </w:p>
    <w:p w:rsidR="00741BE3" w:rsidRPr="00B03CCB" w:rsidRDefault="005C67AF" w:rsidP="00B03CCB">
      <w:pPr>
        <w:numPr>
          <w:ilvl w:val="255"/>
          <w:numId w:val="0"/>
        </w:numPr>
        <w:spacing w:line="360" w:lineRule="auto"/>
        <w:rPr>
          <w:rFonts w:ascii="宋体" w:eastAsia="宋体" w:hAnsi="宋体" w:cs="宋体"/>
          <w:sz w:val="24"/>
          <w:szCs w:val="24"/>
        </w:rPr>
      </w:pPr>
      <w:r w:rsidRPr="00B03CCB">
        <w:rPr>
          <w:rFonts w:ascii="宋体" w:eastAsia="宋体" w:hAnsi="宋体" w:cs="宋体" w:hint="eastAsia"/>
          <w:sz w:val="24"/>
          <w:szCs w:val="24"/>
        </w:rPr>
        <w:t xml:space="preserve">    2</w:t>
      </w:r>
      <w:r w:rsidRPr="00B03CCB">
        <w:rPr>
          <w:rFonts w:ascii="宋体" w:eastAsia="宋体" w:hAnsi="宋体" w:cs="宋体" w:hint="eastAsia"/>
          <w:sz w:val="24"/>
          <w:szCs w:val="24"/>
        </w:rPr>
        <w:t>、</w:t>
      </w:r>
      <w:r w:rsidRPr="00B03CCB">
        <w:rPr>
          <w:rFonts w:ascii="宋体" w:eastAsia="宋体" w:hAnsi="宋体" w:cs="宋体" w:hint="eastAsia"/>
          <w:kern w:val="0"/>
          <w:sz w:val="24"/>
          <w:szCs w:val="24"/>
        </w:rPr>
        <w:t>中信建投民享稳健养老目标一年持有期混合型发起式基金中基金（</w:t>
      </w:r>
      <w:r w:rsidRPr="00B03CCB">
        <w:rPr>
          <w:rFonts w:ascii="宋体" w:eastAsia="宋体" w:hAnsi="宋体" w:cs="宋体" w:hint="eastAsia"/>
          <w:kern w:val="0"/>
          <w:sz w:val="24"/>
          <w:szCs w:val="24"/>
        </w:rPr>
        <w:t>FOF</w:t>
      </w:r>
      <w:r w:rsidRPr="00B03CCB">
        <w:rPr>
          <w:rFonts w:ascii="宋体" w:eastAsia="宋体" w:hAnsi="宋体" w:cs="宋体" w:hint="eastAsia"/>
          <w:kern w:val="0"/>
          <w:sz w:val="24"/>
          <w:szCs w:val="24"/>
        </w:rPr>
        <w:t>）</w:t>
      </w:r>
      <w:r w:rsidRPr="00B03CCB">
        <w:rPr>
          <w:rFonts w:ascii="宋体" w:eastAsia="宋体" w:hAnsi="宋体" w:cs="宋体" w:hint="eastAsia"/>
          <w:sz w:val="24"/>
          <w:szCs w:val="24"/>
        </w:rPr>
        <w:t>“养老”的名称不含收益保障或其他任何形式的收益承诺。</w:t>
      </w:r>
    </w:p>
    <w:p w:rsidR="00741BE3" w:rsidRPr="00B03CCB" w:rsidRDefault="005C67AF">
      <w:pPr>
        <w:spacing w:line="360" w:lineRule="auto"/>
        <w:ind w:firstLineChars="200" w:firstLine="480"/>
        <w:rPr>
          <w:rFonts w:asciiTheme="minorEastAsia" w:hAnsiTheme="minorEastAsia" w:cs="Times New Roman"/>
          <w:sz w:val="24"/>
          <w:szCs w:val="24"/>
        </w:rPr>
      </w:pPr>
      <w:r w:rsidRPr="00B03CCB">
        <w:rPr>
          <w:rFonts w:asciiTheme="minorEastAsia" w:hAnsiTheme="minorEastAsia" w:cs="Times New Roman" w:hint="eastAsia"/>
          <w:sz w:val="24"/>
          <w:szCs w:val="24"/>
        </w:rPr>
        <w:t>3</w:t>
      </w:r>
      <w:r w:rsidRPr="00B03CCB">
        <w:rPr>
          <w:rFonts w:asciiTheme="minorEastAsia" w:hAnsiTheme="minorEastAsia" w:cs="Times New Roman" w:hint="eastAsia"/>
          <w:sz w:val="24"/>
          <w:szCs w:val="24"/>
        </w:rPr>
        <w:t>、基金投资有风险。基金管理人承诺以诚实信用、勤勉尽责的原则管</w:t>
      </w:r>
      <w:r w:rsidRPr="00B03CCB">
        <w:rPr>
          <w:rFonts w:asciiTheme="minorEastAsia" w:hAnsiTheme="minorEastAsia" w:cs="Times New Roman" w:hint="eastAsia"/>
          <w:sz w:val="24"/>
          <w:szCs w:val="24"/>
        </w:rPr>
        <w:t>理和运用基金资产，但不保证基金一定盈利，也不保证最低收益。投资者投资上述基金时</w:t>
      </w:r>
      <w:r w:rsidRPr="00B03CCB">
        <w:rPr>
          <w:rFonts w:asciiTheme="minorEastAsia" w:hAnsiTheme="minorEastAsia" w:hint="eastAsia"/>
          <w:sz w:val="24"/>
          <w:szCs w:val="24"/>
        </w:rPr>
        <w:t>应当认真阅读基金合同、招募说明书、基金产品资料概要等基金法律文件，了解基金的风险收益特征，并根据自身的投资目的、投资期限、投资经验、资产状况等</w:t>
      </w:r>
      <w:r w:rsidRPr="00B03CCB">
        <w:rPr>
          <w:rFonts w:asciiTheme="minorEastAsia" w:hAnsiTheme="minorEastAsia" w:cs="Times New Roman" w:hint="eastAsia"/>
          <w:sz w:val="24"/>
          <w:szCs w:val="24"/>
        </w:rPr>
        <w:t>，投资与自身风险承受能力相适应的基金。</w:t>
      </w:r>
    </w:p>
    <w:p w:rsidR="00741BE3" w:rsidRPr="00B03CCB" w:rsidRDefault="00741BE3">
      <w:pPr>
        <w:spacing w:line="360" w:lineRule="auto"/>
        <w:rPr>
          <w:rFonts w:asciiTheme="minorEastAsia" w:hAnsiTheme="minorEastAsia" w:cs="Times New Roman"/>
          <w:sz w:val="24"/>
          <w:szCs w:val="24"/>
        </w:rPr>
      </w:pPr>
    </w:p>
    <w:p w:rsidR="00741BE3" w:rsidRPr="00B03CCB" w:rsidRDefault="005C67AF">
      <w:pPr>
        <w:tabs>
          <w:tab w:val="center" w:pos="3686"/>
          <w:tab w:val="center" w:pos="6237"/>
        </w:tabs>
        <w:spacing w:line="360" w:lineRule="auto"/>
        <w:ind w:firstLineChars="200" w:firstLine="480"/>
        <w:rPr>
          <w:rFonts w:asciiTheme="minorEastAsia" w:hAnsiTheme="minorEastAsia" w:cs="Times New Roman"/>
          <w:sz w:val="24"/>
          <w:szCs w:val="24"/>
        </w:rPr>
      </w:pPr>
      <w:r w:rsidRPr="00B03CCB">
        <w:rPr>
          <w:rFonts w:asciiTheme="minorEastAsia" w:hAnsiTheme="minorEastAsia" w:cs="Times New Roman" w:hint="eastAsia"/>
          <w:sz w:val="24"/>
          <w:szCs w:val="24"/>
        </w:rPr>
        <w:t>特此</w:t>
      </w:r>
      <w:r w:rsidRPr="00B03CCB">
        <w:rPr>
          <w:rFonts w:asciiTheme="minorEastAsia" w:hAnsiTheme="minorEastAsia" w:cs="Times New Roman"/>
          <w:sz w:val="24"/>
          <w:szCs w:val="24"/>
        </w:rPr>
        <w:t>公告。</w:t>
      </w:r>
    </w:p>
    <w:p w:rsidR="00741BE3" w:rsidRPr="00B03CCB" w:rsidRDefault="00741BE3">
      <w:pPr>
        <w:tabs>
          <w:tab w:val="center" w:pos="3686"/>
          <w:tab w:val="center" w:pos="6237"/>
        </w:tabs>
        <w:spacing w:line="360" w:lineRule="auto"/>
        <w:rPr>
          <w:rFonts w:asciiTheme="minorEastAsia" w:hAnsiTheme="minorEastAsia" w:cs="Times New Roman"/>
          <w:sz w:val="24"/>
          <w:szCs w:val="24"/>
        </w:rPr>
      </w:pPr>
    </w:p>
    <w:p w:rsidR="00741BE3" w:rsidRPr="00B03CCB" w:rsidRDefault="005C67AF">
      <w:pPr>
        <w:spacing w:line="360" w:lineRule="auto"/>
        <w:ind w:firstLineChars="200" w:firstLine="480"/>
        <w:jc w:val="right"/>
        <w:rPr>
          <w:rFonts w:asciiTheme="minorEastAsia" w:hAnsiTheme="minorEastAsia" w:cs="Times New Roman"/>
          <w:sz w:val="24"/>
          <w:szCs w:val="24"/>
        </w:rPr>
      </w:pPr>
      <w:r w:rsidRPr="00B03CCB">
        <w:rPr>
          <w:rFonts w:asciiTheme="minorEastAsia" w:hAnsiTheme="minorEastAsia" w:cs="Times New Roman" w:hint="eastAsia"/>
          <w:sz w:val="24"/>
          <w:szCs w:val="24"/>
        </w:rPr>
        <w:t>中信建投</w:t>
      </w:r>
      <w:r w:rsidRPr="00B03CCB">
        <w:rPr>
          <w:rFonts w:asciiTheme="minorEastAsia" w:hAnsiTheme="minorEastAsia" w:cs="Times New Roman"/>
          <w:sz w:val="24"/>
          <w:szCs w:val="24"/>
        </w:rPr>
        <w:t>基金管理有限公司</w:t>
      </w:r>
    </w:p>
    <w:p w:rsidR="00741BE3" w:rsidRDefault="005C67AF">
      <w:pPr>
        <w:spacing w:line="360" w:lineRule="auto"/>
        <w:ind w:right="240" w:firstLineChars="200" w:firstLine="480"/>
        <w:jc w:val="right"/>
        <w:rPr>
          <w:rFonts w:asciiTheme="minorEastAsia" w:hAnsiTheme="minorEastAsia" w:cs="Times New Roman"/>
          <w:sz w:val="24"/>
          <w:szCs w:val="24"/>
        </w:rPr>
      </w:pPr>
      <w:r w:rsidRPr="00B03CCB">
        <w:rPr>
          <w:rFonts w:asciiTheme="minorEastAsia" w:hAnsiTheme="minorEastAsia" w:cs="Times New Roman"/>
          <w:sz w:val="24"/>
          <w:szCs w:val="24"/>
        </w:rPr>
        <w:t>202</w:t>
      </w:r>
      <w:r w:rsidRPr="00B03CCB">
        <w:rPr>
          <w:rFonts w:asciiTheme="minorEastAsia" w:hAnsiTheme="minorEastAsia" w:cs="Times New Roman" w:hint="eastAsia"/>
          <w:sz w:val="24"/>
          <w:szCs w:val="24"/>
        </w:rPr>
        <w:t>6</w:t>
      </w:r>
      <w:r w:rsidRPr="00B03CCB">
        <w:rPr>
          <w:rFonts w:asciiTheme="minorEastAsia" w:hAnsiTheme="minorEastAsia" w:cs="Times New Roman" w:hint="eastAsia"/>
          <w:sz w:val="24"/>
          <w:szCs w:val="24"/>
        </w:rPr>
        <w:t>年</w:t>
      </w:r>
      <w:r w:rsidRPr="00B03CCB">
        <w:rPr>
          <w:rFonts w:asciiTheme="minorEastAsia" w:hAnsiTheme="minorEastAsia" w:cs="Times New Roman" w:hint="eastAsia"/>
          <w:sz w:val="24"/>
          <w:szCs w:val="24"/>
        </w:rPr>
        <w:t xml:space="preserve"> 2</w:t>
      </w:r>
      <w:r w:rsidRPr="00B03CCB">
        <w:rPr>
          <w:rFonts w:asciiTheme="minorEastAsia" w:hAnsiTheme="minorEastAsia" w:cs="Times New Roman" w:hint="eastAsia"/>
          <w:sz w:val="24"/>
          <w:szCs w:val="24"/>
        </w:rPr>
        <w:t>月</w:t>
      </w:r>
      <w:r w:rsidRPr="00B03CCB">
        <w:rPr>
          <w:rFonts w:asciiTheme="minorEastAsia" w:hAnsiTheme="minorEastAsia" w:cs="Times New Roman" w:hint="eastAsia"/>
          <w:sz w:val="24"/>
          <w:szCs w:val="24"/>
        </w:rPr>
        <w:t>11</w:t>
      </w:r>
      <w:r w:rsidRPr="00B03CCB">
        <w:rPr>
          <w:rFonts w:asciiTheme="minorEastAsia" w:hAnsiTheme="minorEastAsia" w:cs="Times New Roman" w:hint="eastAsia"/>
          <w:sz w:val="24"/>
          <w:szCs w:val="24"/>
        </w:rPr>
        <w:t>日</w:t>
      </w:r>
    </w:p>
    <w:sectPr w:rsidR="00741BE3" w:rsidSect="00186A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
  <w:docVars>
    <w:docVar w:name="commondata" w:val="eyJoZGlkIjoiNGE5YzY3MjY5Yzc5Y2Y4YjNkODg1NTYxMWU1MWVjZGMifQ=="/>
  </w:docVars>
  <w:rsids>
    <w:rsidRoot w:val="002B5E6C"/>
    <w:rsid w:val="00003ED7"/>
    <w:rsid w:val="00006EBB"/>
    <w:rsid w:val="00012C27"/>
    <w:rsid w:val="00021393"/>
    <w:rsid w:val="00025048"/>
    <w:rsid w:val="0004215C"/>
    <w:rsid w:val="00042969"/>
    <w:rsid w:val="00080497"/>
    <w:rsid w:val="000850F3"/>
    <w:rsid w:val="0008629A"/>
    <w:rsid w:val="000B0617"/>
    <w:rsid w:val="000B3B24"/>
    <w:rsid w:val="000C3E22"/>
    <w:rsid w:val="000D1ADA"/>
    <w:rsid w:val="00100C01"/>
    <w:rsid w:val="0010497F"/>
    <w:rsid w:val="001074B5"/>
    <w:rsid w:val="00110BF4"/>
    <w:rsid w:val="0013092C"/>
    <w:rsid w:val="0014347D"/>
    <w:rsid w:val="00157D28"/>
    <w:rsid w:val="00171591"/>
    <w:rsid w:val="0018351D"/>
    <w:rsid w:val="00186AAD"/>
    <w:rsid w:val="001959D7"/>
    <w:rsid w:val="001B190B"/>
    <w:rsid w:val="001D60D5"/>
    <w:rsid w:val="001E0BAC"/>
    <w:rsid w:val="001E4F61"/>
    <w:rsid w:val="001F3C27"/>
    <w:rsid w:val="001F48B4"/>
    <w:rsid w:val="00200CB3"/>
    <w:rsid w:val="0020618B"/>
    <w:rsid w:val="00224674"/>
    <w:rsid w:val="0023138E"/>
    <w:rsid w:val="0023620C"/>
    <w:rsid w:val="00242CA3"/>
    <w:rsid w:val="00246DD7"/>
    <w:rsid w:val="00252E95"/>
    <w:rsid w:val="00257D0E"/>
    <w:rsid w:val="00261C8F"/>
    <w:rsid w:val="0026736B"/>
    <w:rsid w:val="00280CC3"/>
    <w:rsid w:val="00283730"/>
    <w:rsid w:val="002865F1"/>
    <w:rsid w:val="002A07E5"/>
    <w:rsid w:val="002A15CF"/>
    <w:rsid w:val="002A25B5"/>
    <w:rsid w:val="002A5A4A"/>
    <w:rsid w:val="002B0DD0"/>
    <w:rsid w:val="002B5E6C"/>
    <w:rsid w:val="002D19F2"/>
    <w:rsid w:val="002D61D3"/>
    <w:rsid w:val="002E2161"/>
    <w:rsid w:val="002F4AAB"/>
    <w:rsid w:val="0030373A"/>
    <w:rsid w:val="0030581E"/>
    <w:rsid w:val="003250B3"/>
    <w:rsid w:val="003360BE"/>
    <w:rsid w:val="00337A43"/>
    <w:rsid w:val="0036146C"/>
    <w:rsid w:val="0039072E"/>
    <w:rsid w:val="003A3832"/>
    <w:rsid w:val="003A5EE9"/>
    <w:rsid w:val="003A6BD1"/>
    <w:rsid w:val="003B5FEE"/>
    <w:rsid w:val="003B7ABB"/>
    <w:rsid w:val="003C1DBF"/>
    <w:rsid w:val="003C1EE4"/>
    <w:rsid w:val="003D2A14"/>
    <w:rsid w:val="003D5FA2"/>
    <w:rsid w:val="003E2119"/>
    <w:rsid w:val="004018C0"/>
    <w:rsid w:val="00436836"/>
    <w:rsid w:val="004410BA"/>
    <w:rsid w:val="004429D0"/>
    <w:rsid w:val="00444F59"/>
    <w:rsid w:val="00446B1F"/>
    <w:rsid w:val="00472573"/>
    <w:rsid w:val="0047462C"/>
    <w:rsid w:val="00474B9C"/>
    <w:rsid w:val="00474C27"/>
    <w:rsid w:val="00476D16"/>
    <w:rsid w:val="00477E41"/>
    <w:rsid w:val="00480C91"/>
    <w:rsid w:val="00483F8F"/>
    <w:rsid w:val="00492352"/>
    <w:rsid w:val="004A5E1B"/>
    <w:rsid w:val="004A66CE"/>
    <w:rsid w:val="004B6FB6"/>
    <w:rsid w:val="004C618D"/>
    <w:rsid w:val="004D47BA"/>
    <w:rsid w:val="004D6E5B"/>
    <w:rsid w:val="004E6CB5"/>
    <w:rsid w:val="004F0DDB"/>
    <w:rsid w:val="004F5F01"/>
    <w:rsid w:val="004F7272"/>
    <w:rsid w:val="00504EBC"/>
    <w:rsid w:val="00505D05"/>
    <w:rsid w:val="0051156B"/>
    <w:rsid w:val="005231E2"/>
    <w:rsid w:val="00525C97"/>
    <w:rsid w:val="005377C0"/>
    <w:rsid w:val="00564038"/>
    <w:rsid w:val="005A1BD0"/>
    <w:rsid w:val="005A4CF8"/>
    <w:rsid w:val="005C00E8"/>
    <w:rsid w:val="005C67AF"/>
    <w:rsid w:val="005D0A0E"/>
    <w:rsid w:val="005E52FB"/>
    <w:rsid w:val="005F3693"/>
    <w:rsid w:val="00605E2E"/>
    <w:rsid w:val="00621602"/>
    <w:rsid w:val="00633CAC"/>
    <w:rsid w:val="0065083D"/>
    <w:rsid w:val="00652A5E"/>
    <w:rsid w:val="00661837"/>
    <w:rsid w:val="00691BDA"/>
    <w:rsid w:val="006A16C6"/>
    <w:rsid w:val="006A6DBD"/>
    <w:rsid w:val="006D1B86"/>
    <w:rsid w:val="006D260A"/>
    <w:rsid w:val="006E37FB"/>
    <w:rsid w:val="006F4194"/>
    <w:rsid w:val="006F5A3F"/>
    <w:rsid w:val="00711BC5"/>
    <w:rsid w:val="0071560E"/>
    <w:rsid w:val="0073502C"/>
    <w:rsid w:val="007367A7"/>
    <w:rsid w:val="00741BE3"/>
    <w:rsid w:val="00742F4D"/>
    <w:rsid w:val="007438F8"/>
    <w:rsid w:val="007469BE"/>
    <w:rsid w:val="00750251"/>
    <w:rsid w:val="00754072"/>
    <w:rsid w:val="0077650C"/>
    <w:rsid w:val="007A475F"/>
    <w:rsid w:val="007B0814"/>
    <w:rsid w:val="007D6BA6"/>
    <w:rsid w:val="007E3DFF"/>
    <w:rsid w:val="007E6B8C"/>
    <w:rsid w:val="007E7B3E"/>
    <w:rsid w:val="00810DB7"/>
    <w:rsid w:val="008241F3"/>
    <w:rsid w:val="00830DB2"/>
    <w:rsid w:val="0084108C"/>
    <w:rsid w:val="008437A0"/>
    <w:rsid w:val="0084606C"/>
    <w:rsid w:val="00870993"/>
    <w:rsid w:val="00885C07"/>
    <w:rsid w:val="0088721A"/>
    <w:rsid w:val="008872D0"/>
    <w:rsid w:val="008944C0"/>
    <w:rsid w:val="008A7A8E"/>
    <w:rsid w:val="008B1F11"/>
    <w:rsid w:val="008B2652"/>
    <w:rsid w:val="008B5951"/>
    <w:rsid w:val="008C77D7"/>
    <w:rsid w:val="008E4C59"/>
    <w:rsid w:val="008F40A9"/>
    <w:rsid w:val="009000ED"/>
    <w:rsid w:val="00902D00"/>
    <w:rsid w:val="00903E99"/>
    <w:rsid w:val="0091772B"/>
    <w:rsid w:val="00917845"/>
    <w:rsid w:val="00924F94"/>
    <w:rsid w:val="00945814"/>
    <w:rsid w:val="009563AB"/>
    <w:rsid w:val="00957EE7"/>
    <w:rsid w:val="00962316"/>
    <w:rsid w:val="00964658"/>
    <w:rsid w:val="009845D9"/>
    <w:rsid w:val="00985859"/>
    <w:rsid w:val="00990F67"/>
    <w:rsid w:val="009A3A1B"/>
    <w:rsid w:val="009A66E8"/>
    <w:rsid w:val="009B3C12"/>
    <w:rsid w:val="009B49F7"/>
    <w:rsid w:val="009D0173"/>
    <w:rsid w:val="009E2C25"/>
    <w:rsid w:val="00A03970"/>
    <w:rsid w:val="00A10BF0"/>
    <w:rsid w:val="00A24916"/>
    <w:rsid w:val="00A52838"/>
    <w:rsid w:val="00A6693E"/>
    <w:rsid w:val="00A74409"/>
    <w:rsid w:val="00AA00F7"/>
    <w:rsid w:val="00AB4F7E"/>
    <w:rsid w:val="00AC1DE4"/>
    <w:rsid w:val="00AC47B8"/>
    <w:rsid w:val="00B03CCB"/>
    <w:rsid w:val="00B120B9"/>
    <w:rsid w:val="00B22CE5"/>
    <w:rsid w:val="00B25196"/>
    <w:rsid w:val="00B26A21"/>
    <w:rsid w:val="00B36CF2"/>
    <w:rsid w:val="00B40B97"/>
    <w:rsid w:val="00B441D8"/>
    <w:rsid w:val="00B4621B"/>
    <w:rsid w:val="00B477BF"/>
    <w:rsid w:val="00B552A0"/>
    <w:rsid w:val="00B644AB"/>
    <w:rsid w:val="00B727F0"/>
    <w:rsid w:val="00B957EF"/>
    <w:rsid w:val="00B966B4"/>
    <w:rsid w:val="00B97F57"/>
    <w:rsid w:val="00BA2024"/>
    <w:rsid w:val="00BA484A"/>
    <w:rsid w:val="00BA6149"/>
    <w:rsid w:val="00BB5E42"/>
    <w:rsid w:val="00BC1F19"/>
    <w:rsid w:val="00C14B05"/>
    <w:rsid w:val="00C1591E"/>
    <w:rsid w:val="00C205E7"/>
    <w:rsid w:val="00C26AB9"/>
    <w:rsid w:val="00C270B5"/>
    <w:rsid w:val="00C438CE"/>
    <w:rsid w:val="00C519A3"/>
    <w:rsid w:val="00C530A0"/>
    <w:rsid w:val="00C70C22"/>
    <w:rsid w:val="00C7489F"/>
    <w:rsid w:val="00CA258C"/>
    <w:rsid w:val="00CA44F8"/>
    <w:rsid w:val="00CC2A76"/>
    <w:rsid w:val="00CC2CE9"/>
    <w:rsid w:val="00CD2060"/>
    <w:rsid w:val="00CD7F56"/>
    <w:rsid w:val="00CF10A3"/>
    <w:rsid w:val="00CF3BBE"/>
    <w:rsid w:val="00CF6BDB"/>
    <w:rsid w:val="00D034AD"/>
    <w:rsid w:val="00D12064"/>
    <w:rsid w:val="00D14279"/>
    <w:rsid w:val="00D16571"/>
    <w:rsid w:val="00D16A08"/>
    <w:rsid w:val="00D176F8"/>
    <w:rsid w:val="00D3534E"/>
    <w:rsid w:val="00D35F5A"/>
    <w:rsid w:val="00D41325"/>
    <w:rsid w:val="00D519B7"/>
    <w:rsid w:val="00D54FBE"/>
    <w:rsid w:val="00D6364F"/>
    <w:rsid w:val="00D8414B"/>
    <w:rsid w:val="00D842D0"/>
    <w:rsid w:val="00DC23D2"/>
    <w:rsid w:val="00DC30DE"/>
    <w:rsid w:val="00DC5F23"/>
    <w:rsid w:val="00DD00C4"/>
    <w:rsid w:val="00DD1556"/>
    <w:rsid w:val="00DD395C"/>
    <w:rsid w:val="00DD4C33"/>
    <w:rsid w:val="00DD791B"/>
    <w:rsid w:val="00DF71A8"/>
    <w:rsid w:val="00E1275B"/>
    <w:rsid w:val="00E22E55"/>
    <w:rsid w:val="00E3367B"/>
    <w:rsid w:val="00E40755"/>
    <w:rsid w:val="00E45804"/>
    <w:rsid w:val="00E45B55"/>
    <w:rsid w:val="00E71C06"/>
    <w:rsid w:val="00E82BD9"/>
    <w:rsid w:val="00E90B34"/>
    <w:rsid w:val="00E90E0B"/>
    <w:rsid w:val="00E9356C"/>
    <w:rsid w:val="00EA42DD"/>
    <w:rsid w:val="00EA69FB"/>
    <w:rsid w:val="00F0508A"/>
    <w:rsid w:val="00F24F16"/>
    <w:rsid w:val="00F33BD8"/>
    <w:rsid w:val="00F37416"/>
    <w:rsid w:val="00F37914"/>
    <w:rsid w:val="00F47ADC"/>
    <w:rsid w:val="00F53BEE"/>
    <w:rsid w:val="00F54C26"/>
    <w:rsid w:val="00F645CF"/>
    <w:rsid w:val="00F65C9B"/>
    <w:rsid w:val="00F77F7B"/>
    <w:rsid w:val="00F86E01"/>
    <w:rsid w:val="00F96169"/>
    <w:rsid w:val="00FA02C9"/>
    <w:rsid w:val="00FB6735"/>
    <w:rsid w:val="00FB6E8A"/>
    <w:rsid w:val="00FC4E77"/>
    <w:rsid w:val="00FD17AB"/>
    <w:rsid w:val="00FD22FA"/>
    <w:rsid w:val="00FD2DAB"/>
    <w:rsid w:val="00FD6895"/>
    <w:rsid w:val="00FF20AD"/>
    <w:rsid w:val="00FF6AAD"/>
    <w:rsid w:val="0247675C"/>
    <w:rsid w:val="06874EA1"/>
    <w:rsid w:val="0A0C48B0"/>
    <w:rsid w:val="0DC64B08"/>
    <w:rsid w:val="100E196D"/>
    <w:rsid w:val="2156253D"/>
    <w:rsid w:val="22454AED"/>
    <w:rsid w:val="26505E60"/>
    <w:rsid w:val="304729CD"/>
    <w:rsid w:val="3C70707C"/>
    <w:rsid w:val="3C9B60FA"/>
    <w:rsid w:val="3D4B16DC"/>
    <w:rsid w:val="3D775D5B"/>
    <w:rsid w:val="3D9B7F57"/>
    <w:rsid w:val="3DDE6050"/>
    <w:rsid w:val="43645AF7"/>
    <w:rsid w:val="43E143A0"/>
    <w:rsid w:val="448A7DC7"/>
    <w:rsid w:val="47282841"/>
    <w:rsid w:val="4A090980"/>
    <w:rsid w:val="4DD57515"/>
    <w:rsid w:val="4E724E78"/>
    <w:rsid w:val="50642D5A"/>
    <w:rsid w:val="523177C2"/>
    <w:rsid w:val="5329137C"/>
    <w:rsid w:val="58A36515"/>
    <w:rsid w:val="591D435E"/>
    <w:rsid w:val="5B1A533E"/>
    <w:rsid w:val="5B61718C"/>
    <w:rsid w:val="5D407723"/>
    <w:rsid w:val="60DF28F2"/>
    <w:rsid w:val="61051C41"/>
    <w:rsid w:val="621300A7"/>
    <w:rsid w:val="647B7BF2"/>
    <w:rsid w:val="64B77038"/>
    <w:rsid w:val="64BA455B"/>
    <w:rsid w:val="6B3C3F80"/>
    <w:rsid w:val="6F105DD6"/>
    <w:rsid w:val="720660AA"/>
    <w:rsid w:val="72E54D9D"/>
    <w:rsid w:val="73296B7E"/>
    <w:rsid w:val="793D1E0C"/>
    <w:rsid w:val="7C3A2707"/>
    <w:rsid w:val="7E76777E"/>
    <w:rsid w:val="7FA401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AA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86AAD"/>
    <w:pPr>
      <w:jc w:val="left"/>
    </w:pPr>
  </w:style>
  <w:style w:type="paragraph" w:styleId="a4">
    <w:name w:val="Balloon Text"/>
    <w:basedOn w:val="a"/>
    <w:link w:val="Char0"/>
    <w:uiPriority w:val="99"/>
    <w:unhideWhenUsed/>
    <w:qFormat/>
    <w:rsid w:val="00186AAD"/>
    <w:rPr>
      <w:sz w:val="18"/>
      <w:szCs w:val="18"/>
    </w:rPr>
  </w:style>
  <w:style w:type="paragraph" w:styleId="a5">
    <w:name w:val="footer"/>
    <w:basedOn w:val="a"/>
    <w:link w:val="Char1"/>
    <w:uiPriority w:val="99"/>
    <w:unhideWhenUsed/>
    <w:qFormat/>
    <w:rsid w:val="00186AA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86AA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86AAD"/>
    <w:rPr>
      <w:b/>
      <w:bCs/>
    </w:rPr>
  </w:style>
  <w:style w:type="table" w:styleId="a8">
    <w:name w:val="Table Grid"/>
    <w:basedOn w:val="a1"/>
    <w:uiPriority w:val="59"/>
    <w:qFormat/>
    <w:rsid w:val="00186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unhideWhenUsed/>
    <w:qFormat/>
    <w:rsid w:val="00186AAD"/>
    <w:rPr>
      <w:color w:val="555555"/>
      <w:u w:val="none"/>
    </w:rPr>
  </w:style>
  <w:style w:type="character" w:styleId="aa">
    <w:name w:val="Hyperlink"/>
    <w:basedOn w:val="a0"/>
    <w:uiPriority w:val="99"/>
    <w:unhideWhenUsed/>
    <w:qFormat/>
    <w:rsid w:val="00186AAD"/>
    <w:rPr>
      <w:color w:val="0563C1" w:themeColor="hyperlink"/>
      <w:u w:val="single"/>
    </w:rPr>
  </w:style>
  <w:style w:type="character" w:styleId="ab">
    <w:name w:val="annotation reference"/>
    <w:basedOn w:val="a0"/>
    <w:uiPriority w:val="99"/>
    <w:semiHidden/>
    <w:unhideWhenUsed/>
    <w:qFormat/>
    <w:rsid w:val="00186AAD"/>
    <w:rPr>
      <w:sz w:val="21"/>
      <w:szCs w:val="21"/>
    </w:rPr>
  </w:style>
  <w:style w:type="character" w:customStyle="1" w:styleId="Char2">
    <w:name w:val="页眉 Char"/>
    <w:basedOn w:val="a0"/>
    <w:link w:val="a6"/>
    <w:uiPriority w:val="99"/>
    <w:qFormat/>
    <w:rsid w:val="00186AAD"/>
    <w:rPr>
      <w:sz w:val="18"/>
      <w:szCs w:val="18"/>
    </w:rPr>
  </w:style>
  <w:style w:type="character" w:customStyle="1" w:styleId="Char1">
    <w:name w:val="页脚 Char"/>
    <w:basedOn w:val="a0"/>
    <w:link w:val="a5"/>
    <w:uiPriority w:val="99"/>
    <w:qFormat/>
    <w:rsid w:val="00186AAD"/>
    <w:rPr>
      <w:sz w:val="18"/>
      <w:szCs w:val="18"/>
    </w:rPr>
  </w:style>
  <w:style w:type="paragraph" w:customStyle="1" w:styleId="1">
    <w:name w:val="列出段落1"/>
    <w:basedOn w:val="a"/>
    <w:uiPriority w:val="34"/>
    <w:qFormat/>
    <w:rsid w:val="00186AAD"/>
    <w:pPr>
      <w:ind w:firstLineChars="200" w:firstLine="420"/>
    </w:pPr>
  </w:style>
  <w:style w:type="character" w:customStyle="1" w:styleId="Char0">
    <w:name w:val="批注框文本 Char"/>
    <w:basedOn w:val="a0"/>
    <w:link w:val="a4"/>
    <w:uiPriority w:val="99"/>
    <w:semiHidden/>
    <w:qFormat/>
    <w:rsid w:val="00186AAD"/>
    <w:rPr>
      <w:sz w:val="18"/>
      <w:szCs w:val="18"/>
    </w:rPr>
  </w:style>
  <w:style w:type="character" w:customStyle="1" w:styleId="hover34">
    <w:name w:val="hover34"/>
    <w:basedOn w:val="a0"/>
    <w:qFormat/>
    <w:rsid w:val="00186AAD"/>
    <w:rPr>
      <w:shd w:val="clear" w:color="auto" w:fill="F39700"/>
    </w:rPr>
  </w:style>
  <w:style w:type="paragraph" w:styleId="ac">
    <w:name w:val="List Paragraph"/>
    <w:basedOn w:val="a"/>
    <w:uiPriority w:val="99"/>
    <w:qFormat/>
    <w:rsid w:val="00186AAD"/>
    <w:pPr>
      <w:ind w:firstLineChars="200" w:firstLine="420"/>
    </w:pPr>
  </w:style>
  <w:style w:type="paragraph" w:customStyle="1" w:styleId="Default">
    <w:name w:val="Default"/>
    <w:qFormat/>
    <w:rsid w:val="00186AAD"/>
    <w:pPr>
      <w:widowControl w:val="0"/>
      <w:autoSpaceDE w:val="0"/>
      <w:autoSpaceDN w:val="0"/>
      <w:adjustRightInd w:val="0"/>
    </w:pPr>
    <w:rPr>
      <w:rFonts w:ascii="宋体" w:cs="宋体"/>
      <w:color w:val="000000"/>
      <w:sz w:val="24"/>
      <w:szCs w:val="24"/>
    </w:rPr>
  </w:style>
  <w:style w:type="character" w:customStyle="1" w:styleId="10">
    <w:name w:val="未处理的提及1"/>
    <w:basedOn w:val="a0"/>
    <w:uiPriority w:val="99"/>
    <w:semiHidden/>
    <w:unhideWhenUsed/>
    <w:qFormat/>
    <w:rsid w:val="00186AAD"/>
    <w:rPr>
      <w:color w:val="605E5C"/>
      <w:shd w:val="clear" w:color="auto" w:fill="E1DFDD"/>
    </w:rPr>
  </w:style>
  <w:style w:type="character" w:customStyle="1" w:styleId="Char">
    <w:name w:val="批注文字 Char"/>
    <w:basedOn w:val="a0"/>
    <w:link w:val="a3"/>
    <w:uiPriority w:val="99"/>
    <w:semiHidden/>
    <w:qFormat/>
    <w:rsid w:val="00186AAD"/>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sid w:val="00186AAD"/>
    <w:rPr>
      <w:rFonts w:asciiTheme="minorHAnsi" w:eastAsiaTheme="minorEastAsia" w:hAnsiTheme="minorHAnsi" w:cstheme="minorBidi"/>
      <w:b/>
      <w:bCs/>
      <w:kern w:val="2"/>
      <w:sz w:val="21"/>
      <w:szCs w:val="22"/>
    </w:rPr>
  </w:style>
  <w:style w:type="paragraph" w:customStyle="1" w:styleId="11">
    <w:name w:val="修订1"/>
    <w:hidden/>
    <w:uiPriority w:val="99"/>
    <w:semiHidden/>
    <w:qFormat/>
    <w:rsid w:val="00186AAD"/>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sid w:val="00186AAD"/>
    <w:rPr>
      <w:color w:val="605E5C"/>
      <w:shd w:val="clear" w:color="auto" w:fill="E1DFDD"/>
    </w:rPr>
  </w:style>
  <w:style w:type="paragraph" w:customStyle="1" w:styleId="dazhangjie">
    <w:name w:val="dazhangjie"/>
    <w:basedOn w:val="a"/>
    <w:qFormat/>
    <w:rsid w:val="00186AAD"/>
    <w:pPr>
      <w:widowControl/>
      <w:autoSpaceDE w:val="0"/>
      <w:autoSpaceDN w:val="0"/>
      <w:adjustRightInd w:val="0"/>
      <w:spacing w:before="30" w:line="288" w:lineRule="auto"/>
      <w:ind w:left="15"/>
      <w:jc w:val="center"/>
      <w:outlineLvl w:val="0"/>
    </w:pPr>
    <w:rPr>
      <w:rFonts w:ascii="宋体" w:eastAsia="宋体" w:hAnsi="宋体" w:cs="宋体"/>
      <w:kern w:val="0"/>
      <w:sz w:val="24"/>
      <w:szCs w:val="24"/>
    </w:rPr>
  </w:style>
  <w:style w:type="paragraph" w:customStyle="1" w:styleId="20">
    <w:name w:val="修订2"/>
    <w:hidden/>
    <w:uiPriority w:val="99"/>
    <w:unhideWhenUsed/>
    <w:rsid w:val="00186AAD"/>
    <w:rPr>
      <w:rFonts w:asciiTheme="minorHAnsi" w:eastAsiaTheme="minorEastAsia" w:hAnsiTheme="minorHAnsi" w:cstheme="minorBidi"/>
      <w:kern w:val="2"/>
      <w:sz w:val="21"/>
      <w:szCs w:val="22"/>
    </w:rPr>
  </w:style>
  <w:style w:type="paragraph" w:styleId="ad">
    <w:name w:val="Revision"/>
    <w:hidden/>
    <w:uiPriority w:val="99"/>
    <w:unhideWhenUsed/>
    <w:rsid w:val="00B03CCB"/>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BECE8-041A-400F-886D-711CF5DE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2280</Characters>
  <Application>Microsoft Office Word</Application>
  <DocSecurity>4</DocSecurity>
  <Lines>19</Lines>
  <Paragraphs>5</Paragraphs>
  <ScaleCrop>false</ScaleCrop>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cp:lastPrinted>2015-12-14T07:02:00Z</cp:lastPrinted>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D4C7EB8A6AE143818FD65BCCD34DEE2F</vt:lpwstr>
  </property>
</Properties>
</file>