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1A7" w:rsidRDefault="00DD0877">
      <w:pPr>
        <w:widowControl/>
        <w:jc w:val="center"/>
        <w:rPr>
          <w:rFonts w:eastAsiaTheme="minorEastAsia" w:cs="宋体"/>
          <w:b/>
          <w:kern w:val="0"/>
          <w:sz w:val="30"/>
          <w:szCs w:val="30"/>
        </w:rPr>
      </w:pPr>
      <w:bookmarkStart w:id="0" w:name="_GoBack"/>
      <w:bookmarkEnd w:id="0"/>
      <w:r>
        <w:rPr>
          <w:rFonts w:eastAsiaTheme="minorEastAsia" w:cs="宋体" w:hint="eastAsia"/>
          <w:b/>
          <w:kern w:val="0"/>
          <w:sz w:val="30"/>
          <w:szCs w:val="30"/>
        </w:rPr>
        <w:t>交银施罗德基金管理有限公司关于交银施罗德中证</w:t>
      </w:r>
      <w:r>
        <w:rPr>
          <w:rFonts w:eastAsiaTheme="minorEastAsia" w:cs="宋体" w:hint="eastAsia"/>
          <w:b/>
          <w:kern w:val="0"/>
          <w:sz w:val="30"/>
          <w:szCs w:val="30"/>
        </w:rPr>
        <w:t>A500</w:t>
      </w:r>
      <w:r>
        <w:rPr>
          <w:rFonts w:eastAsiaTheme="minorEastAsia" w:cs="宋体" w:hint="eastAsia"/>
          <w:b/>
          <w:kern w:val="0"/>
          <w:sz w:val="30"/>
          <w:szCs w:val="30"/>
        </w:rPr>
        <w:t>指数增强型发起式证券投资基金基金合同生效公告</w:t>
      </w:r>
    </w:p>
    <w:p w:rsidR="00F801A7" w:rsidRDefault="00DD0877">
      <w:pPr>
        <w:jc w:val="center"/>
        <w:rPr>
          <w:rFonts w:eastAsiaTheme="minorEastAsia" w:cs="宋体"/>
          <w:kern w:val="0"/>
          <w:sz w:val="24"/>
          <w:szCs w:val="24"/>
        </w:rPr>
      </w:pPr>
      <w:r>
        <w:rPr>
          <w:rFonts w:eastAsiaTheme="minorEastAsia" w:hint="eastAsia"/>
          <w:color w:val="000000"/>
          <w:sz w:val="24"/>
          <w:szCs w:val="24"/>
        </w:rPr>
        <w:t>公告送出日期：</w:t>
      </w:r>
      <w:r>
        <w:rPr>
          <w:rFonts w:eastAsiaTheme="minorEastAsia" w:hint="eastAsia"/>
          <w:bCs/>
          <w:sz w:val="24"/>
          <w:szCs w:val="24"/>
        </w:rPr>
        <w:t>2026</w:t>
      </w:r>
      <w:r>
        <w:rPr>
          <w:rFonts w:eastAsiaTheme="minorEastAsia" w:hint="eastAsia"/>
          <w:bCs/>
          <w:sz w:val="24"/>
          <w:szCs w:val="24"/>
        </w:rPr>
        <w:t>年</w:t>
      </w:r>
      <w:r>
        <w:rPr>
          <w:rFonts w:eastAsiaTheme="minorEastAsia" w:hint="eastAsia"/>
          <w:bCs/>
          <w:sz w:val="24"/>
          <w:szCs w:val="24"/>
        </w:rPr>
        <w:t>2</w:t>
      </w:r>
      <w:r>
        <w:rPr>
          <w:rFonts w:eastAsiaTheme="minorEastAsia" w:hint="eastAsia"/>
          <w:bCs/>
          <w:sz w:val="24"/>
          <w:szCs w:val="24"/>
        </w:rPr>
        <w:t>月</w:t>
      </w:r>
      <w:r>
        <w:rPr>
          <w:rFonts w:eastAsiaTheme="minorEastAsia" w:hint="eastAsia"/>
          <w:bCs/>
          <w:sz w:val="24"/>
          <w:szCs w:val="24"/>
        </w:rPr>
        <w:t>11</w:t>
      </w:r>
      <w:r>
        <w:rPr>
          <w:rFonts w:eastAsiaTheme="minorEastAsia" w:hint="eastAsia"/>
          <w:bCs/>
          <w:sz w:val="24"/>
          <w:szCs w:val="24"/>
        </w:rPr>
        <w:t>日</w:t>
      </w:r>
    </w:p>
    <w:p w:rsidR="00F801A7" w:rsidRDefault="00F801A7">
      <w:pPr>
        <w:spacing w:line="560" w:lineRule="exact"/>
        <w:rPr>
          <w:rFonts w:eastAsiaTheme="minorEastAsia"/>
          <w:color w:val="000000"/>
          <w:sz w:val="24"/>
          <w:szCs w:val="24"/>
        </w:rPr>
      </w:pPr>
    </w:p>
    <w:p w:rsidR="00F801A7" w:rsidRDefault="00DD0877">
      <w:pPr>
        <w:pStyle w:val="2"/>
        <w:spacing w:line="560" w:lineRule="exact"/>
        <w:rPr>
          <w:rFonts w:ascii="Times New Roman" w:eastAsiaTheme="minorEastAsia" w:hAnsi="Times New Roman"/>
          <w:bCs w:val="0"/>
          <w:color w:val="000000"/>
          <w:sz w:val="24"/>
          <w:szCs w:val="24"/>
        </w:rPr>
      </w:pPr>
      <w:bookmarkStart w:id="1"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3058"/>
        <w:gridCol w:w="2780"/>
      </w:tblGrid>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基金名称</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交银施罗德中证</w:t>
            </w:r>
            <w:r>
              <w:rPr>
                <w:rFonts w:eastAsiaTheme="minorEastAsia" w:hint="eastAsia"/>
                <w:sz w:val="24"/>
                <w:szCs w:val="24"/>
              </w:rPr>
              <w:t>A500</w:t>
            </w:r>
            <w:r>
              <w:rPr>
                <w:rFonts w:eastAsiaTheme="minorEastAsia" w:hint="eastAsia"/>
                <w:sz w:val="24"/>
                <w:szCs w:val="24"/>
              </w:rPr>
              <w:t>指数增强型发起式证券投资基金</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基金简称</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交银中证</w:t>
            </w:r>
            <w:r>
              <w:rPr>
                <w:rFonts w:eastAsiaTheme="minorEastAsia" w:hint="eastAsia"/>
                <w:sz w:val="24"/>
                <w:szCs w:val="24"/>
              </w:rPr>
              <w:t>A500</w:t>
            </w:r>
            <w:r>
              <w:rPr>
                <w:rFonts w:eastAsiaTheme="minorEastAsia" w:hint="eastAsia"/>
                <w:sz w:val="24"/>
                <w:szCs w:val="24"/>
              </w:rPr>
              <w:t>指数增强发起</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基金主代码</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026736</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基金运作方式</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契约型开放式</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基金合同生效日</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2026</w:t>
            </w:r>
            <w:r>
              <w:rPr>
                <w:rFonts w:eastAsiaTheme="minorEastAsia" w:hint="eastAsia"/>
                <w:sz w:val="24"/>
                <w:szCs w:val="24"/>
              </w:rPr>
              <w:t>年</w:t>
            </w:r>
            <w:r>
              <w:rPr>
                <w:rFonts w:eastAsiaTheme="minorEastAsia" w:hint="eastAsia"/>
                <w:sz w:val="24"/>
                <w:szCs w:val="24"/>
              </w:rPr>
              <w:t>2</w:t>
            </w:r>
            <w:r>
              <w:rPr>
                <w:rFonts w:eastAsiaTheme="minorEastAsia" w:hint="eastAsia"/>
                <w:sz w:val="24"/>
                <w:szCs w:val="24"/>
              </w:rPr>
              <w:t>月</w:t>
            </w:r>
            <w:r>
              <w:rPr>
                <w:rFonts w:eastAsiaTheme="minorEastAsia" w:hint="eastAsia"/>
                <w:sz w:val="24"/>
                <w:szCs w:val="24"/>
              </w:rPr>
              <w:t>10</w:t>
            </w:r>
            <w:r>
              <w:rPr>
                <w:rFonts w:eastAsiaTheme="minorEastAsia" w:hint="eastAsia"/>
                <w:sz w:val="24"/>
                <w:szCs w:val="24"/>
              </w:rPr>
              <w:t>日</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基金管理人名称</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交银施罗德基金管理有限公司</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基金托管人名称</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中国工商银行股份有限公司</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公告依据</w:t>
            </w:r>
          </w:p>
        </w:tc>
        <w:tc>
          <w:tcPr>
            <w:tcW w:w="3284" w:type="pct"/>
            <w:gridSpan w:val="2"/>
            <w:vAlign w:val="center"/>
          </w:tcPr>
          <w:p w:rsidR="00F801A7" w:rsidRDefault="00DD0877">
            <w:pPr>
              <w:rPr>
                <w:rFonts w:eastAsiaTheme="minorEastAsia"/>
                <w:sz w:val="24"/>
                <w:szCs w:val="24"/>
              </w:rPr>
            </w:pPr>
            <w:r>
              <w:rPr>
                <w:rFonts w:eastAsiaTheme="minorEastAsia" w:hint="eastAsia"/>
                <w:sz w:val="24"/>
                <w:szCs w:val="24"/>
              </w:rPr>
              <w:t>《交银施罗德中证</w:t>
            </w:r>
            <w:r>
              <w:rPr>
                <w:rFonts w:eastAsiaTheme="minorEastAsia" w:hint="eastAsia"/>
                <w:sz w:val="24"/>
                <w:szCs w:val="24"/>
              </w:rPr>
              <w:t>A500</w:t>
            </w:r>
            <w:r>
              <w:rPr>
                <w:rFonts w:eastAsiaTheme="minorEastAsia" w:hint="eastAsia"/>
                <w:sz w:val="24"/>
                <w:szCs w:val="24"/>
              </w:rPr>
              <w:t>指数增强型发起式证券投资基金基金合同》、《交银施罗德中证</w:t>
            </w:r>
            <w:r>
              <w:rPr>
                <w:rFonts w:eastAsiaTheme="minorEastAsia" w:hint="eastAsia"/>
                <w:sz w:val="24"/>
                <w:szCs w:val="24"/>
              </w:rPr>
              <w:t>A500</w:t>
            </w:r>
            <w:r>
              <w:rPr>
                <w:rFonts w:eastAsiaTheme="minorEastAsia" w:hint="eastAsia"/>
                <w:sz w:val="24"/>
                <w:szCs w:val="24"/>
              </w:rPr>
              <w:t>指数增强型发起式证券投资基金招募说明书》等</w:t>
            </w:r>
          </w:p>
        </w:tc>
      </w:tr>
      <w:tr w:rsidR="00F801A7">
        <w:trPr>
          <w:trHeight w:val="386"/>
          <w:jc w:val="center"/>
        </w:trPr>
        <w:tc>
          <w:tcPr>
            <w:tcW w:w="1715" w:type="pct"/>
          </w:tcPr>
          <w:p w:rsidR="00F801A7" w:rsidRDefault="00DD0877">
            <w:pPr>
              <w:spacing w:line="560" w:lineRule="exact"/>
              <w:rPr>
                <w:rFonts w:eastAsiaTheme="minorEastAsia"/>
                <w:color w:val="000000"/>
                <w:sz w:val="24"/>
                <w:szCs w:val="24"/>
              </w:rPr>
            </w:pPr>
            <w:r>
              <w:rPr>
                <w:rFonts w:asciiTheme="minorEastAsia" w:eastAsiaTheme="minorEastAsia" w:hAnsiTheme="minorEastAsia" w:hint="eastAsia"/>
                <w:color w:val="000000"/>
                <w:sz w:val="24"/>
                <w:szCs w:val="24"/>
              </w:rPr>
              <w:t>下属分级基金的基金简称</w:t>
            </w:r>
          </w:p>
        </w:tc>
        <w:tc>
          <w:tcPr>
            <w:tcW w:w="1720" w:type="pct"/>
            <w:vAlign w:val="center"/>
          </w:tcPr>
          <w:p w:rsidR="00F801A7" w:rsidRDefault="00DD0877">
            <w:pPr>
              <w:rPr>
                <w:rFonts w:eastAsiaTheme="minorEastAsia"/>
                <w:sz w:val="24"/>
                <w:szCs w:val="24"/>
              </w:rPr>
            </w:pPr>
            <w:r>
              <w:rPr>
                <w:rFonts w:eastAsiaTheme="minorEastAsia" w:hint="eastAsia"/>
                <w:sz w:val="24"/>
                <w:szCs w:val="24"/>
              </w:rPr>
              <w:t>交银中证</w:t>
            </w:r>
            <w:r>
              <w:rPr>
                <w:rFonts w:eastAsiaTheme="minorEastAsia" w:hint="eastAsia"/>
                <w:sz w:val="24"/>
                <w:szCs w:val="24"/>
              </w:rPr>
              <w:t>A500</w:t>
            </w:r>
            <w:r>
              <w:rPr>
                <w:rFonts w:eastAsiaTheme="minorEastAsia" w:hint="eastAsia"/>
                <w:sz w:val="24"/>
                <w:szCs w:val="24"/>
              </w:rPr>
              <w:t>指数增强发起</w:t>
            </w:r>
            <w:r>
              <w:rPr>
                <w:rFonts w:eastAsiaTheme="minorEastAsia" w:hint="eastAsia"/>
                <w:sz w:val="24"/>
                <w:szCs w:val="24"/>
              </w:rPr>
              <w:t>A</w:t>
            </w:r>
          </w:p>
        </w:tc>
        <w:tc>
          <w:tcPr>
            <w:tcW w:w="1564" w:type="pct"/>
            <w:vAlign w:val="center"/>
          </w:tcPr>
          <w:p w:rsidR="00F801A7" w:rsidRDefault="00DD0877">
            <w:pPr>
              <w:rPr>
                <w:rFonts w:eastAsiaTheme="minorEastAsia"/>
                <w:sz w:val="24"/>
                <w:szCs w:val="24"/>
              </w:rPr>
            </w:pPr>
            <w:r>
              <w:rPr>
                <w:rFonts w:eastAsiaTheme="minorEastAsia" w:hint="eastAsia"/>
                <w:sz w:val="24"/>
                <w:szCs w:val="24"/>
              </w:rPr>
              <w:t>交银中证</w:t>
            </w:r>
            <w:r>
              <w:rPr>
                <w:rFonts w:eastAsiaTheme="minorEastAsia" w:hint="eastAsia"/>
                <w:sz w:val="24"/>
                <w:szCs w:val="24"/>
              </w:rPr>
              <w:t>A500</w:t>
            </w:r>
            <w:r>
              <w:rPr>
                <w:rFonts w:eastAsiaTheme="minorEastAsia" w:hint="eastAsia"/>
                <w:sz w:val="24"/>
                <w:szCs w:val="24"/>
              </w:rPr>
              <w:t>指数增强发起</w:t>
            </w:r>
            <w:r>
              <w:rPr>
                <w:rFonts w:eastAsiaTheme="minorEastAsia" w:hint="eastAsia"/>
                <w:sz w:val="24"/>
                <w:szCs w:val="24"/>
              </w:rPr>
              <w:t>C</w:t>
            </w:r>
          </w:p>
        </w:tc>
      </w:tr>
      <w:tr w:rsidR="00F801A7">
        <w:trPr>
          <w:trHeight w:val="386"/>
          <w:jc w:val="center"/>
        </w:trPr>
        <w:tc>
          <w:tcPr>
            <w:tcW w:w="1715" w:type="pct"/>
            <w:vAlign w:val="center"/>
          </w:tcPr>
          <w:p w:rsidR="00F801A7" w:rsidRDefault="00DD0877">
            <w:pPr>
              <w:spacing w:line="560" w:lineRule="exact"/>
              <w:rPr>
                <w:rFonts w:eastAsiaTheme="minorEastAsia"/>
                <w:color w:val="000000"/>
                <w:sz w:val="24"/>
                <w:szCs w:val="24"/>
              </w:rPr>
            </w:pPr>
            <w:r>
              <w:rPr>
                <w:rFonts w:asciiTheme="minorEastAsia" w:eastAsiaTheme="minorEastAsia" w:hAnsiTheme="minorEastAsia" w:hint="eastAsia"/>
                <w:color w:val="000000"/>
                <w:sz w:val="24"/>
                <w:szCs w:val="24"/>
              </w:rPr>
              <w:t>下属分级基金的交易代码</w:t>
            </w:r>
          </w:p>
        </w:tc>
        <w:tc>
          <w:tcPr>
            <w:tcW w:w="1720" w:type="pct"/>
            <w:vAlign w:val="center"/>
          </w:tcPr>
          <w:p w:rsidR="00F801A7" w:rsidRDefault="00DD0877">
            <w:pPr>
              <w:rPr>
                <w:rFonts w:eastAsiaTheme="minorEastAsia"/>
                <w:sz w:val="24"/>
                <w:szCs w:val="24"/>
              </w:rPr>
            </w:pPr>
            <w:r>
              <w:rPr>
                <w:rFonts w:eastAsiaTheme="minorEastAsia" w:hint="eastAsia"/>
                <w:sz w:val="24"/>
                <w:szCs w:val="24"/>
              </w:rPr>
              <w:t>026736</w:t>
            </w:r>
          </w:p>
        </w:tc>
        <w:tc>
          <w:tcPr>
            <w:tcW w:w="1564" w:type="pct"/>
            <w:vAlign w:val="center"/>
          </w:tcPr>
          <w:p w:rsidR="00F801A7" w:rsidRDefault="00DD0877">
            <w:pPr>
              <w:rPr>
                <w:rFonts w:eastAsiaTheme="minorEastAsia"/>
                <w:sz w:val="24"/>
                <w:szCs w:val="24"/>
              </w:rPr>
            </w:pPr>
            <w:r>
              <w:rPr>
                <w:rFonts w:eastAsiaTheme="minorEastAsia" w:hint="eastAsia"/>
                <w:sz w:val="24"/>
                <w:szCs w:val="24"/>
              </w:rPr>
              <w:t>026737</w:t>
            </w:r>
          </w:p>
        </w:tc>
      </w:tr>
    </w:tbl>
    <w:p w:rsidR="00F801A7" w:rsidRDefault="00DD0877">
      <w:pPr>
        <w:pStyle w:val="2"/>
        <w:spacing w:line="530" w:lineRule="exact"/>
        <w:rPr>
          <w:rFonts w:ascii="Times New Roman" w:eastAsiaTheme="minorEastAsia" w:hAnsi="Times New Roman"/>
          <w:bCs w:val="0"/>
          <w:color w:val="000000"/>
          <w:sz w:val="24"/>
          <w:szCs w:val="24"/>
        </w:rPr>
      </w:pPr>
      <w:bookmarkStart w:id="2"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701"/>
        <w:gridCol w:w="1928"/>
        <w:gridCol w:w="1771"/>
        <w:gridCol w:w="1971"/>
      </w:tblGrid>
      <w:tr w:rsidR="00F801A7">
        <w:trPr>
          <w:trHeight w:hRule="exact" w:val="708"/>
        </w:trPr>
        <w:tc>
          <w:tcPr>
            <w:tcW w:w="3256" w:type="dxa"/>
            <w:gridSpan w:val="2"/>
          </w:tcPr>
          <w:p w:rsidR="00F801A7" w:rsidRDefault="00DD0877">
            <w:pPr>
              <w:jc w:val="left"/>
              <w:rPr>
                <w:rFonts w:eastAsiaTheme="minorEastAsia"/>
                <w:color w:val="000000"/>
                <w:sz w:val="24"/>
                <w:szCs w:val="24"/>
              </w:rPr>
            </w:pPr>
            <w:r>
              <w:rPr>
                <w:rFonts w:eastAsiaTheme="minorEastAsia" w:hint="eastAsia"/>
                <w:color w:val="000000"/>
                <w:sz w:val="24"/>
                <w:szCs w:val="24"/>
              </w:rPr>
              <w:t>基金募集申请获中国证监会准予注册的文号</w:t>
            </w:r>
          </w:p>
        </w:tc>
        <w:tc>
          <w:tcPr>
            <w:tcW w:w="5670" w:type="dxa"/>
            <w:gridSpan w:val="3"/>
            <w:vAlign w:val="center"/>
          </w:tcPr>
          <w:p w:rsidR="00F801A7" w:rsidRDefault="00DD0877">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2025</w:t>
            </w:r>
            <w:r>
              <w:rPr>
                <w:rFonts w:eastAsiaTheme="minorEastAsia" w:hint="eastAsia"/>
                <w:sz w:val="24"/>
                <w:szCs w:val="24"/>
              </w:rPr>
              <w:t>】</w:t>
            </w:r>
            <w:r>
              <w:rPr>
                <w:rFonts w:eastAsiaTheme="minorEastAsia" w:hint="eastAsia"/>
                <w:sz w:val="24"/>
                <w:szCs w:val="24"/>
              </w:rPr>
              <w:t>3002</w:t>
            </w:r>
            <w:r>
              <w:rPr>
                <w:rFonts w:eastAsiaTheme="minorEastAsia" w:hint="eastAsia"/>
                <w:sz w:val="24"/>
                <w:szCs w:val="24"/>
              </w:rPr>
              <w:t>号</w:t>
            </w:r>
          </w:p>
        </w:tc>
      </w:tr>
      <w:tr w:rsidR="00F801A7">
        <w:trPr>
          <w:trHeight w:hRule="exact" w:val="680"/>
        </w:trPr>
        <w:tc>
          <w:tcPr>
            <w:tcW w:w="3256" w:type="dxa"/>
            <w:gridSpan w:val="2"/>
            <w:vAlign w:val="center"/>
          </w:tcPr>
          <w:p w:rsidR="00F801A7" w:rsidRDefault="00DD0877">
            <w:pPr>
              <w:spacing w:line="530" w:lineRule="exact"/>
              <w:rPr>
                <w:rFonts w:eastAsiaTheme="minorEastAsia"/>
                <w:color w:val="000000"/>
                <w:sz w:val="24"/>
                <w:szCs w:val="24"/>
              </w:rPr>
            </w:pPr>
            <w:r>
              <w:rPr>
                <w:rFonts w:eastAsiaTheme="minorEastAsia" w:hint="eastAsia"/>
                <w:color w:val="000000"/>
                <w:sz w:val="24"/>
                <w:szCs w:val="24"/>
              </w:rPr>
              <w:t>基金募集期间</w:t>
            </w:r>
          </w:p>
        </w:tc>
        <w:tc>
          <w:tcPr>
            <w:tcW w:w="5670" w:type="dxa"/>
            <w:gridSpan w:val="3"/>
            <w:vAlign w:val="center"/>
          </w:tcPr>
          <w:p w:rsidR="00F801A7" w:rsidRDefault="00DD0877">
            <w:pPr>
              <w:rPr>
                <w:rFonts w:eastAsiaTheme="minorEastAsia"/>
                <w:sz w:val="24"/>
                <w:szCs w:val="24"/>
              </w:rPr>
            </w:pPr>
            <w:r>
              <w:rPr>
                <w:rFonts w:eastAsiaTheme="minorEastAsia" w:hint="eastAsia"/>
                <w:sz w:val="24"/>
                <w:szCs w:val="24"/>
              </w:rPr>
              <w:t>自</w:t>
            </w:r>
            <w:r>
              <w:rPr>
                <w:rFonts w:eastAsiaTheme="minorEastAsia" w:hint="eastAsia"/>
                <w:sz w:val="24"/>
                <w:szCs w:val="24"/>
              </w:rPr>
              <w:t>2026</w:t>
            </w:r>
            <w:r>
              <w:rPr>
                <w:rFonts w:eastAsiaTheme="minorEastAsia" w:hint="eastAsia"/>
                <w:sz w:val="24"/>
                <w:szCs w:val="24"/>
              </w:rPr>
              <w:t>年</w:t>
            </w:r>
            <w:r>
              <w:rPr>
                <w:rFonts w:eastAsiaTheme="minorEastAsia" w:hint="eastAsia"/>
                <w:sz w:val="24"/>
                <w:szCs w:val="24"/>
              </w:rPr>
              <w:t>1</w:t>
            </w:r>
            <w:r>
              <w:rPr>
                <w:rFonts w:eastAsiaTheme="minorEastAsia" w:hint="eastAsia"/>
                <w:sz w:val="24"/>
                <w:szCs w:val="24"/>
              </w:rPr>
              <w:t>月</w:t>
            </w:r>
            <w:r>
              <w:rPr>
                <w:rFonts w:eastAsiaTheme="minorEastAsia" w:hint="eastAsia"/>
                <w:sz w:val="24"/>
                <w:szCs w:val="24"/>
              </w:rPr>
              <w:t>26</w:t>
            </w:r>
            <w:r>
              <w:rPr>
                <w:rFonts w:eastAsiaTheme="minorEastAsia" w:hint="eastAsia"/>
                <w:sz w:val="24"/>
                <w:szCs w:val="24"/>
              </w:rPr>
              <w:t>日</w:t>
            </w:r>
          </w:p>
          <w:p w:rsidR="00F801A7" w:rsidRDefault="00DD0877">
            <w:pPr>
              <w:rPr>
                <w:rFonts w:eastAsiaTheme="minorEastAsia"/>
                <w:sz w:val="24"/>
                <w:szCs w:val="24"/>
              </w:rPr>
            </w:pPr>
            <w:r>
              <w:rPr>
                <w:rFonts w:eastAsiaTheme="minorEastAsia" w:hint="eastAsia"/>
                <w:sz w:val="24"/>
                <w:szCs w:val="24"/>
              </w:rPr>
              <w:t>至</w:t>
            </w:r>
            <w:r>
              <w:rPr>
                <w:rFonts w:eastAsiaTheme="minorEastAsia" w:hint="eastAsia"/>
                <w:sz w:val="24"/>
                <w:szCs w:val="24"/>
              </w:rPr>
              <w:t>2026</w:t>
            </w:r>
            <w:r>
              <w:rPr>
                <w:rFonts w:eastAsiaTheme="minorEastAsia" w:hint="eastAsia"/>
                <w:sz w:val="24"/>
                <w:szCs w:val="24"/>
              </w:rPr>
              <w:t>年</w:t>
            </w:r>
            <w:r>
              <w:rPr>
                <w:rFonts w:eastAsiaTheme="minorEastAsia" w:hint="eastAsia"/>
                <w:sz w:val="24"/>
                <w:szCs w:val="24"/>
              </w:rPr>
              <w:t>2</w:t>
            </w:r>
            <w:r>
              <w:rPr>
                <w:rFonts w:eastAsiaTheme="minorEastAsia" w:hint="eastAsia"/>
                <w:sz w:val="24"/>
                <w:szCs w:val="24"/>
              </w:rPr>
              <w:t>月</w:t>
            </w:r>
            <w:r>
              <w:rPr>
                <w:rFonts w:eastAsiaTheme="minorEastAsia" w:hint="eastAsia"/>
                <w:sz w:val="24"/>
                <w:szCs w:val="24"/>
              </w:rPr>
              <w:t>6</w:t>
            </w:r>
            <w:r>
              <w:rPr>
                <w:rFonts w:eastAsiaTheme="minorEastAsia" w:hint="eastAsia"/>
                <w:sz w:val="24"/>
                <w:szCs w:val="24"/>
              </w:rPr>
              <w:t>日止</w:t>
            </w:r>
          </w:p>
        </w:tc>
      </w:tr>
      <w:tr w:rsidR="00F801A7">
        <w:trPr>
          <w:trHeight w:hRule="exact" w:val="680"/>
        </w:trPr>
        <w:tc>
          <w:tcPr>
            <w:tcW w:w="3256" w:type="dxa"/>
            <w:gridSpan w:val="2"/>
            <w:vAlign w:val="center"/>
          </w:tcPr>
          <w:p w:rsidR="00F801A7" w:rsidRDefault="00DD0877">
            <w:pPr>
              <w:spacing w:line="530" w:lineRule="exact"/>
              <w:rPr>
                <w:rFonts w:eastAsiaTheme="minorEastAsia"/>
                <w:color w:val="000000"/>
                <w:sz w:val="24"/>
                <w:szCs w:val="24"/>
              </w:rPr>
            </w:pPr>
            <w:r>
              <w:rPr>
                <w:rFonts w:eastAsiaTheme="minorEastAsia" w:hint="eastAsia"/>
                <w:color w:val="000000"/>
                <w:sz w:val="24"/>
                <w:szCs w:val="24"/>
              </w:rPr>
              <w:t>验资机构名称</w:t>
            </w:r>
          </w:p>
        </w:tc>
        <w:tc>
          <w:tcPr>
            <w:tcW w:w="5670" w:type="dxa"/>
            <w:gridSpan w:val="3"/>
            <w:vAlign w:val="center"/>
          </w:tcPr>
          <w:p w:rsidR="00F801A7" w:rsidRDefault="00DD0877">
            <w:pPr>
              <w:rPr>
                <w:rFonts w:eastAsiaTheme="minorEastAsia"/>
                <w:sz w:val="24"/>
                <w:szCs w:val="24"/>
              </w:rPr>
            </w:pPr>
            <w:r>
              <w:rPr>
                <w:rFonts w:eastAsiaTheme="minorEastAsia" w:hint="eastAsia"/>
                <w:sz w:val="24"/>
                <w:szCs w:val="24"/>
              </w:rPr>
              <w:t>德勤华永会计师事务所（特殊普通合伙）</w:t>
            </w:r>
          </w:p>
        </w:tc>
      </w:tr>
      <w:tr w:rsidR="00F801A7">
        <w:trPr>
          <w:trHeight w:hRule="exact" w:val="706"/>
        </w:trPr>
        <w:tc>
          <w:tcPr>
            <w:tcW w:w="3256" w:type="dxa"/>
            <w:gridSpan w:val="2"/>
            <w:vAlign w:val="center"/>
          </w:tcPr>
          <w:p w:rsidR="00F801A7" w:rsidRDefault="00DD0877">
            <w:pPr>
              <w:rPr>
                <w:rFonts w:eastAsiaTheme="minorEastAsia"/>
                <w:color w:val="000000"/>
                <w:sz w:val="24"/>
                <w:szCs w:val="24"/>
              </w:rPr>
            </w:pPr>
            <w:r>
              <w:rPr>
                <w:rFonts w:eastAsiaTheme="minorEastAsia" w:hint="eastAsia"/>
                <w:color w:val="000000"/>
                <w:sz w:val="24"/>
                <w:szCs w:val="24"/>
              </w:rPr>
              <w:t>募集资金划入基金托管专户的日期</w:t>
            </w:r>
          </w:p>
        </w:tc>
        <w:tc>
          <w:tcPr>
            <w:tcW w:w="5670" w:type="dxa"/>
            <w:gridSpan w:val="3"/>
            <w:vAlign w:val="center"/>
          </w:tcPr>
          <w:p w:rsidR="00F801A7" w:rsidRDefault="00DD0877">
            <w:pPr>
              <w:jc w:val="left"/>
              <w:rPr>
                <w:rFonts w:eastAsiaTheme="minorEastAsia"/>
                <w:sz w:val="24"/>
                <w:szCs w:val="24"/>
              </w:rPr>
            </w:pPr>
            <w:r>
              <w:rPr>
                <w:rFonts w:eastAsiaTheme="minorEastAsia" w:hint="eastAsia"/>
                <w:sz w:val="24"/>
                <w:szCs w:val="24"/>
              </w:rPr>
              <w:t>2026</w:t>
            </w:r>
            <w:r>
              <w:rPr>
                <w:rFonts w:eastAsiaTheme="minorEastAsia" w:hint="eastAsia"/>
                <w:sz w:val="24"/>
                <w:szCs w:val="24"/>
              </w:rPr>
              <w:t>年</w:t>
            </w:r>
            <w:r>
              <w:rPr>
                <w:rFonts w:eastAsiaTheme="minorEastAsia" w:hint="eastAsia"/>
                <w:sz w:val="24"/>
                <w:szCs w:val="24"/>
              </w:rPr>
              <w:t>2</w:t>
            </w:r>
            <w:r>
              <w:rPr>
                <w:rFonts w:eastAsiaTheme="minorEastAsia" w:hint="eastAsia"/>
                <w:sz w:val="24"/>
                <w:szCs w:val="24"/>
              </w:rPr>
              <w:t>月</w:t>
            </w:r>
            <w:r>
              <w:rPr>
                <w:rFonts w:eastAsiaTheme="minorEastAsia" w:hint="eastAsia"/>
                <w:sz w:val="24"/>
                <w:szCs w:val="24"/>
              </w:rPr>
              <w:t>10</w:t>
            </w:r>
            <w:r>
              <w:rPr>
                <w:rFonts w:eastAsiaTheme="minorEastAsia" w:hint="eastAsia"/>
                <w:sz w:val="24"/>
                <w:szCs w:val="24"/>
              </w:rPr>
              <w:t>日</w:t>
            </w:r>
          </w:p>
        </w:tc>
      </w:tr>
      <w:tr w:rsidR="00F801A7">
        <w:trPr>
          <w:trHeight w:hRule="exact" w:val="740"/>
        </w:trPr>
        <w:tc>
          <w:tcPr>
            <w:tcW w:w="3256" w:type="dxa"/>
            <w:gridSpan w:val="2"/>
            <w:vAlign w:val="center"/>
          </w:tcPr>
          <w:p w:rsidR="00F801A7" w:rsidRDefault="00DD0877">
            <w:pPr>
              <w:rPr>
                <w:rFonts w:eastAsiaTheme="minorEastAsia"/>
                <w:color w:val="000000"/>
                <w:sz w:val="24"/>
                <w:szCs w:val="24"/>
              </w:rPr>
            </w:pPr>
            <w:r>
              <w:rPr>
                <w:rFonts w:eastAsiaTheme="minorEastAsia" w:hint="eastAsia"/>
                <w:color w:val="000000"/>
                <w:sz w:val="24"/>
                <w:szCs w:val="24"/>
              </w:rPr>
              <w:lastRenderedPageBreak/>
              <w:t>募集有效认购总户数（单位：</w:t>
            </w:r>
            <w:r>
              <w:rPr>
                <w:rFonts w:eastAsiaTheme="minorEastAsia" w:hint="eastAsia"/>
                <w:color w:val="000000"/>
                <w:kern w:val="0"/>
                <w:sz w:val="24"/>
                <w:szCs w:val="24"/>
              </w:rPr>
              <w:t>户</w:t>
            </w:r>
            <w:r>
              <w:rPr>
                <w:rFonts w:eastAsiaTheme="minorEastAsia" w:hint="eastAsia"/>
                <w:color w:val="000000"/>
                <w:sz w:val="24"/>
                <w:szCs w:val="24"/>
              </w:rPr>
              <w:t>）</w:t>
            </w:r>
          </w:p>
        </w:tc>
        <w:tc>
          <w:tcPr>
            <w:tcW w:w="5670" w:type="dxa"/>
            <w:gridSpan w:val="3"/>
            <w:shd w:val="clear" w:color="auto" w:fill="auto"/>
            <w:vAlign w:val="center"/>
          </w:tcPr>
          <w:p w:rsidR="00F801A7" w:rsidRDefault="00DD0877">
            <w:pPr>
              <w:jc w:val="left"/>
              <w:rPr>
                <w:rFonts w:eastAsiaTheme="minorEastAsia"/>
                <w:sz w:val="24"/>
                <w:szCs w:val="24"/>
              </w:rPr>
            </w:pPr>
            <w:r>
              <w:rPr>
                <w:rFonts w:eastAsiaTheme="minorEastAsia" w:hint="eastAsia"/>
                <w:sz w:val="24"/>
                <w:szCs w:val="24"/>
              </w:rPr>
              <w:t>3,950</w:t>
            </w:r>
          </w:p>
        </w:tc>
      </w:tr>
      <w:tr w:rsidR="00F801A7">
        <w:trPr>
          <w:trHeight w:hRule="exact" w:val="1396"/>
        </w:trPr>
        <w:tc>
          <w:tcPr>
            <w:tcW w:w="3256" w:type="dxa"/>
            <w:gridSpan w:val="2"/>
            <w:vAlign w:val="center"/>
          </w:tcPr>
          <w:p w:rsidR="00F801A7" w:rsidRDefault="00DD0877">
            <w:pPr>
              <w:spacing w:line="530" w:lineRule="exact"/>
              <w:rPr>
                <w:rFonts w:eastAsiaTheme="minorEastAsia"/>
                <w:color w:val="000000"/>
                <w:sz w:val="24"/>
                <w:szCs w:val="24"/>
              </w:rPr>
            </w:pPr>
            <w:r>
              <w:rPr>
                <w:rFonts w:eastAsiaTheme="minorEastAsia" w:hint="eastAsia"/>
                <w:color w:val="000000"/>
                <w:sz w:val="24"/>
                <w:szCs w:val="24"/>
              </w:rPr>
              <w:t>份额级别</w:t>
            </w:r>
          </w:p>
        </w:tc>
        <w:tc>
          <w:tcPr>
            <w:tcW w:w="1928" w:type="dxa"/>
            <w:vAlign w:val="center"/>
          </w:tcPr>
          <w:p w:rsidR="00F801A7" w:rsidRDefault="00DD0877">
            <w:pPr>
              <w:rPr>
                <w:rFonts w:eastAsiaTheme="minorEastAsia"/>
                <w:sz w:val="24"/>
                <w:szCs w:val="24"/>
              </w:rPr>
            </w:pPr>
            <w:r>
              <w:rPr>
                <w:rFonts w:eastAsiaTheme="minorEastAsia" w:hint="eastAsia"/>
                <w:sz w:val="24"/>
                <w:szCs w:val="24"/>
              </w:rPr>
              <w:t>交银中证</w:t>
            </w:r>
            <w:r>
              <w:rPr>
                <w:rFonts w:eastAsiaTheme="minorEastAsia" w:hint="eastAsia"/>
                <w:sz w:val="24"/>
                <w:szCs w:val="24"/>
              </w:rPr>
              <w:t>A500</w:t>
            </w:r>
            <w:r>
              <w:rPr>
                <w:rFonts w:eastAsiaTheme="minorEastAsia" w:hint="eastAsia"/>
                <w:sz w:val="24"/>
                <w:szCs w:val="24"/>
              </w:rPr>
              <w:t>指数增强发起</w:t>
            </w:r>
            <w:r>
              <w:rPr>
                <w:rFonts w:eastAsiaTheme="minorEastAsia" w:hint="eastAsia"/>
                <w:sz w:val="24"/>
                <w:szCs w:val="24"/>
              </w:rPr>
              <w:t>A</w:t>
            </w:r>
          </w:p>
        </w:tc>
        <w:tc>
          <w:tcPr>
            <w:tcW w:w="1771" w:type="dxa"/>
            <w:vAlign w:val="center"/>
          </w:tcPr>
          <w:p w:rsidR="00F801A7" w:rsidRDefault="00DD0877">
            <w:pPr>
              <w:rPr>
                <w:rFonts w:eastAsiaTheme="minorEastAsia"/>
                <w:sz w:val="24"/>
                <w:szCs w:val="24"/>
              </w:rPr>
            </w:pPr>
            <w:r>
              <w:rPr>
                <w:rFonts w:eastAsiaTheme="minorEastAsia" w:hint="eastAsia"/>
                <w:sz w:val="24"/>
                <w:szCs w:val="24"/>
              </w:rPr>
              <w:t>交银中证</w:t>
            </w:r>
            <w:r>
              <w:rPr>
                <w:rFonts w:eastAsiaTheme="minorEastAsia" w:hint="eastAsia"/>
                <w:sz w:val="24"/>
                <w:szCs w:val="24"/>
              </w:rPr>
              <w:t>A500</w:t>
            </w:r>
            <w:r>
              <w:rPr>
                <w:rFonts w:eastAsiaTheme="minorEastAsia" w:hint="eastAsia"/>
                <w:sz w:val="24"/>
                <w:szCs w:val="24"/>
              </w:rPr>
              <w:t>指数增强发起</w:t>
            </w:r>
            <w:r>
              <w:rPr>
                <w:rFonts w:eastAsiaTheme="minorEastAsia" w:hint="eastAsia"/>
                <w:sz w:val="24"/>
                <w:szCs w:val="24"/>
              </w:rPr>
              <w:t>C</w:t>
            </w:r>
          </w:p>
        </w:tc>
        <w:tc>
          <w:tcPr>
            <w:tcW w:w="1971" w:type="dxa"/>
            <w:vAlign w:val="center"/>
          </w:tcPr>
          <w:p w:rsidR="00F801A7" w:rsidRDefault="00DD0877">
            <w:pPr>
              <w:rPr>
                <w:rFonts w:eastAsiaTheme="minorEastAsia"/>
                <w:sz w:val="24"/>
                <w:szCs w:val="24"/>
              </w:rPr>
            </w:pPr>
            <w:r>
              <w:rPr>
                <w:rFonts w:eastAsiaTheme="minorEastAsia" w:hint="eastAsia"/>
                <w:sz w:val="24"/>
                <w:szCs w:val="24"/>
              </w:rPr>
              <w:t>交银中证</w:t>
            </w:r>
            <w:r>
              <w:rPr>
                <w:rFonts w:eastAsiaTheme="minorEastAsia" w:hint="eastAsia"/>
                <w:sz w:val="24"/>
                <w:szCs w:val="24"/>
              </w:rPr>
              <w:t>A500</w:t>
            </w:r>
            <w:r>
              <w:rPr>
                <w:rFonts w:eastAsiaTheme="minorEastAsia" w:hint="eastAsia"/>
                <w:sz w:val="24"/>
                <w:szCs w:val="24"/>
              </w:rPr>
              <w:t>指数增强发起合计</w:t>
            </w:r>
          </w:p>
        </w:tc>
      </w:tr>
      <w:tr w:rsidR="00F801A7">
        <w:trPr>
          <w:trHeight w:hRule="exact" w:val="737"/>
        </w:trPr>
        <w:tc>
          <w:tcPr>
            <w:tcW w:w="3256" w:type="dxa"/>
            <w:gridSpan w:val="2"/>
            <w:vAlign w:val="center"/>
          </w:tcPr>
          <w:p w:rsidR="00F801A7" w:rsidRDefault="00DD0877">
            <w:pPr>
              <w:rPr>
                <w:rFonts w:eastAsiaTheme="minorEastAsia"/>
                <w:sz w:val="24"/>
                <w:szCs w:val="24"/>
              </w:rPr>
            </w:pPr>
            <w:r>
              <w:rPr>
                <w:rFonts w:eastAsiaTheme="minorEastAsia" w:hint="eastAsia"/>
                <w:sz w:val="24"/>
                <w:szCs w:val="24"/>
              </w:rPr>
              <w:t>募集期间净认购金额（单位：元）</w:t>
            </w:r>
          </w:p>
        </w:tc>
        <w:tc>
          <w:tcPr>
            <w:tcW w:w="1928" w:type="dxa"/>
            <w:vAlign w:val="center"/>
          </w:tcPr>
          <w:p w:rsidR="00F801A7" w:rsidRDefault="00DD0877">
            <w:pPr>
              <w:jc w:val="center"/>
              <w:rPr>
                <w:rFonts w:eastAsiaTheme="minorEastAsia"/>
                <w:sz w:val="24"/>
                <w:szCs w:val="24"/>
              </w:rPr>
            </w:pPr>
            <w:r>
              <w:rPr>
                <w:rFonts w:eastAsiaTheme="minorEastAsia" w:hint="eastAsia"/>
                <w:sz w:val="24"/>
                <w:szCs w:val="24"/>
              </w:rPr>
              <w:t>764,079,326.19</w:t>
            </w:r>
          </w:p>
        </w:tc>
        <w:tc>
          <w:tcPr>
            <w:tcW w:w="1771" w:type="dxa"/>
            <w:vAlign w:val="center"/>
          </w:tcPr>
          <w:p w:rsidR="00F801A7" w:rsidRDefault="00DD0877">
            <w:pPr>
              <w:jc w:val="center"/>
              <w:rPr>
                <w:rFonts w:eastAsiaTheme="minorEastAsia"/>
                <w:sz w:val="24"/>
                <w:szCs w:val="24"/>
              </w:rPr>
            </w:pPr>
            <w:r>
              <w:rPr>
                <w:rFonts w:eastAsiaTheme="minorEastAsia" w:hint="eastAsia"/>
                <w:sz w:val="24"/>
                <w:szCs w:val="24"/>
              </w:rPr>
              <w:t>135,888,672.35</w:t>
            </w:r>
          </w:p>
        </w:tc>
        <w:tc>
          <w:tcPr>
            <w:tcW w:w="1971" w:type="dxa"/>
            <w:vAlign w:val="center"/>
          </w:tcPr>
          <w:p w:rsidR="00F801A7" w:rsidRDefault="00DD0877">
            <w:pPr>
              <w:jc w:val="center"/>
              <w:rPr>
                <w:rFonts w:eastAsiaTheme="minorEastAsia"/>
                <w:sz w:val="24"/>
                <w:szCs w:val="24"/>
              </w:rPr>
            </w:pPr>
            <w:r>
              <w:rPr>
                <w:rFonts w:eastAsiaTheme="minorEastAsia" w:hint="eastAsia"/>
                <w:sz w:val="24"/>
                <w:szCs w:val="24"/>
              </w:rPr>
              <w:t>899,967,998.54</w:t>
            </w:r>
          </w:p>
        </w:tc>
      </w:tr>
      <w:tr w:rsidR="00F801A7">
        <w:trPr>
          <w:trHeight w:hRule="exact" w:val="737"/>
        </w:trPr>
        <w:tc>
          <w:tcPr>
            <w:tcW w:w="3256" w:type="dxa"/>
            <w:gridSpan w:val="2"/>
            <w:vAlign w:val="center"/>
          </w:tcPr>
          <w:p w:rsidR="00F801A7" w:rsidRDefault="00DD0877">
            <w:pPr>
              <w:rPr>
                <w:rFonts w:eastAsiaTheme="minorEastAsia"/>
                <w:sz w:val="24"/>
                <w:szCs w:val="24"/>
              </w:rPr>
            </w:pPr>
            <w:r>
              <w:rPr>
                <w:rFonts w:eastAsiaTheme="minorEastAsia" w:hint="eastAsia"/>
                <w:sz w:val="24"/>
                <w:szCs w:val="24"/>
              </w:rPr>
              <w:t>认购资金在募集期间产生的利息（单位：元）</w:t>
            </w:r>
          </w:p>
        </w:tc>
        <w:tc>
          <w:tcPr>
            <w:tcW w:w="1928" w:type="dxa"/>
            <w:vAlign w:val="center"/>
          </w:tcPr>
          <w:p w:rsidR="00F801A7" w:rsidRDefault="00DD0877">
            <w:pPr>
              <w:jc w:val="center"/>
              <w:rPr>
                <w:rFonts w:eastAsiaTheme="minorEastAsia"/>
                <w:sz w:val="24"/>
                <w:szCs w:val="24"/>
              </w:rPr>
            </w:pPr>
            <w:r>
              <w:rPr>
                <w:rFonts w:eastAsiaTheme="minorEastAsia" w:hint="eastAsia"/>
                <w:sz w:val="24"/>
                <w:szCs w:val="24"/>
              </w:rPr>
              <w:t>27,531.54</w:t>
            </w:r>
          </w:p>
        </w:tc>
        <w:tc>
          <w:tcPr>
            <w:tcW w:w="1771" w:type="dxa"/>
            <w:vAlign w:val="center"/>
          </w:tcPr>
          <w:p w:rsidR="00F801A7" w:rsidRDefault="00DD0877">
            <w:pPr>
              <w:jc w:val="center"/>
              <w:rPr>
                <w:rFonts w:eastAsiaTheme="minorEastAsia"/>
                <w:sz w:val="24"/>
                <w:szCs w:val="24"/>
              </w:rPr>
            </w:pPr>
            <w:r>
              <w:rPr>
                <w:rFonts w:eastAsiaTheme="minorEastAsia" w:hint="eastAsia"/>
                <w:sz w:val="24"/>
                <w:szCs w:val="24"/>
              </w:rPr>
              <w:t>6,973.98</w:t>
            </w:r>
          </w:p>
        </w:tc>
        <w:tc>
          <w:tcPr>
            <w:tcW w:w="1971" w:type="dxa"/>
            <w:vAlign w:val="center"/>
          </w:tcPr>
          <w:p w:rsidR="00F801A7" w:rsidRDefault="00DD0877">
            <w:pPr>
              <w:jc w:val="center"/>
              <w:rPr>
                <w:rFonts w:eastAsiaTheme="minorEastAsia"/>
                <w:sz w:val="24"/>
                <w:szCs w:val="24"/>
              </w:rPr>
            </w:pPr>
            <w:r>
              <w:rPr>
                <w:rFonts w:eastAsiaTheme="minorEastAsia" w:hint="eastAsia"/>
                <w:sz w:val="24"/>
                <w:szCs w:val="24"/>
              </w:rPr>
              <w:t>34,505.52</w:t>
            </w:r>
          </w:p>
        </w:tc>
      </w:tr>
      <w:tr w:rsidR="00F801A7">
        <w:trPr>
          <w:trHeight w:hRule="exact" w:val="737"/>
        </w:trPr>
        <w:tc>
          <w:tcPr>
            <w:tcW w:w="1555" w:type="dxa"/>
            <w:vMerge w:val="restart"/>
            <w:vAlign w:val="center"/>
          </w:tcPr>
          <w:p w:rsidR="00F801A7" w:rsidRDefault="00DD0877">
            <w:pPr>
              <w:rPr>
                <w:rFonts w:eastAsiaTheme="minorEastAsia"/>
                <w:color w:val="000000"/>
                <w:sz w:val="24"/>
                <w:szCs w:val="24"/>
              </w:rPr>
            </w:pPr>
            <w:r>
              <w:rPr>
                <w:rFonts w:eastAsiaTheme="minorEastAsia" w:hint="eastAsia"/>
                <w:color w:val="000000"/>
                <w:sz w:val="24"/>
                <w:szCs w:val="24"/>
              </w:rPr>
              <w:t>募集份额（单位：份）</w:t>
            </w:r>
          </w:p>
        </w:tc>
        <w:tc>
          <w:tcPr>
            <w:tcW w:w="1701" w:type="dxa"/>
            <w:vAlign w:val="center"/>
          </w:tcPr>
          <w:p w:rsidR="00F801A7" w:rsidRDefault="00DD0877">
            <w:pPr>
              <w:rPr>
                <w:rFonts w:eastAsiaTheme="minorEastAsia"/>
                <w:sz w:val="24"/>
                <w:szCs w:val="24"/>
              </w:rPr>
            </w:pPr>
            <w:r>
              <w:rPr>
                <w:rFonts w:eastAsiaTheme="minorEastAsia" w:hint="eastAsia"/>
                <w:sz w:val="24"/>
                <w:szCs w:val="24"/>
              </w:rPr>
              <w:t>有效认购份额</w:t>
            </w:r>
          </w:p>
        </w:tc>
        <w:tc>
          <w:tcPr>
            <w:tcW w:w="1928" w:type="dxa"/>
            <w:vAlign w:val="center"/>
          </w:tcPr>
          <w:p w:rsidR="00F801A7" w:rsidRDefault="00DD0877">
            <w:pPr>
              <w:jc w:val="center"/>
              <w:rPr>
                <w:rFonts w:eastAsiaTheme="minorEastAsia"/>
                <w:sz w:val="24"/>
                <w:szCs w:val="24"/>
              </w:rPr>
            </w:pPr>
            <w:r>
              <w:rPr>
                <w:rFonts w:eastAsiaTheme="minorEastAsia" w:hint="eastAsia"/>
                <w:sz w:val="24"/>
                <w:szCs w:val="24"/>
              </w:rPr>
              <w:t>764,079,326.19</w:t>
            </w:r>
          </w:p>
        </w:tc>
        <w:tc>
          <w:tcPr>
            <w:tcW w:w="1771" w:type="dxa"/>
            <w:vAlign w:val="center"/>
          </w:tcPr>
          <w:p w:rsidR="00F801A7" w:rsidRDefault="00DD0877">
            <w:pPr>
              <w:jc w:val="center"/>
              <w:rPr>
                <w:rFonts w:eastAsiaTheme="minorEastAsia"/>
                <w:sz w:val="24"/>
                <w:szCs w:val="24"/>
              </w:rPr>
            </w:pPr>
            <w:r>
              <w:rPr>
                <w:rFonts w:eastAsiaTheme="minorEastAsia" w:hint="eastAsia"/>
                <w:sz w:val="24"/>
                <w:szCs w:val="24"/>
              </w:rPr>
              <w:t>135,888,672.35</w:t>
            </w:r>
          </w:p>
        </w:tc>
        <w:tc>
          <w:tcPr>
            <w:tcW w:w="1971" w:type="dxa"/>
            <w:vAlign w:val="center"/>
          </w:tcPr>
          <w:p w:rsidR="00F801A7" w:rsidRDefault="00DD0877">
            <w:pPr>
              <w:jc w:val="center"/>
              <w:rPr>
                <w:rFonts w:eastAsiaTheme="minorEastAsia"/>
                <w:sz w:val="24"/>
                <w:szCs w:val="24"/>
              </w:rPr>
            </w:pPr>
            <w:r>
              <w:rPr>
                <w:rFonts w:eastAsiaTheme="minorEastAsia" w:hint="eastAsia"/>
                <w:sz w:val="24"/>
                <w:szCs w:val="24"/>
              </w:rPr>
              <w:t>899,967,998.54</w:t>
            </w:r>
          </w:p>
        </w:tc>
      </w:tr>
      <w:tr w:rsidR="00F801A7">
        <w:trPr>
          <w:trHeight w:hRule="exact" w:val="737"/>
        </w:trPr>
        <w:tc>
          <w:tcPr>
            <w:tcW w:w="1555" w:type="dxa"/>
            <w:vMerge/>
            <w:vAlign w:val="center"/>
          </w:tcPr>
          <w:p w:rsidR="00F801A7" w:rsidRDefault="00F801A7">
            <w:pPr>
              <w:spacing w:line="530" w:lineRule="exact"/>
              <w:rPr>
                <w:rFonts w:eastAsiaTheme="minorEastAsia"/>
                <w:color w:val="000000"/>
                <w:sz w:val="24"/>
                <w:szCs w:val="24"/>
              </w:rPr>
            </w:pPr>
          </w:p>
        </w:tc>
        <w:tc>
          <w:tcPr>
            <w:tcW w:w="1701" w:type="dxa"/>
            <w:vAlign w:val="center"/>
          </w:tcPr>
          <w:p w:rsidR="00F801A7" w:rsidRDefault="00DD0877">
            <w:pPr>
              <w:rPr>
                <w:rFonts w:eastAsiaTheme="minorEastAsia"/>
                <w:sz w:val="24"/>
                <w:szCs w:val="24"/>
              </w:rPr>
            </w:pPr>
            <w:r>
              <w:rPr>
                <w:rFonts w:eastAsiaTheme="minorEastAsia" w:hint="eastAsia"/>
                <w:sz w:val="24"/>
                <w:szCs w:val="24"/>
              </w:rPr>
              <w:t>利息结转的份额</w:t>
            </w:r>
          </w:p>
        </w:tc>
        <w:tc>
          <w:tcPr>
            <w:tcW w:w="1928" w:type="dxa"/>
            <w:vAlign w:val="center"/>
          </w:tcPr>
          <w:p w:rsidR="00F801A7" w:rsidRDefault="00DD0877">
            <w:pPr>
              <w:jc w:val="center"/>
              <w:rPr>
                <w:rFonts w:eastAsiaTheme="minorEastAsia"/>
                <w:sz w:val="24"/>
                <w:szCs w:val="24"/>
              </w:rPr>
            </w:pPr>
            <w:r>
              <w:rPr>
                <w:rFonts w:eastAsiaTheme="minorEastAsia" w:hint="eastAsia"/>
                <w:sz w:val="24"/>
                <w:szCs w:val="24"/>
              </w:rPr>
              <w:t>27,531.54</w:t>
            </w:r>
          </w:p>
        </w:tc>
        <w:tc>
          <w:tcPr>
            <w:tcW w:w="1771" w:type="dxa"/>
            <w:vAlign w:val="center"/>
          </w:tcPr>
          <w:p w:rsidR="00F801A7" w:rsidRDefault="00DD0877">
            <w:pPr>
              <w:jc w:val="center"/>
              <w:rPr>
                <w:rFonts w:eastAsiaTheme="minorEastAsia"/>
                <w:sz w:val="24"/>
                <w:szCs w:val="24"/>
              </w:rPr>
            </w:pPr>
            <w:r>
              <w:rPr>
                <w:rFonts w:eastAsiaTheme="minorEastAsia" w:hint="eastAsia"/>
                <w:sz w:val="24"/>
                <w:szCs w:val="24"/>
              </w:rPr>
              <w:t>6,973.98</w:t>
            </w:r>
          </w:p>
        </w:tc>
        <w:tc>
          <w:tcPr>
            <w:tcW w:w="1971" w:type="dxa"/>
            <w:vAlign w:val="center"/>
          </w:tcPr>
          <w:p w:rsidR="00F801A7" w:rsidRDefault="00DD0877">
            <w:pPr>
              <w:jc w:val="center"/>
              <w:rPr>
                <w:rFonts w:eastAsiaTheme="minorEastAsia"/>
                <w:sz w:val="24"/>
                <w:szCs w:val="24"/>
              </w:rPr>
            </w:pPr>
            <w:r>
              <w:rPr>
                <w:rFonts w:eastAsiaTheme="minorEastAsia" w:hint="eastAsia"/>
                <w:sz w:val="24"/>
                <w:szCs w:val="24"/>
              </w:rPr>
              <w:t>34,505.52</w:t>
            </w:r>
          </w:p>
        </w:tc>
      </w:tr>
      <w:tr w:rsidR="00F801A7">
        <w:trPr>
          <w:trHeight w:hRule="exact" w:val="737"/>
        </w:trPr>
        <w:tc>
          <w:tcPr>
            <w:tcW w:w="1555" w:type="dxa"/>
            <w:vMerge/>
            <w:vAlign w:val="center"/>
          </w:tcPr>
          <w:p w:rsidR="00F801A7" w:rsidRDefault="00F801A7">
            <w:pPr>
              <w:spacing w:line="530" w:lineRule="exact"/>
              <w:rPr>
                <w:rFonts w:eastAsiaTheme="minorEastAsia"/>
                <w:color w:val="000000"/>
                <w:sz w:val="24"/>
                <w:szCs w:val="24"/>
              </w:rPr>
            </w:pPr>
          </w:p>
        </w:tc>
        <w:tc>
          <w:tcPr>
            <w:tcW w:w="1701" w:type="dxa"/>
            <w:vAlign w:val="center"/>
          </w:tcPr>
          <w:p w:rsidR="00F801A7" w:rsidRDefault="00DD0877">
            <w:pPr>
              <w:rPr>
                <w:rFonts w:eastAsiaTheme="minorEastAsia"/>
                <w:sz w:val="24"/>
                <w:szCs w:val="24"/>
              </w:rPr>
            </w:pPr>
            <w:r>
              <w:rPr>
                <w:rFonts w:eastAsiaTheme="minorEastAsia" w:hint="eastAsia"/>
                <w:sz w:val="24"/>
                <w:szCs w:val="24"/>
              </w:rPr>
              <w:t>合计</w:t>
            </w:r>
          </w:p>
        </w:tc>
        <w:tc>
          <w:tcPr>
            <w:tcW w:w="1928" w:type="dxa"/>
            <w:vAlign w:val="center"/>
          </w:tcPr>
          <w:p w:rsidR="00F801A7" w:rsidRDefault="00DD0877">
            <w:pPr>
              <w:jc w:val="center"/>
              <w:rPr>
                <w:rFonts w:eastAsiaTheme="minorEastAsia"/>
                <w:sz w:val="24"/>
                <w:szCs w:val="24"/>
              </w:rPr>
            </w:pPr>
            <w:r>
              <w:rPr>
                <w:rFonts w:eastAsiaTheme="minorEastAsia" w:hint="eastAsia"/>
                <w:sz w:val="24"/>
                <w:szCs w:val="24"/>
              </w:rPr>
              <w:t>764,106,857.73</w:t>
            </w:r>
          </w:p>
        </w:tc>
        <w:tc>
          <w:tcPr>
            <w:tcW w:w="1771" w:type="dxa"/>
            <w:vAlign w:val="center"/>
          </w:tcPr>
          <w:p w:rsidR="00F801A7" w:rsidRDefault="00DD0877">
            <w:pPr>
              <w:jc w:val="center"/>
              <w:rPr>
                <w:rFonts w:eastAsiaTheme="minorEastAsia"/>
                <w:sz w:val="24"/>
                <w:szCs w:val="24"/>
              </w:rPr>
            </w:pPr>
            <w:r>
              <w:rPr>
                <w:rFonts w:eastAsiaTheme="minorEastAsia" w:hint="eastAsia"/>
                <w:sz w:val="24"/>
                <w:szCs w:val="24"/>
              </w:rPr>
              <w:t>135,895,646.33</w:t>
            </w:r>
          </w:p>
        </w:tc>
        <w:tc>
          <w:tcPr>
            <w:tcW w:w="1971" w:type="dxa"/>
            <w:vAlign w:val="center"/>
          </w:tcPr>
          <w:p w:rsidR="00F801A7" w:rsidRDefault="00DD0877">
            <w:pPr>
              <w:jc w:val="center"/>
              <w:rPr>
                <w:rFonts w:eastAsiaTheme="minorEastAsia"/>
                <w:sz w:val="24"/>
                <w:szCs w:val="24"/>
              </w:rPr>
            </w:pPr>
            <w:r>
              <w:rPr>
                <w:rFonts w:eastAsiaTheme="minorEastAsia" w:hint="eastAsia"/>
                <w:sz w:val="24"/>
                <w:szCs w:val="24"/>
              </w:rPr>
              <w:t>900,002,504.06</w:t>
            </w:r>
          </w:p>
        </w:tc>
      </w:tr>
      <w:tr w:rsidR="00F801A7">
        <w:trPr>
          <w:trHeight w:hRule="exact" w:val="737"/>
        </w:trPr>
        <w:tc>
          <w:tcPr>
            <w:tcW w:w="1555" w:type="dxa"/>
            <w:vMerge w:val="restart"/>
            <w:vAlign w:val="center"/>
          </w:tcPr>
          <w:p w:rsidR="00F801A7" w:rsidRDefault="00DD0877">
            <w:pPr>
              <w:rPr>
                <w:rFonts w:eastAsiaTheme="minorEastAsia"/>
                <w:sz w:val="24"/>
                <w:szCs w:val="24"/>
              </w:rPr>
            </w:pPr>
            <w:r>
              <w:rPr>
                <w:rFonts w:eastAsiaTheme="minorEastAsia" w:hint="eastAsia"/>
                <w:sz w:val="24"/>
                <w:szCs w:val="24"/>
              </w:rPr>
              <w:t>其中：募集期间基金管理人运用固有资金认购本基金情况</w:t>
            </w:r>
          </w:p>
        </w:tc>
        <w:tc>
          <w:tcPr>
            <w:tcW w:w="1701" w:type="dxa"/>
            <w:vAlign w:val="center"/>
          </w:tcPr>
          <w:p w:rsidR="00F801A7" w:rsidRDefault="00DD0877">
            <w:pPr>
              <w:rPr>
                <w:rFonts w:eastAsiaTheme="minorEastAsia"/>
                <w:sz w:val="24"/>
                <w:szCs w:val="24"/>
              </w:rPr>
            </w:pPr>
            <w:r>
              <w:rPr>
                <w:rFonts w:eastAsiaTheme="minorEastAsia" w:hint="eastAsia"/>
                <w:sz w:val="24"/>
                <w:szCs w:val="24"/>
              </w:rPr>
              <w:t>认购的基金份额（单位：份）</w:t>
            </w:r>
          </w:p>
        </w:tc>
        <w:tc>
          <w:tcPr>
            <w:tcW w:w="1928"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10,000,388.92</w:t>
            </w:r>
          </w:p>
        </w:tc>
        <w:tc>
          <w:tcPr>
            <w:tcW w:w="17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w:t>
            </w:r>
          </w:p>
        </w:tc>
        <w:tc>
          <w:tcPr>
            <w:tcW w:w="19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10,000,388.92</w:t>
            </w:r>
          </w:p>
        </w:tc>
      </w:tr>
      <w:tr w:rsidR="00F801A7">
        <w:trPr>
          <w:trHeight w:hRule="exact" w:val="737"/>
        </w:trPr>
        <w:tc>
          <w:tcPr>
            <w:tcW w:w="1555" w:type="dxa"/>
            <w:vMerge/>
            <w:vAlign w:val="center"/>
          </w:tcPr>
          <w:p w:rsidR="00F801A7" w:rsidRDefault="00F801A7">
            <w:pPr>
              <w:rPr>
                <w:rFonts w:eastAsiaTheme="minorEastAsia"/>
                <w:sz w:val="24"/>
                <w:szCs w:val="24"/>
              </w:rPr>
            </w:pPr>
          </w:p>
        </w:tc>
        <w:tc>
          <w:tcPr>
            <w:tcW w:w="1701" w:type="dxa"/>
            <w:vAlign w:val="center"/>
          </w:tcPr>
          <w:p w:rsidR="00F801A7" w:rsidRDefault="00DD0877">
            <w:pPr>
              <w:rPr>
                <w:rFonts w:eastAsiaTheme="minorEastAsia"/>
                <w:sz w:val="24"/>
                <w:szCs w:val="24"/>
              </w:rPr>
            </w:pPr>
            <w:r>
              <w:rPr>
                <w:rFonts w:eastAsiaTheme="minorEastAsia" w:hint="eastAsia"/>
                <w:sz w:val="24"/>
                <w:szCs w:val="24"/>
              </w:rPr>
              <w:t>占基金总份额比例</w:t>
            </w:r>
          </w:p>
        </w:tc>
        <w:tc>
          <w:tcPr>
            <w:tcW w:w="1928" w:type="dxa"/>
            <w:vAlign w:val="center"/>
          </w:tcPr>
          <w:p w:rsidR="00F801A7" w:rsidRDefault="00DD0877">
            <w:pPr>
              <w:widowControl/>
              <w:jc w:val="center"/>
              <w:rPr>
                <w:rFonts w:eastAsiaTheme="minorEastAsia"/>
                <w:sz w:val="24"/>
                <w:szCs w:val="24"/>
              </w:rPr>
            </w:pPr>
            <w:r>
              <w:rPr>
                <w:rFonts w:eastAsiaTheme="minorEastAsia"/>
                <w:sz w:val="24"/>
                <w:szCs w:val="24"/>
              </w:rPr>
              <w:t>1.308</w:t>
            </w:r>
            <w:r>
              <w:rPr>
                <w:rFonts w:eastAsiaTheme="minorEastAsia" w:hint="eastAsia"/>
                <w:sz w:val="24"/>
                <w:szCs w:val="24"/>
              </w:rPr>
              <w:t>8</w:t>
            </w:r>
            <w:r>
              <w:rPr>
                <w:rFonts w:eastAsiaTheme="minorEastAsia"/>
                <w:sz w:val="24"/>
                <w:szCs w:val="24"/>
              </w:rPr>
              <w:t>%</w:t>
            </w:r>
          </w:p>
        </w:tc>
        <w:tc>
          <w:tcPr>
            <w:tcW w:w="17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w:t>
            </w:r>
          </w:p>
        </w:tc>
        <w:tc>
          <w:tcPr>
            <w:tcW w:w="19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1.1112%</w:t>
            </w:r>
          </w:p>
        </w:tc>
      </w:tr>
      <w:tr w:rsidR="00F801A7">
        <w:trPr>
          <w:trHeight w:hRule="exact" w:val="737"/>
        </w:trPr>
        <w:tc>
          <w:tcPr>
            <w:tcW w:w="1555" w:type="dxa"/>
            <w:vMerge/>
            <w:vAlign w:val="center"/>
          </w:tcPr>
          <w:p w:rsidR="00F801A7" w:rsidRDefault="00F801A7">
            <w:pPr>
              <w:rPr>
                <w:rFonts w:eastAsiaTheme="minorEastAsia"/>
                <w:sz w:val="24"/>
                <w:szCs w:val="24"/>
              </w:rPr>
            </w:pPr>
          </w:p>
        </w:tc>
        <w:tc>
          <w:tcPr>
            <w:tcW w:w="1701" w:type="dxa"/>
            <w:vAlign w:val="center"/>
          </w:tcPr>
          <w:p w:rsidR="00F801A7" w:rsidRDefault="00DD0877">
            <w:pPr>
              <w:rPr>
                <w:rFonts w:eastAsiaTheme="minorEastAsia"/>
                <w:sz w:val="24"/>
                <w:szCs w:val="24"/>
              </w:rPr>
            </w:pPr>
            <w:r>
              <w:rPr>
                <w:rFonts w:eastAsiaTheme="minorEastAsia" w:hint="eastAsia"/>
                <w:sz w:val="24"/>
                <w:szCs w:val="24"/>
              </w:rPr>
              <w:t>其他需要说明的事项</w:t>
            </w:r>
          </w:p>
        </w:tc>
        <w:tc>
          <w:tcPr>
            <w:tcW w:w="1928" w:type="dxa"/>
            <w:vAlign w:val="center"/>
          </w:tcPr>
          <w:p w:rsidR="00F801A7" w:rsidRDefault="00DD0877">
            <w:pPr>
              <w:jc w:val="center"/>
              <w:rPr>
                <w:rFonts w:eastAsiaTheme="minorEastAsia"/>
                <w:sz w:val="24"/>
                <w:szCs w:val="24"/>
              </w:rPr>
            </w:pPr>
            <w:r>
              <w:rPr>
                <w:rFonts w:eastAsiaTheme="minorEastAsia" w:hint="eastAsia"/>
                <w:sz w:val="24"/>
                <w:szCs w:val="24"/>
              </w:rPr>
              <w:t>认购费用为</w:t>
            </w:r>
            <w:r>
              <w:rPr>
                <w:rFonts w:eastAsiaTheme="minorEastAsia" w:hint="eastAsia"/>
                <w:sz w:val="24"/>
                <w:szCs w:val="24"/>
              </w:rPr>
              <w:t>1,000</w:t>
            </w:r>
            <w:r>
              <w:rPr>
                <w:rFonts w:eastAsiaTheme="minorEastAsia" w:hint="eastAsia"/>
                <w:sz w:val="24"/>
                <w:szCs w:val="24"/>
              </w:rPr>
              <w:t>元。</w:t>
            </w:r>
          </w:p>
        </w:tc>
        <w:tc>
          <w:tcPr>
            <w:tcW w:w="1771" w:type="dxa"/>
            <w:vAlign w:val="center"/>
          </w:tcPr>
          <w:p w:rsidR="00F801A7" w:rsidRDefault="00DD0877">
            <w:pPr>
              <w:jc w:val="center"/>
              <w:rPr>
                <w:rFonts w:eastAsiaTheme="minorEastAsia"/>
                <w:sz w:val="24"/>
                <w:szCs w:val="24"/>
              </w:rPr>
            </w:pPr>
            <w:r>
              <w:rPr>
                <w:rFonts w:eastAsiaTheme="minorEastAsia" w:hint="eastAsia"/>
                <w:sz w:val="24"/>
                <w:szCs w:val="24"/>
              </w:rPr>
              <w:t>-</w:t>
            </w:r>
          </w:p>
        </w:tc>
        <w:tc>
          <w:tcPr>
            <w:tcW w:w="1971" w:type="dxa"/>
            <w:vAlign w:val="center"/>
          </w:tcPr>
          <w:p w:rsidR="00F801A7" w:rsidRDefault="00DD0877">
            <w:pPr>
              <w:jc w:val="center"/>
              <w:rPr>
                <w:rFonts w:eastAsiaTheme="minorEastAsia"/>
                <w:sz w:val="24"/>
                <w:szCs w:val="24"/>
              </w:rPr>
            </w:pPr>
            <w:r>
              <w:rPr>
                <w:rFonts w:eastAsiaTheme="minorEastAsia" w:hint="eastAsia"/>
                <w:sz w:val="24"/>
                <w:szCs w:val="24"/>
              </w:rPr>
              <w:t>-</w:t>
            </w:r>
          </w:p>
        </w:tc>
      </w:tr>
      <w:tr w:rsidR="00F801A7">
        <w:trPr>
          <w:trHeight w:hRule="exact" w:val="843"/>
        </w:trPr>
        <w:tc>
          <w:tcPr>
            <w:tcW w:w="1555" w:type="dxa"/>
            <w:vMerge w:val="restart"/>
            <w:vAlign w:val="center"/>
          </w:tcPr>
          <w:p w:rsidR="00F801A7" w:rsidRDefault="00DD0877">
            <w:pPr>
              <w:rPr>
                <w:rFonts w:eastAsiaTheme="minorEastAsia"/>
                <w:sz w:val="24"/>
                <w:szCs w:val="24"/>
              </w:rPr>
            </w:pPr>
            <w:r>
              <w:rPr>
                <w:rFonts w:eastAsiaTheme="minorEastAsia" w:hint="eastAsia"/>
                <w:sz w:val="24"/>
                <w:szCs w:val="24"/>
              </w:rPr>
              <w:t>其中：募集期间基金管理人的从业人员认购本基金情况</w:t>
            </w:r>
          </w:p>
        </w:tc>
        <w:tc>
          <w:tcPr>
            <w:tcW w:w="1701" w:type="dxa"/>
            <w:vAlign w:val="center"/>
          </w:tcPr>
          <w:p w:rsidR="00F801A7" w:rsidRDefault="00DD0877">
            <w:pPr>
              <w:rPr>
                <w:rFonts w:eastAsiaTheme="minorEastAsia"/>
                <w:sz w:val="24"/>
                <w:szCs w:val="24"/>
              </w:rPr>
            </w:pPr>
            <w:r>
              <w:rPr>
                <w:rFonts w:eastAsiaTheme="minorEastAsia" w:hint="eastAsia"/>
                <w:sz w:val="24"/>
                <w:szCs w:val="24"/>
              </w:rPr>
              <w:t>认购的基金份额（单位：份）</w:t>
            </w:r>
          </w:p>
        </w:tc>
        <w:tc>
          <w:tcPr>
            <w:tcW w:w="1928"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hint="default"/>
                <w:kern w:val="2"/>
              </w:rPr>
              <w:t>120</w:t>
            </w:r>
            <w:r>
              <w:rPr>
                <w:rFonts w:ascii="Times New Roman" w:eastAsiaTheme="minorEastAsia" w:hAnsi="Times New Roman"/>
                <w:kern w:val="2"/>
              </w:rPr>
              <w:t>,</w:t>
            </w:r>
            <w:r>
              <w:rPr>
                <w:rFonts w:ascii="Times New Roman" w:eastAsiaTheme="minorEastAsia" w:hAnsi="Times New Roman" w:hint="default"/>
                <w:kern w:val="2"/>
              </w:rPr>
              <w:t>029.94</w:t>
            </w:r>
          </w:p>
        </w:tc>
        <w:tc>
          <w:tcPr>
            <w:tcW w:w="17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hint="default"/>
                <w:kern w:val="2"/>
              </w:rPr>
              <w:t>0</w:t>
            </w:r>
          </w:p>
        </w:tc>
        <w:tc>
          <w:tcPr>
            <w:tcW w:w="19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hint="default"/>
                <w:kern w:val="2"/>
              </w:rPr>
              <w:t>120</w:t>
            </w:r>
            <w:r>
              <w:rPr>
                <w:rFonts w:ascii="Times New Roman" w:eastAsiaTheme="minorEastAsia" w:hAnsi="Times New Roman"/>
                <w:kern w:val="2"/>
              </w:rPr>
              <w:t>,</w:t>
            </w:r>
            <w:r>
              <w:rPr>
                <w:rFonts w:ascii="Times New Roman" w:eastAsiaTheme="minorEastAsia" w:hAnsi="Times New Roman" w:hint="default"/>
                <w:kern w:val="2"/>
              </w:rPr>
              <w:t>029.94</w:t>
            </w:r>
          </w:p>
        </w:tc>
      </w:tr>
      <w:tr w:rsidR="00F801A7">
        <w:trPr>
          <w:trHeight w:hRule="exact" w:val="804"/>
        </w:trPr>
        <w:tc>
          <w:tcPr>
            <w:tcW w:w="1555" w:type="dxa"/>
            <w:vMerge/>
            <w:vAlign w:val="center"/>
          </w:tcPr>
          <w:p w:rsidR="00F801A7" w:rsidRDefault="00F801A7">
            <w:pPr>
              <w:spacing w:line="560" w:lineRule="exact"/>
              <w:rPr>
                <w:rFonts w:eastAsiaTheme="minorEastAsia"/>
                <w:color w:val="000000"/>
                <w:sz w:val="24"/>
                <w:szCs w:val="24"/>
              </w:rPr>
            </w:pPr>
          </w:p>
        </w:tc>
        <w:tc>
          <w:tcPr>
            <w:tcW w:w="1701" w:type="dxa"/>
            <w:vAlign w:val="center"/>
          </w:tcPr>
          <w:p w:rsidR="00F801A7" w:rsidRDefault="00DD0877">
            <w:pPr>
              <w:rPr>
                <w:rFonts w:eastAsiaTheme="minorEastAsia"/>
                <w:sz w:val="24"/>
                <w:szCs w:val="24"/>
              </w:rPr>
            </w:pPr>
            <w:r>
              <w:rPr>
                <w:rFonts w:eastAsiaTheme="minorEastAsia" w:hint="eastAsia"/>
                <w:sz w:val="24"/>
                <w:szCs w:val="24"/>
              </w:rPr>
              <w:t>占基金总份额比例</w:t>
            </w:r>
          </w:p>
        </w:tc>
        <w:tc>
          <w:tcPr>
            <w:tcW w:w="1928"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0.0157%</w:t>
            </w:r>
          </w:p>
        </w:tc>
        <w:tc>
          <w:tcPr>
            <w:tcW w:w="17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hint="default"/>
                <w:kern w:val="2"/>
              </w:rPr>
              <w:t>0</w:t>
            </w:r>
            <w:r>
              <w:rPr>
                <w:rFonts w:ascii="Times New Roman" w:eastAsiaTheme="minorEastAsia" w:hAnsi="Times New Roman"/>
                <w:kern w:val="2"/>
              </w:rPr>
              <w:t>.00</w:t>
            </w:r>
            <w:r>
              <w:rPr>
                <w:rFonts w:ascii="Times New Roman" w:eastAsiaTheme="minorEastAsia" w:hAnsi="Times New Roman" w:hint="default"/>
                <w:kern w:val="2"/>
              </w:rPr>
              <w:t>%</w:t>
            </w:r>
          </w:p>
        </w:tc>
        <w:tc>
          <w:tcPr>
            <w:tcW w:w="1971" w:type="dxa"/>
            <w:vAlign w:val="center"/>
          </w:tcPr>
          <w:p w:rsidR="00F801A7" w:rsidRDefault="00DD0877">
            <w:pPr>
              <w:pStyle w:val="a9"/>
              <w:jc w:val="center"/>
              <w:rPr>
                <w:rFonts w:ascii="Times New Roman" w:eastAsiaTheme="minorEastAsia" w:hAnsi="Times New Roman" w:hint="default"/>
                <w:kern w:val="2"/>
              </w:rPr>
            </w:pPr>
            <w:r>
              <w:rPr>
                <w:rFonts w:ascii="Times New Roman" w:eastAsiaTheme="minorEastAsia" w:hAnsi="Times New Roman"/>
                <w:kern w:val="2"/>
              </w:rPr>
              <w:t>0.0133%</w:t>
            </w:r>
          </w:p>
        </w:tc>
      </w:tr>
      <w:tr w:rsidR="00F801A7">
        <w:trPr>
          <w:trHeight w:hRule="exact" w:val="1108"/>
        </w:trPr>
        <w:tc>
          <w:tcPr>
            <w:tcW w:w="6955" w:type="dxa"/>
            <w:gridSpan w:val="4"/>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1971" w:type="dxa"/>
            <w:vAlign w:val="center"/>
          </w:tcPr>
          <w:p w:rsidR="00F801A7" w:rsidRDefault="00DD0877">
            <w:pPr>
              <w:spacing w:line="560" w:lineRule="exact"/>
              <w:jc w:val="center"/>
              <w:rPr>
                <w:rFonts w:eastAsiaTheme="minorEastAsia" w:cs="宋体"/>
                <w:sz w:val="24"/>
                <w:szCs w:val="24"/>
              </w:rPr>
            </w:pPr>
            <w:r>
              <w:rPr>
                <w:rFonts w:eastAsiaTheme="minorEastAsia" w:hint="eastAsia"/>
                <w:sz w:val="24"/>
                <w:szCs w:val="24"/>
              </w:rPr>
              <w:t>是</w:t>
            </w:r>
          </w:p>
        </w:tc>
      </w:tr>
      <w:tr w:rsidR="00F801A7">
        <w:trPr>
          <w:trHeight w:hRule="exact" w:val="737"/>
        </w:trPr>
        <w:tc>
          <w:tcPr>
            <w:tcW w:w="6955" w:type="dxa"/>
            <w:gridSpan w:val="4"/>
            <w:vAlign w:val="center"/>
          </w:tcPr>
          <w:p w:rsidR="00F801A7" w:rsidRDefault="00DD0877">
            <w:pPr>
              <w:spacing w:line="560" w:lineRule="exact"/>
              <w:rPr>
                <w:rFonts w:eastAsiaTheme="minorEastAsia"/>
                <w:color w:val="000000"/>
                <w:sz w:val="24"/>
                <w:szCs w:val="24"/>
              </w:rPr>
            </w:pPr>
            <w:r>
              <w:rPr>
                <w:rFonts w:eastAsiaTheme="minorEastAsia" w:hint="eastAsia"/>
                <w:color w:val="000000"/>
                <w:sz w:val="24"/>
                <w:szCs w:val="24"/>
              </w:rPr>
              <w:t>向中国证监会办理基金备案手续获得书面确认的日期</w:t>
            </w:r>
          </w:p>
        </w:tc>
        <w:tc>
          <w:tcPr>
            <w:tcW w:w="1971" w:type="dxa"/>
            <w:vAlign w:val="center"/>
          </w:tcPr>
          <w:p w:rsidR="00F801A7" w:rsidRDefault="00DD0877">
            <w:pPr>
              <w:rPr>
                <w:rFonts w:eastAsiaTheme="minorEastAsia" w:cs="宋体"/>
                <w:sz w:val="24"/>
                <w:szCs w:val="24"/>
              </w:rPr>
            </w:pPr>
            <w:r>
              <w:rPr>
                <w:rFonts w:eastAsiaTheme="minorEastAsia" w:hint="eastAsia"/>
                <w:sz w:val="24"/>
                <w:szCs w:val="24"/>
              </w:rPr>
              <w:t>2026</w:t>
            </w:r>
            <w:r>
              <w:rPr>
                <w:rFonts w:eastAsiaTheme="minorEastAsia" w:hint="eastAsia"/>
                <w:sz w:val="24"/>
                <w:szCs w:val="24"/>
              </w:rPr>
              <w:t>年</w:t>
            </w:r>
            <w:r>
              <w:rPr>
                <w:rFonts w:eastAsiaTheme="minorEastAsia" w:hint="eastAsia"/>
                <w:sz w:val="24"/>
                <w:szCs w:val="24"/>
              </w:rPr>
              <w:t>2</w:t>
            </w:r>
            <w:r>
              <w:rPr>
                <w:rFonts w:eastAsiaTheme="minorEastAsia" w:hint="eastAsia"/>
                <w:sz w:val="24"/>
                <w:szCs w:val="24"/>
              </w:rPr>
              <w:t>月</w:t>
            </w:r>
            <w:r>
              <w:rPr>
                <w:rFonts w:eastAsiaTheme="minorEastAsia" w:hint="eastAsia"/>
                <w:sz w:val="24"/>
                <w:szCs w:val="24"/>
              </w:rPr>
              <w:t>10</w:t>
            </w:r>
            <w:r>
              <w:rPr>
                <w:rFonts w:eastAsiaTheme="minorEastAsia" w:hint="eastAsia"/>
                <w:sz w:val="24"/>
                <w:szCs w:val="24"/>
              </w:rPr>
              <w:t>日</w:t>
            </w:r>
          </w:p>
        </w:tc>
      </w:tr>
    </w:tbl>
    <w:p w:rsidR="00F801A7" w:rsidRDefault="00DD0877">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F801A7" w:rsidRDefault="00DD0877">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hint="eastAsia"/>
          <w:kern w:val="0"/>
          <w:sz w:val="24"/>
          <w:szCs w:val="24"/>
        </w:rPr>
        <w:t>）本基金管理人的高级管理人员、基金投资和研究部门负责人未认购本基金；本基金基金经理未认购本基金。</w:t>
      </w:r>
    </w:p>
    <w:p w:rsidR="00F801A7" w:rsidRDefault="00DD0877">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w:t>
      </w:r>
      <w:r>
        <w:rPr>
          <w:rFonts w:eastAsiaTheme="minorEastAsia" w:hint="eastAsia"/>
          <w:kern w:val="0"/>
          <w:sz w:val="24"/>
          <w:szCs w:val="24"/>
        </w:rPr>
        <w:lastRenderedPageBreak/>
        <w:t>人员认购的基金份额占基金总份额比例的数据，对下属分级基金，此项计算的分母为各自级别的份额，对合计数，本项计算的分母采用下属分级基金份额的合计数，即基金整体的份额总额。</w:t>
      </w:r>
    </w:p>
    <w:p w:rsidR="00F801A7" w:rsidRDefault="00DD0877">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3</w:t>
      </w:r>
      <w:r>
        <w:rPr>
          <w:rFonts w:ascii="Times New Roman" w:eastAsiaTheme="minorEastAsia" w:hAnsi="Times New Roman" w:hint="eastAsia"/>
          <w:bCs w:val="0"/>
          <w:color w:val="000000"/>
          <w:sz w:val="24"/>
          <w:szCs w:val="24"/>
        </w:rPr>
        <w:t>发起式基金发起资金持有份额情况</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025"/>
        <w:gridCol w:w="1727"/>
        <w:gridCol w:w="1400"/>
        <w:gridCol w:w="1623"/>
        <w:gridCol w:w="1366"/>
        <w:gridCol w:w="1559"/>
      </w:tblGrid>
      <w:tr w:rsidR="00F801A7">
        <w:trPr>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项目</w:t>
            </w:r>
          </w:p>
        </w:tc>
        <w:tc>
          <w:tcPr>
            <w:tcW w:w="1727"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kern w:val="0"/>
                <w:sz w:val="24"/>
                <w:szCs w:val="24"/>
              </w:rPr>
              <w:t>持有份额总数</w:t>
            </w:r>
          </w:p>
        </w:tc>
        <w:tc>
          <w:tcPr>
            <w:tcW w:w="1400"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kern w:val="0"/>
                <w:sz w:val="24"/>
                <w:szCs w:val="24"/>
              </w:rPr>
              <w:t>持有份额占基金总份额比例</w:t>
            </w:r>
          </w:p>
        </w:tc>
        <w:tc>
          <w:tcPr>
            <w:tcW w:w="1623"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kern w:val="0"/>
                <w:sz w:val="24"/>
                <w:szCs w:val="24"/>
              </w:rPr>
              <w:t>发起份额总数</w:t>
            </w:r>
          </w:p>
        </w:tc>
        <w:tc>
          <w:tcPr>
            <w:tcW w:w="1366"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kern w:val="0"/>
                <w:sz w:val="24"/>
                <w:szCs w:val="24"/>
              </w:rPr>
              <w:t>发起份额占基金总份额比例</w:t>
            </w:r>
          </w:p>
        </w:tc>
        <w:tc>
          <w:tcPr>
            <w:tcW w:w="1559"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kern w:val="0"/>
                <w:sz w:val="24"/>
                <w:szCs w:val="24"/>
              </w:rPr>
              <w:t>发起份额承诺持有期限</w:t>
            </w:r>
          </w:p>
        </w:tc>
      </w:tr>
      <w:tr w:rsidR="00F801A7">
        <w:trPr>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rPr>
                <w:rFonts w:eastAsiaTheme="minorEastAsia"/>
                <w:kern w:val="0"/>
                <w:sz w:val="24"/>
                <w:szCs w:val="24"/>
              </w:rPr>
            </w:pPr>
            <w:r>
              <w:rPr>
                <w:rFonts w:eastAsiaTheme="minorEastAsia" w:hint="eastAsia"/>
                <w:kern w:val="0"/>
                <w:sz w:val="24"/>
                <w:szCs w:val="24"/>
              </w:rPr>
              <w:t>基金管理公司固有资金</w:t>
            </w:r>
          </w:p>
        </w:tc>
        <w:tc>
          <w:tcPr>
            <w:tcW w:w="1727"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10,000,388.92</w:t>
            </w:r>
          </w:p>
        </w:tc>
        <w:tc>
          <w:tcPr>
            <w:tcW w:w="1400"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1.11%</w:t>
            </w:r>
          </w:p>
        </w:tc>
        <w:tc>
          <w:tcPr>
            <w:tcW w:w="1623"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10,000,388.92</w:t>
            </w:r>
          </w:p>
        </w:tc>
        <w:tc>
          <w:tcPr>
            <w:tcW w:w="1366"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1.11%</w:t>
            </w:r>
          </w:p>
        </w:tc>
        <w:tc>
          <w:tcPr>
            <w:tcW w:w="1559" w:type="dxa"/>
            <w:shd w:val="clear" w:color="auto" w:fill="auto"/>
            <w:tcMar>
              <w:top w:w="0" w:type="dxa"/>
              <w:left w:w="30" w:type="dxa"/>
              <w:bottom w:w="0" w:type="dxa"/>
              <w:right w:w="30" w:type="dxa"/>
            </w:tcMar>
            <w:vAlign w:val="center"/>
          </w:tcPr>
          <w:p w:rsidR="00F801A7" w:rsidRDefault="00DD0877">
            <w:pPr>
              <w:spacing w:line="360" w:lineRule="auto"/>
              <w:rPr>
                <w:rFonts w:eastAsiaTheme="minorEastAsia"/>
                <w:kern w:val="0"/>
                <w:sz w:val="24"/>
                <w:szCs w:val="24"/>
              </w:rPr>
            </w:pPr>
            <w:r>
              <w:rPr>
                <w:rFonts w:eastAsiaTheme="minorEastAsia" w:hint="eastAsia"/>
                <w:kern w:val="0"/>
                <w:sz w:val="24"/>
                <w:szCs w:val="24"/>
              </w:rPr>
              <w:t>自基金合同生效之日起不少于</w:t>
            </w:r>
            <w:r>
              <w:rPr>
                <w:rFonts w:eastAsiaTheme="minorEastAsia" w:hint="eastAsia"/>
                <w:kern w:val="0"/>
                <w:sz w:val="24"/>
                <w:szCs w:val="24"/>
              </w:rPr>
              <w:t>3</w:t>
            </w:r>
            <w:r>
              <w:rPr>
                <w:rFonts w:eastAsiaTheme="minorEastAsia" w:hint="eastAsia"/>
                <w:kern w:val="0"/>
                <w:sz w:val="24"/>
                <w:szCs w:val="24"/>
              </w:rPr>
              <w:t>年</w:t>
            </w:r>
          </w:p>
        </w:tc>
      </w:tr>
      <w:tr w:rsidR="00F801A7">
        <w:trPr>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rPr>
                <w:rFonts w:eastAsiaTheme="minorEastAsia"/>
                <w:kern w:val="0"/>
                <w:sz w:val="24"/>
                <w:szCs w:val="24"/>
              </w:rPr>
            </w:pPr>
            <w:r>
              <w:rPr>
                <w:rFonts w:eastAsiaTheme="minorEastAsia" w:hint="eastAsia"/>
                <w:kern w:val="0"/>
                <w:sz w:val="24"/>
                <w:szCs w:val="24"/>
              </w:rPr>
              <w:t>基金管理公司高级管理人员</w:t>
            </w:r>
          </w:p>
        </w:tc>
        <w:tc>
          <w:tcPr>
            <w:tcW w:w="1727"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559"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F801A7">
        <w:trPr>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rPr>
                <w:rFonts w:eastAsiaTheme="minorEastAsia"/>
                <w:kern w:val="0"/>
                <w:sz w:val="24"/>
                <w:szCs w:val="24"/>
              </w:rPr>
            </w:pPr>
            <w:r>
              <w:rPr>
                <w:rFonts w:eastAsiaTheme="minorEastAsia" w:hint="eastAsia"/>
                <w:kern w:val="0"/>
                <w:sz w:val="24"/>
                <w:szCs w:val="24"/>
              </w:rPr>
              <w:t>基金经理等人员</w:t>
            </w:r>
          </w:p>
        </w:tc>
        <w:tc>
          <w:tcPr>
            <w:tcW w:w="1727"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559"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F801A7">
        <w:trPr>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rPr>
                <w:rFonts w:eastAsiaTheme="minorEastAsia"/>
                <w:kern w:val="0"/>
                <w:sz w:val="24"/>
                <w:szCs w:val="24"/>
              </w:rPr>
            </w:pPr>
            <w:r>
              <w:rPr>
                <w:rFonts w:eastAsiaTheme="minorEastAsia" w:hint="eastAsia"/>
                <w:kern w:val="0"/>
                <w:sz w:val="24"/>
                <w:szCs w:val="24"/>
              </w:rPr>
              <w:t>基金管理人股东</w:t>
            </w:r>
          </w:p>
        </w:tc>
        <w:tc>
          <w:tcPr>
            <w:tcW w:w="1727"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559"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F801A7">
        <w:trPr>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rPr>
                <w:rFonts w:eastAsiaTheme="minorEastAsia"/>
                <w:kern w:val="0"/>
                <w:sz w:val="24"/>
                <w:szCs w:val="24"/>
              </w:rPr>
            </w:pPr>
            <w:r>
              <w:rPr>
                <w:rFonts w:eastAsiaTheme="minorEastAsia" w:hint="eastAsia"/>
                <w:kern w:val="0"/>
                <w:sz w:val="24"/>
                <w:szCs w:val="24"/>
              </w:rPr>
              <w:t>其他</w:t>
            </w:r>
          </w:p>
        </w:tc>
        <w:tc>
          <w:tcPr>
            <w:tcW w:w="1727"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400"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623"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366"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c>
          <w:tcPr>
            <w:tcW w:w="1559"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jc w:val="center"/>
              <w:rPr>
                <w:rFonts w:eastAsiaTheme="minorEastAsia"/>
                <w:kern w:val="0"/>
                <w:sz w:val="24"/>
                <w:szCs w:val="24"/>
              </w:rPr>
            </w:pPr>
            <w:r>
              <w:rPr>
                <w:rFonts w:eastAsiaTheme="minorEastAsia" w:hint="eastAsia"/>
                <w:kern w:val="0"/>
                <w:sz w:val="24"/>
                <w:szCs w:val="24"/>
              </w:rPr>
              <w:t>-</w:t>
            </w:r>
          </w:p>
        </w:tc>
      </w:tr>
      <w:tr w:rsidR="00F801A7">
        <w:trPr>
          <w:trHeight w:val="449"/>
          <w:jc w:val="center"/>
        </w:trPr>
        <w:tc>
          <w:tcPr>
            <w:tcW w:w="2025" w:type="dxa"/>
            <w:shd w:val="clear" w:color="auto" w:fill="auto"/>
            <w:tcMar>
              <w:top w:w="0" w:type="dxa"/>
              <w:left w:w="30" w:type="dxa"/>
              <w:bottom w:w="0" w:type="dxa"/>
              <w:right w:w="30" w:type="dxa"/>
            </w:tcMar>
            <w:vAlign w:val="center"/>
          </w:tcPr>
          <w:p w:rsidR="00F801A7" w:rsidRDefault="00DD0877">
            <w:pPr>
              <w:spacing w:line="360" w:lineRule="auto"/>
              <w:ind w:firstLineChars="200" w:firstLine="480"/>
              <w:rPr>
                <w:rFonts w:eastAsiaTheme="minorEastAsia"/>
                <w:kern w:val="0"/>
                <w:sz w:val="24"/>
                <w:szCs w:val="24"/>
              </w:rPr>
            </w:pPr>
            <w:r>
              <w:rPr>
                <w:rFonts w:eastAsiaTheme="minorEastAsia" w:hint="eastAsia"/>
                <w:kern w:val="0"/>
                <w:sz w:val="24"/>
                <w:szCs w:val="24"/>
              </w:rPr>
              <w:t>合计</w:t>
            </w:r>
          </w:p>
        </w:tc>
        <w:tc>
          <w:tcPr>
            <w:tcW w:w="1727"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10,000,388.92</w:t>
            </w:r>
          </w:p>
        </w:tc>
        <w:tc>
          <w:tcPr>
            <w:tcW w:w="1400"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1.11%</w:t>
            </w:r>
          </w:p>
        </w:tc>
        <w:tc>
          <w:tcPr>
            <w:tcW w:w="1623"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10,000,388.92</w:t>
            </w:r>
          </w:p>
        </w:tc>
        <w:tc>
          <w:tcPr>
            <w:tcW w:w="1366" w:type="dxa"/>
            <w:shd w:val="clear" w:color="auto" w:fill="auto"/>
            <w:tcMar>
              <w:top w:w="0" w:type="dxa"/>
              <w:left w:w="30" w:type="dxa"/>
              <w:bottom w:w="0" w:type="dxa"/>
              <w:right w:w="30" w:type="dxa"/>
            </w:tcMar>
            <w:vAlign w:val="center"/>
          </w:tcPr>
          <w:p w:rsidR="00F801A7" w:rsidRDefault="00DD0877">
            <w:pPr>
              <w:spacing w:line="360" w:lineRule="auto"/>
              <w:jc w:val="center"/>
              <w:rPr>
                <w:rFonts w:eastAsiaTheme="minorEastAsia"/>
                <w:kern w:val="0"/>
                <w:sz w:val="24"/>
                <w:szCs w:val="24"/>
              </w:rPr>
            </w:pPr>
            <w:r>
              <w:rPr>
                <w:rFonts w:eastAsiaTheme="minorEastAsia" w:hint="eastAsia"/>
                <w:sz w:val="24"/>
                <w:szCs w:val="24"/>
              </w:rPr>
              <w:t>1.11%</w:t>
            </w:r>
          </w:p>
        </w:tc>
        <w:tc>
          <w:tcPr>
            <w:tcW w:w="1559" w:type="dxa"/>
            <w:shd w:val="clear" w:color="auto" w:fill="auto"/>
            <w:tcMar>
              <w:top w:w="0" w:type="dxa"/>
              <w:left w:w="30" w:type="dxa"/>
              <w:bottom w:w="0" w:type="dxa"/>
              <w:right w:w="30" w:type="dxa"/>
            </w:tcMar>
            <w:vAlign w:val="center"/>
          </w:tcPr>
          <w:p w:rsidR="00F801A7" w:rsidRDefault="00DD0877">
            <w:pPr>
              <w:spacing w:line="360" w:lineRule="auto"/>
              <w:rPr>
                <w:rFonts w:eastAsiaTheme="minorEastAsia"/>
                <w:kern w:val="0"/>
                <w:sz w:val="24"/>
                <w:szCs w:val="24"/>
              </w:rPr>
            </w:pPr>
            <w:r>
              <w:rPr>
                <w:rFonts w:eastAsiaTheme="minorEastAsia" w:hint="eastAsia"/>
                <w:kern w:val="0"/>
                <w:sz w:val="24"/>
                <w:szCs w:val="24"/>
              </w:rPr>
              <w:t>自基金合同生效之日起不少于</w:t>
            </w:r>
            <w:r>
              <w:rPr>
                <w:rFonts w:eastAsiaTheme="minorEastAsia" w:hint="eastAsia"/>
                <w:kern w:val="0"/>
                <w:sz w:val="24"/>
                <w:szCs w:val="24"/>
              </w:rPr>
              <w:t>3</w:t>
            </w:r>
            <w:r>
              <w:rPr>
                <w:rFonts w:eastAsiaTheme="minorEastAsia" w:hint="eastAsia"/>
                <w:kern w:val="0"/>
                <w:sz w:val="24"/>
                <w:szCs w:val="24"/>
              </w:rPr>
              <w:t>年</w:t>
            </w:r>
          </w:p>
        </w:tc>
      </w:tr>
    </w:tbl>
    <w:p w:rsidR="00F801A7" w:rsidRDefault="00F801A7">
      <w:pPr>
        <w:spacing w:line="360" w:lineRule="auto"/>
        <w:ind w:firstLineChars="200" w:firstLine="480"/>
        <w:rPr>
          <w:rFonts w:eastAsiaTheme="minorEastAsia"/>
          <w:kern w:val="0"/>
          <w:sz w:val="24"/>
          <w:szCs w:val="24"/>
        </w:rPr>
      </w:pPr>
    </w:p>
    <w:p w:rsidR="00F801A7" w:rsidRDefault="00DD0877">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hint="eastAsia"/>
          <w:bCs w:val="0"/>
          <w:color w:val="000000"/>
          <w:sz w:val="24"/>
          <w:szCs w:val="24"/>
        </w:rPr>
        <w:t>4</w:t>
      </w:r>
      <w:r>
        <w:rPr>
          <w:rFonts w:ascii="Times New Roman" w:eastAsiaTheme="minorEastAsia" w:hAnsi="Times New Roman"/>
          <w:bCs w:val="0"/>
          <w:color w:val="000000"/>
          <w:sz w:val="24"/>
          <w:szCs w:val="24"/>
        </w:rPr>
        <w:t xml:space="preserve"> </w:t>
      </w:r>
      <w:r>
        <w:rPr>
          <w:rFonts w:ascii="Times New Roman" w:eastAsiaTheme="minorEastAsia" w:hAnsi="Times New Roman"/>
          <w:bCs w:val="0"/>
          <w:color w:val="000000"/>
          <w:sz w:val="24"/>
          <w:szCs w:val="24"/>
        </w:rPr>
        <w:t>其他需要提示的事项</w:t>
      </w:r>
    </w:p>
    <w:p w:rsidR="00F801A7" w:rsidRDefault="00DD0877">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F801A7" w:rsidRDefault="00DD0877">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基金管理人可根据实际情况依法决定本基金开始办理申购的具体日期，具体业务办理时间在申购开始公告中规定。基金管理人自基金合同生效之日起不超过</w:t>
      </w:r>
      <w:r>
        <w:rPr>
          <w:rFonts w:eastAsiaTheme="minorEastAsia" w:hint="eastAsia"/>
          <w:kern w:val="0"/>
          <w:sz w:val="24"/>
          <w:szCs w:val="24"/>
        </w:rPr>
        <w:t>3</w:t>
      </w:r>
      <w:r>
        <w:rPr>
          <w:rFonts w:eastAsiaTheme="minorEastAsia" w:hint="eastAsia"/>
          <w:kern w:val="0"/>
          <w:sz w:val="24"/>
          <w:szCs w:val="24"/>
        </w:rPr>
        <w:t>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F801A7" w:rsidRDefault="00F801A7">
      <w:pPr>
        <w:widowControl/>
        <w:spacing w:line="360" w:lineRule="auto"/>
        <w:ind w:firstLineChars="200" w:firstLine="480"/>
        <w:rPr>
          <w:rFonts w:eastAsiaTheme="minorEastAsia"/>
          <w:kern w:val="0"/>
          <w:sz w:val="24"/>
          <w:szCs w:val="24"/>
        </w:rPr>
      </w:pPr>
    </w:p>
    <w:p w:rsidR="00F801A7" w:rsidRDefault="00DD0877">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F801A7" w:rsidRDefault="00DD0877">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F801A7" w:rsidRDefault="00DD0877">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F801A7" w:rsidRDefault="00F801A7"/>
    <w:p w:rsidR="00F801A7" w:rsidRDefault="00F801A7"/>
    <w:p w:rsidR="00F801A7" w:rsidRDefault="00F801A7"/>
    <w:p w:rsidR="00F801A7" w:rsidRDefault="00F801A7"/>
    <w:p w:rsidR="00F801A7" w:rsidRDefault="00F801A7"/>
    <w:sectPr w:rsidR="00F801A7" w:rsidSect="00F801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
  <w:rsids>
    <w:rsidRoot w:val="00C935DF"/>
    <w:rsid w:val="00010E4B"/>
    <w:rsid w:val="000116A2"/>
    <w:rsid w:val="00014587"/>
    <w:rsid w:val="0001569E"/>
    <w:rsid w:val="00022083"/>
    <w:rsid w:val="000228C8"/>
    <w:rsid w:val="00022B31"/>
    <w:rsid w:val="0002507E"/>
    <w:rsid w:val="00025B55"/>
    <w:rsid w:val="00027356"/>
    <w:rsid w:val="00027DF0"/>
    <w:rsid w:val="0003045F"/>
    <w:rsid w:val="000313EA"/>
    <w:rsid w:val="00032038"/>
    <w:rsid w:val="000330C4"/>
    <w:rsid w:val="00035BD7"/>
    <w:rsid w:val="00035D00"/>
    <w:rsid w:val="000407DA"/>
    <w:rsid w:val="00041353"/>
    <w:rsid w:val="00043C9F"/>
    <w:rsid w:val="0004636C"/>
    <w:rsid w:val="00050349"/>
    <w:rsid w:val="00051430"/>
    <w:rsid w:val="0005208E"/>
    <w:rsid w:val="00053224"/>
    <w:rsid w:val="0005479A"/>
    <w:rsid w:val="00055D1E"/>
    <w:rsid w:val="0005662E"/>
    <w:rsid w:val="00056C15"/>
    <w:rsid w:val="00063472"/>
    <w:rsid w:val="00064A42"/>
    <w:rsid w:val="000667FA"/>
    <w:rsid w:val="0007103E"/>
    <w:rsid w:val="000710DE"/>
    <w:rsid w:val="00074E44"/>
    <w:rsid w:val="00077446"/>
    <w:rsid w:val="00077D6C"/>
    <w:rsid w:val="00077F66"/>
    <w:rsid w:val="00083E36"/>
    <w:rsid w:val="00087C83"/>
    <w:rsid w:val="00090A74"/>
    <w:rsid w:val="000919E4"/>
    <w:rsid w:val="000A221B"/>
    <w:rsid w:val="000B5039"/>
    <w:rsid w:val="000C3C56"/>
    <w:rsid w:val="000C78D8"/>
    <w:rsid w:val="000D209F"/>
    <w:rsid w:val="000D53DC"/>
    <w:rsid w:val="000D5F83"/>
    <w:rsid w:val="000E1829"/>
    <w:rsid w:val="000F1D61"/>
    <w:rsid w:val="000F68E8"/>
    <w:rsid w:val="00102950"/>
    <w:rsid w:val="00107ABA"/>
    <w:rsid w:val="00115202"/>
    <w:rsid w:val="00115ACA"/>
    <w:rsid w:val="00115B3C"/>
    <w:rsid w:val="001169E0"/>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8721B"/>
    <w:rsid w:val="00187287"/>
    <w:rsid w:val="00195C61"/>
    <w:rsid w:val="001965BF"/>
    <w:rsid w:val="001A0386"/>
    <w:rsid w:val="001A3C23"/>
    <w:rsid w:val="001A63ED"/>
    <w:rsid w:val="001B59DF"/>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DA6"/>
    <w:rsid w:val="00237088"/>
    <w:rsid w:val="00240036"/>
    <w:rsid w:val="00242623"/>
    <w:rsid w:val="00246AA8"/>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B6488"/>
    <w:rsid w:val="002C1686"/>
    <w:rsid w:val="002C5B2A"/>
    <w:rsid w:val="002C7DB3"/>
    <w:rsid w:val="002D0DB5"/>
    <w:rsid w:val="002D7461"/>
    <w:rsid w:val="002E096F"/>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0B2A"/>
    <w:rsid w:val="00361B89"/>
    <w:rsid w:val="00363300"/>
    <w:rsid w:val="00366377"/>
    <w:rsid w:val="003675D8"/>
    <w:rsid w:val="00370A30"/>
    <w:rsid w:val="003716DE"/>
    <w:rsid w:val="003735A2"/>
    <w:rsid w:val="003770DB"/>
    <w:rsid w:val="0038797C"/>
    <w:rsid w:val="00390E48"/>
    <w:rsid w:val="00391516"/>
    <w:rsid w:val="003946C0"/>
    <w:rsid w:val="00395A7F"/>
    <w:rsid w:val="003A0766"/>
    <w:rsid w:val="003A0EF8"/>
    <w:rsid w:val="003A663C"/>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2130"/>
    <w:rsid w:val="00404261"/>
    <w:rsid w:val="00410637"/>
    <w:rsid w:val="0043048D"/>
    <w:rsid w:val="00432AA7"/>
    <w:rsid w:val="00433603"/>
    <w:rsid w:val="004345F6"/>
    <w:rsid w:val="0043612F"/>
    <w:rsid w:val="0044222E"/>
    <w:rsid w:val="00443ACF"/>
    <w:rsid w:val="00443C52"/>
    <w:rsid w:val="004449D1"/>
    <w:rsid w:val="00457F15"/>
    <w:rsid w:val="00465C87"/>
    <w:rsid w:val="004669F8"/>
    <w:rsid w:val="00467A98"/>
    <w:rsid w:val="00470D71"/>
    <w:rsid w:val="00471C46"/>
    <w:rsid w:val="00471F62"/>
    <w:rsid w:val="0047287E"/>
    <w:rsid w:val="004728BC"/>
    <w:rsid w:val="00485747"/>
    <w:rsid w:val="0049139B"/>
    <w:rsid w:val="00492AC6"/>
    <w:rsid w:val="004935D4"/>
    <w:rsid w:val="00494441"/>
    <w:rsid w:val="004966BA"/>
    <w:rsid w:val="004A074A"/>
    <w:rsid w:val="004A1F75"/>
    <w:rsid w:val="004A631B"/>
    <w:rsid w:val="004B1861"/>
    <w:rsid w:val="004B6B00"/>
    <w:rsid w:val="004C055C"/>
    <w:rsid w:val="004C5152"/>
    <w:rsid w:val="004C7B30"/>
    <w:rsid w:val="004D2CFF"/>
    <w:rsid w:val="004D40F4"/>
    <w:rsid w:val="004D6CE8"/>
    <w:rsid w:val="004D7EA3"/>
    <w:rsid w:val="004E5BA6"/>
    <w:rsid w:val="004E61F8"/>
    <w:rsid w:val="004F1DB5"/>
    <w:rsid w:val="004F5D3C"/>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67DA3"/>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1BC"/>
    <w:rsid w:val="005B66AC"/>
    <w:rsid w:val="005B685A"/>
    <w:rsid w:val="005B6B4E"/>
    <w:rsid w:val="005C0B8D"/>
    <w:rsid w:val="005C1B44"/>
    <w:rsid w:val="005C4680"/>
    <w:rsid w:val="005C53D5"/>
    <w:rsid w:val="005D5CAA"/>
    <w:rsid w:val="005D6260"/>
    <w:rsid w:val="005D6289"/>
    <w:rsid w:val="005D78BE"/>
    <w:rsid w:val="005E0049"/>
    <w:rsid w:val="005F0D33"/>
    <w:rsid w:val="005F72EE"/>
    <w:rsid w:val="005F796C"/>
    <w:rsid w:val="00601BF3"/>
    <w:rsid w:val="00603670"/>
    <w:rsid w:val="00613952"/>
    <w:rsid w:val="00615513"/>
    <w:rsid w:val="0061553F"/>
    <w:rsid w:val="0061685F"/>
    <w:rsid w:val="006205E6"/>
    <w:rsid w:val="006233D5"/>
    <w:rsid w:val="00623C2A"/>
    <w:rsid w:val="00623D12"/>
    <w:rsid w:val="0062797C"/>
    <w:rsid w:val="00631110"/>
    <w:rsid w:val="00634C46"/>
    <w:rsid w:val="00634D25"/>
    <w:rsid w:val="00635330"/>
    <w:rsid w:val="00636D84"/>
    <w:rsid w:val="00641C81"/>
    <w:rsid w:val="006435C7"/>
    <w:rsid w:val="006632DE"/>
    <w:rsid w:val="006706C5"/>
    <w:rsid w:val="006757DA"/>
    <w:rsid w:val="00677A73"/>
    <w:rsid w:val="006860C1"/>
    <w:rsid w:val="006900FF"/>
    <w:rsid w:val="006A4579"/>
    <w:rsid w:val="006B402C"/>
    <w:rsid w:val="006B6CCA"/>
    <w:rsid w:val="006C1573"/>
    <w:rsid w:val="006C4A70"/>
    <w:rsid w:val="006C5B33"/>
    <w:rsid w:val="006D56EA"/>
    <w:rsid w:val="006D640D"/>
    <w:rsid w:val="006D67CD"/>
    <w:rsid w:val="006D6968"/>
    <w:rsid w:val="006D7B06"/>
    <w:rsid w:val="006E5C65"/>
    <w:rsid w:val="006E6BB0"/>
    <w:rsid w:val="006F2656"/>
    <w:rsid w:val="006F2728"/>
    <w:rsid w:val="006F316A"/>
    <w:rsid w:val="00710FBB"/>
    <w:rsid w:val="00713196"/>
    <w:rsid w:val="007141F5"/>
    <w:rsid w:val="007161E4"/>
    <w:rsid w:val="00717E45"/>
    <w:rsid w:val="00721018"/>
    <w:rsid w:val="0073131B"/>
    <w:rsid w:val="00732355"/>
    <w:rsid w:val="00736B29"/>
    <w:rsid w:val="00736B3B"/>
    <w:rsid w:val="00740F43"/>
    <w:rsid w:val="00755AEB"/>
    <w:rsid w:val="007670F3"/>
    <w:rsid w:val="0076782E"/>
    <w:rsid w:val="00771F3C"/>
    <w:rsid w:val="007874DA"/>
    <w:rsid w:val="00790BC2"/>
    <w:rsid w:val="00795FB9"/>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553BA"/>
    <w:rsid w:val="00856562"/>
    <w:rsid w:val="00862DF5"/>
    <w:rsid w:val="00864894"/>
    <w:rsid w:val="00865588"/>
    <w:rsid w:val="00865905"/>
    <w:rsid w:val="008660BD"/>
    <w:rsid w:val="00866236"/>
    <w:rsid w:val="00871BA0"/>
    <w:rsid w:val="008734F7"/>
    <w:rsid w:val="00873914"/>
    <w:rsid w:val="008754FF"/>
    <w:rsid w:val="00877B57"/>
    <w:rsid w:val="008838B9"/>
    <w:rsid w:val="00884CC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4533"/>
    <w:rsid w:val="008E52F3"/>
    <w:rsid w:val="008F28E5"/>
    <w:rsid w:val="008F2920"/>
    <w:rsid w:val="008F4A44"/>
    <w:rsid w:val="008F4C87"/>
    <w:rsid w:val="00904108"/>
    <w:rsid w:val="0091218D"/>
    <w:rsid w:val="009134B6"/>
    <w:rsid w:val="009157BD"/>
    <w:rsid w:val="00920232"/>
    <w:rsid w:val="009206A9"/>
    <w:rsid w:val="00925A66"/>
    <w:rsid w:val="00926DCE"/>
    <w:rsid w:val="00927C2D"/>
    <w:rsid w:val="00931B1F"/>
    <w:rsid w:val="0093293C"/>
    <w:rsid w:val="00936738"/>
    <w:rsid w:val="00936EE6"/>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4198"/>
    <w:rsid w:val="009F6591"/>
    <w:rsid w:val="009F6A2B"/>
    <w:rsid w:val="009F72C0"/>
    <w:rsid w:val="009F7478"/>
    <w:rsid w:val="00A032FA"/>
    <w:rsid w:val="00A10082"/>
    <w:rsid w:val="00A11CBA"/>
    <w:rsid w:val="00A13D2C"/>
    <w:rsid w:val="00A14E53"/>
    <w:rsid w:val="00A213DC"/>
    <w:rsid w:val="00A231CF"/>
    <w:rsid w:val="00A2414E"/>
    <w:rsid w:val="00A27B23"/>
    <w:rsid w:val="00A307CC"/>
    <w:rsid w:val="00A33B71"/>
    <w:rsid w:val="00A35BE9"/>
    <w:rsid w:val="00A35CE3"/>
    <w:rsid w:val="00A44BD2"/>
    <w:rsid w:val="00A52802"/>
    <w:rsid w:val="00A53800"/>
    <w:rsid w:val="00A564BA"/>
    <w:rsid w:val="00A57903"/>
    <w:rsid w:val="00A60BD3"/>
    <w:rsid w:val="00A61671"/>
    <w:rsid w:val="00A61873"/>
    <w:rsid w:val="00A6344C"/>
    <w:rsid w:val="00A6604D"/>
    <w:rsid w:val="00A66B74"/>
    <w:rsid w:val="00A74AFB"/>
    <w:rsid w:val="00A76E0A"/>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36E7"/>
    <w:rsid w:val="00AF5A33"/>
    <w:rsid w:val="00AF6EBA"/>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B8E"/>
    <w:rsid w:val="00BD7EFA"/>
    <w:rsid w:val="00BE2AE5"/>
    <w:rsid w:val="00BE542E"/>
    <w:rsid w:val="00BE6F95"/>
    <w:rsid w:val="00BF28E1"/>
    <w:rsid w:val="00BF6852"/>
    <w:rsid w:val="00C00536"/>
    <w:rsid w:val="00C072D6"/>
    <w:rsid w:val="00C1325E"/>
    <w:rsid w:val="00C1591D"/>
    <w:rsid w:val="00C30E6A"/>
    <w:rsid w:val="00C35D35"/>
    <w:rsid w:val="00C40FE0"/>
    <w:rsid w:val="00C41260"/>
    <w:rsid w:val="00C45C86"/>
    <w:rsid w:val="00C5233D"/>
    <w:rsid w:val="00C626A5"/>
    <w:rsid w:val="00C63E6D"/>
    <w:rsid w:val="00C65D47"/>
    <w:rsid w:val="00C83661"/>
    <w:rsid w:val="00C85D18"/>
    <w:rsid w:val="00C9014C"/>
    <w:rsid w:val="00C935DF"/>
    <w:rsid w:val="00CA4D70"/>
    <w:rsid w:val="00CA5FC5"/>
    <w:rsid w:val="00CA7356"/>
    <w:rsid w:val="00CB0006"/>
    <w:rsid w:val="00CB03BE"/>
    <w:rsid w:val="00CB0572"/>
    <w:rsid w:val="00CB3E1F"/>
    <w:rsid w:val="00CB583A"/>
    <w:rsid w:val="00CB6848"/>
    <w:rsid w:val="00CB6E9B"/>
    <w:rsid w:val="00CC551F"/>
    <w:rsid w:val="00CD0783"/>
    <w:rsid w:val="00CD2242"/>
    <w:rsid w:val="00CD5199"/>
    <w:rsid w:val="00CD6CA8"/>
    <w:rsid w:val="00CE3C01"/>
    <w:rsid w:val="00CE673B"/>
    <w:rsid w:val="00CE701E"/>
    <w:rsid w:val="00CF3173"/>
    <w:rsid w:val="00D063DE"/>
    <w:rsid w:val="00D15C76"/>
    <w:rsid w:val="00D1793D"/>
    <w:rsid w:val="00D327FB"/>
    <w:rsid w:val="00D339BD"/>
    <w:rsid w:val="00D35283"/>
    <w:rsid w:val="00D361E1"/>
    <w:rsid w:val="00D517E1"/>
    <w:rsid w:val="00D5237D"/>
    <w:rsid w:val="00D57F49"/>
    <w:rsid w:val="00D60295"/>
    <w:rsid w:val="00D62CA3"/>
    <w:rsid w:val="00D64B99"/>
    <w:rsid w:val="00D710AA"/>
    <w:rsid w:val="00D753E9"/>
    <w:rsid w:val="00D76EFA"/>
    <w:rsid w:val="00D8024F"/>
    <w:rsid w:val="00D80739"/>
    <w:rsid w:val="00D826EE"/>
    <w:rsid w:val="00D87CD4"/>
    <w:rsid w:val="00D921BA"/>
    <w:rsid w:val="00D94877"/>
    <w:rsid w:val="00DA4A51"/>
    <w:rsid w:val="00DA5A0A"/>
    <w:rsid w:val="00DA630A"/>
    <w:rsid w:val="00DA77B6"/>
    <w:rsid w:val="00DA7F43"/>
    <w:rsid w:val="00DB1342"/>
    <w:rsid w:val="00DB2A12"/>
    <w:rsid w:val="00DC081C"/>
    <w:rsid w:val="00DC4FD4"/>
    <w:rsid w:val="00DC4FF4"/>
    <w:rsid w:val="00DD0877"/>
    <w:rsid w:val="00DD46CD"/>
    <w:rsid w:val="00DE05CB"/>
    <w:rsid w:val="00DE090E"/>
    <w:rsid w:val="00DE0BA0"/>
    <w:rsid w:val="00DE244E"/>
    <w:rsid w:val="00DE2B7F"/>
    <w:rsid w:val="00DE2E33"/>
    <w:rsid w:val="00DE3711"/>
    <w:rsid w:val="00DE7BC9"/>
    <w:rsid w:val="00DE7E98"/>
    <w:rsid w:val="00DF1D9A"/>
    <w:rsid w:val="00E03903"/>
    <w:rsid w:val="00E1438A"/>
    <w:rsid w:val="00E15A54"/>
    <w:rsid w:val="00E17D5D"/>
    <w:rsid w:val="00E2069A"/>
    <w:rsid w:val="00E2122C"/>
    <w:rsid w:val="00E22D1A"/>
    <w:rsid w:val="00E25248"/>
    <w:rsid w:val="00E45320"/>
    <w:rsid w:val="00E466EF"/>
    <w:rsid w:val="00E50E02"/>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95D3B"/>
    <w:rsid w:val="00EA0545"/>
    <w:rsid w:val="00EB06D4"/>
    <w:rsid w:val="00EB1D91"/>
    <w:rsid w:val="00EB22F0"/>
    <w:rsid w:val="00EB4F68"/>
    <w:rsid w:val="00EC181E"/>
    <w:rsid w:val="00EC6060"/>
    <w:rsid w:val="00ED13F9"/>
    <w:rsid w:val="00ED1B61"/>
    <w:rsid w:val="00ED31C2"/>
    <w:rsid w:val="00ED3AC2"/>
    <w:rsid w:val="00ED65D5"/>
    <w:rsid w:val="00EE1819"/>
    <w:rsid w:val="00EE18FB"/>
    <w:rsid w:val="00EE24E8"/>
    <w:rsid w:val="00EE338E"/>
    <w:rsid w:val="00EE75F0"/>
    <w:rsid w:val="00EF19DA"/>
    <w:rsid w:val="00EF1CBB"/>
    <w:rsid w:val="00EF40F5"/>
    <w:rsid w:val="00F0485C"/>
    <w:rsid w:val="00F102A0"/>
    <w:rsid w:val="00F13DDD"/>
    <w:rsid w:val="00F1658B"/>
    <w:rsid w:val="00F229A1"/>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01A7"/>
    <w:rsid w:val="00F82497"/>
    <w:rsid w:val="00F85418"/>
    <w:rsid w:val="00F8684F"/>
    <w:rsid w:val="00F92D5C"/>
    <w:rsid w:val="00F949FE"/>
    <w:rsid w:val="00FA2042"/>
    <w:rsid w:val="00FA2D96"/>
    <w:rsid w:val="00FA3E5F"/>
    <w:rsid w:val="00FA7BBE"/>
    <w:rsid w:val="00FB463E"/>
    <w:rsid w:val="00FC5BDE"/>
    <w:rsid w:val="00FC6601"/>
    <w:rsid w:val="00FC6A28"/>
    <w:rsid w:val="00FD1030"/>
    <w:rsid w:val="00FD5DCA"/>
    <w:rsid w:val="00FE174F"/>
    <w:rsid w:val="00FE1833"/>
    <w:rsid w:val="00FE1F9A"/>
    <w:rsid w:val="00FE4D0A"/>
    <w:rsid w:val="00FE58E3"/>
    <w:rsid w:val="00FF2E75"/>
    <w:rsid w:val="00FF37C0"/>
    <w:rsid w:val="00FF3E55"/>
    <w:rsid w:val="00FF5DD0"/>
    <w:rsid w:val="00FF68C6"/>
    <w:rsid w:val="09373995"/>
    <w:rsid w:val="10703F15"/>
    <w:rsid w:val="11EB3571"/>
    <w:rsid w:val="134B0AF8"/>
    <w:rsid w:val="13732073"/>
    <w:rsid w:val="1868220C"/>
    <w:rsid w:val="2AEF026F"/>
    <w:rsid w:val="2EC31678"/>
    <w:rsid w:val="2F0877B2"/>
    <w:rsid w:val="2F936CFC"/>
    <w:rsid w:val="30134BD0"/>
    <w:rsid w:val="302F2EB1"/>
    <w:rsid w:val="35E426C7"/>
    <w:rsid w:val="37644890"/>
    <w:rsid w:val="3A021E4F"/>
    <w:rsid w:val="3A3C5041"/>
    <w:rsid w:val="40D91247"/>
    <w:rsid w:val="427D4A23"/>
    <w:rsid w:val="42FF594F"/>
    <w:rsid w:val="45CE25EE"/>
    <w:rsid w:val="479C307C"/>
    <w:rsid w:val="48F205E0"/>
    <w:rsid w:val="491656CF"/>
    <w:rsid w:val="4C194CDE"/>
    <w:rsid w:val="4CB71B68"/>
    <w:rsid w:val="56B407C3"/>
    <w:rsid w:val="57D60097"/>
    <w:rsid w:val="67EE1836"/>
    <w:rsid w:val="69910159"/>
    <w:rsid w:val="6EF86EED"/>
    <w:rsid w:val="73BA7849"/>
    <w:rsid w:val="74F979A2"/>
    <w:rsid w:val="7B1C5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1A7"/>
    <w:pPr>
      <w:widowControl w:val="0"/>
      <w:jc w:val="both"/>
    </w:pPr>
    <w:rPr>
      <w:rFonts w:eastAsia="方正仿宋简体"/>
      <w:kern w:val="2"/>
      <w:sz w:val="32"/>
    </w:rPr>
  </w:style>
  <w:style w:type="paragraph" w:styleId="2">
    <w:name w:val="heading 2"/>
    <w:basedOn w:val="a"/>
    <w:next w:val="a"/>
    <w:link w:val="2Char"/>
    <w:qFormat/>
    <w:rsid w:val="00F801A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F801A7"/>
    <w:rPr>
      <w:rFonts w:ascii="宋体" w:eastAsia="宋体"/>
      <w:sz w:val="18"/>
      <w:szCs w:val="18"/>
    </w:rPr>
  </w:style>
  <w:style w:type="paragraph" w:styleId="a4">
    <w:name w:val="annotation text"/>
    <w:basedOn w:val="a"/>
    <w:link w:val="Char0"/>
    <w:uiPriority w:val="99"/>
    <w:semiHidden/>
    <w:unhideWhenUsed/>
    <w:qFormat/>
    <w:rsid w:val="00F801A7"/>
    <w:pPr>
      <w:jc w:val="left"/>
    </w:pPr>
  </w:style>
  <w:style w:type="paragraph" w:styleId="a5">
    <w:name w:val="Balloon Text"/>
    <w:basedOn w:val="a"/>
    <w:link w:val="Char1"/>
    <w:uiPriority w:val="99"/>
    <w:semiHidden/>
    <w:unhideWhenUsed/>
    <w:qFormat/>
    <w:rsid w:val="00F801A7"/>
    <w:rPr>
      <w:sz w:val="18"/>
      <w:szCs w:val="18"/>
    </w:rPr>
  </w:style>
  <w:style w:type="paragraph" w:styleId="a6">
    <w:name w:val="footer"/>
    <w:basedOn w:val="a"/>
    <w:link w:val="Char2"/>
    <w:uiPriority w:val="99"/>
    <w:unhideWhenUsed/>
    <w:qFormat/>
    <w:rsid w:val="00F801A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801A7"/>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rsid w:val="00F801A7"/>
    <w:pPr>
      <w:snapToGrid w:val="0"/>
      <w:jc w:val="left"/>
    </w:pPr>
    <w:rPr>
      <w:rFonts w:eastAsia="宋体"/>
      <w:sz w:val="18"/>
    </w:rPr>
  </w:style>
  <w:style w:type="paragraph" w:styleId="a9">
    <w:name w:val="Normal (Web)"/>
    <w:basedOn w:val="a"/>
    <w:uiPriority w:val="99"/>
    <w:semiHidden/>
    <w:unhideWhenUsed/>
    <w:rsid w:val="00F801A7"/>
    <w:pPr>
      <w:widowControl/>
      <w:jc w:val="left"/>
    </w:pPr>
    <w:rPr>
      <w:rFonts w:ascii="宋体" w:eastAsia="宋体" w:hAnsi="宋体" w:hint="eastAsia"/>
      <w:kern w:val="0"/>
      <w:sz w:val="24"/>
      <w:szCs w:val="24"/>
    </w:rPr>
  </w:style>
  <w:style w:type="paragraph" w:styleId="aa">
    <w:name w:val="annotation subject"/>
    <w:basedOn w:val="a4"/>
    <w:next w:val="a4"/>
    <w:link w:val="Char5"/>
    <w:uiPriority w:val="99"/>
    <w:semiHidden/>
    <w:unhideWhenUsed/>
    <w:qFormat/>
    <w:rsid w:val="00F801A7"/>
    <w:rPr>
      <w:b/>
      <w:bCs/>
    </w:rPr>
  </w:style>
  <w:style w:type="table" w:styleId="ab">
    <w:name w:val="Table Grid"/>
    <w:basedOn w:val="a1"/>
    <w:uiPriority w:val="59"/>
    <w:qFormat/>
    <w:rsid w:val="00F80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sid w:val="00F801A7"/>
    <w:rPr>
      <w:sz w:val="21"/>
      <w:szCs w:val="21"/>
    </w:rPr>
  </w:style>
  <w:style w:type="character" w:styleId="ad">
    <w:name w:val="footnote reference"/>
    <w:basedOn w:val="a0"/>
    <w:qFormat/>
    <w:rsid w:val="00F801A7"/>
    <w:rPr>
      <w:vertAlign w:val="superscript"/>
    </w:rPr>
  </w:style>
  <w:style w:type="character" w:customStyle="1" w:styleId="2Char">
    <w:name w:val="标题 2 Char"/>
    <w:basedOn w:val="a0"/>
    <w:link w:val="2"/>
    <w:qFormat/>
    <w:rsid w:val="00F801A7"/>
    <w:rPr>
      <w:rFonts w:ascii="Arial" w:eastAsia="黑体" w:hAnsi="Arial" w:cs="Times New Roman"/>
      <w:b/>
      <w:bCs/>
      <w:sz w:val="32"/>
      <w:szCs w:val="32"/>
    </w:rPr>
  </w:style>
  <w:style w:type="character" w:customStyle="1" w:styleId="Char4">
    <w:name w:val="脚注文本 Char"/>
    <w:basedOn w:val="a0"/>
    <w:link w:val="a8"/>
    <w:qFormat/>
    <w:rsid w:val="00F801A7"/>
    <w:rPr>
      <w:rFonts w:ascii="Times New Roman" w:eastAsia="宋体" w:hAnsi="Times New Roman" w:cs="Times New Roman"/>
      <w:sz w:val="18"/>
      <w:szCs w:val="20"/>
    </w:rPr>
  </w:style>
  <w:style w:type="character" w:customStyle="1" w:styleId="Char3">
    <w:name w:val="页眉 Char"/>
    <w:basedOn w:val="a0"/>
    <w:link w:val="a7"/>
    <w:uiPriority w:val="99"/>
    <w:qFormat/>
    <w:rsid w:val="00F801A7"/>
    <w:rPr>
      <w:rFonts w:ascii="Times New Roman" w:eastAsia="方正仿宋简体" w:hAnsi="Times New Roman" w:cs="Times New Roman"/>
      <w:sz w:val="18"/>
      <w:szCs w:val="18"/>
    </w:rPr>
  </w:style>
  <w:style w:type="character" w:customStyle="1" w:styleId="Char2">
    <w:name w:val="页脚 Char"/>
    <w:basedOn w:val="a0"/>
    <w:link w:val="a6"/>
    <w:uiPriority w:val="99"/>
    <w:qFormat/>
    <w:rsid w:val="00F801A7"/>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F801A7"/>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F801A7"/>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qFormat/>
    <w:rsid w:val="00F801A7"/>
    <w:rPr>
      <w:rFonts w:ascii="Times New Roman" w:eastAsia="方正仿宋简体" w:hAnsi="Times New Roman" w:cs="Times New Roman"/>
      <w:sz w:val="32"/>
      <w:szCs w:val="20"/>
    </w:rPr>
  </w:style>
  <w:style w:type="character" w:customStyle="1" w:styleId="Char5">
    <w:name w:val="批注主题 Char"/>
    <w:basedOn w:val="Char0"/>
    <w:link w:val="aa"/>
    <w:uiPriority w:val="99"/>
    <w:semiHidden/>
    <w:qFormat/>
    <w:rsid w:val="00F801A7"/>
    <w:rPr>
      <w:rFonts w:ascii="Times New Roman" w:eastAsia="方正仿宋简体" w:hAnsi="Times New Roman" w:cs="Times New Roman"/>
      <w:b/>
      <w:bCs/>
      <w:sz w:val="32"/>
      <w:szCs w:val="20"/>
    </w:rPr>
  </w:style>
  <w:style w:type="paragraph" w:customStyle="1" w:styleId="1">
    <w:name w:val="修订1"/>
    <w:hidden/>
    <w:uiPriority w:val="99"/>
    <w:semiHidden/>
    <w:qFormat/>
    <w:rsid w:val="00F801A7"/>
    <w:rPr>
      <w:rFonts w:eastAsia="方正仿宋简体"/>
      <w:kern w:val="2"/>
      <w:sz w:val="32"/>
    </w:rPr>
  </w:style>
  <w:style w:type="paragraph" w:customStyle="1" w:styleId="20">
    <w:name w:val="修订2"/>
    <w:hidden/>
    <w:uiPriority w:val="99"/>
    <w:semiHidden/>
    <w:qFormat/>
    <w:rsid w:val="00F801A7"/>
    <w:rPr>
      <w:rFonts w:eastAsia="方正仿宋简体"/>
      <w:kern w:val="2"/>
      <w:sz w:val="32"/>
    </w:rPr>
  </w:style>
  <w:style w:type="paragraph" w:customStyle="1" w:styleId="3">
    <w:name w:val="修订3"/>
    <w:hidden/>
    <w:uiPriority w:val="99"/>
    <w:semiHidden/>
    <w:qFormat/>
    <w:rsid w:val="00F801A7"/>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1760</Characters>
  <Application>Microsoft Office Word</Application>
  <DocSecurity>4</DocSecurity>
  <Lines>14</Lines>
  <Paragraphs>4</Paragraphs>
  <ScaleCrop>false</ScaleCrop>
  <Company>微软中国</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2024-11-26T09:14:00Z</cp:lastPrinted>
  <dcterms:created xsi:type="dcterms:W3CDTF">2026-02-10T16:03:00Z</dcterms:created>
  <dcterms:modified xsi:type="dcterms:W3CDTF">2026-02-10T16:03:00Z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