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4F88" w:rsidRDefault="00BB4F88">
      <w:pPr>
        <w:pStyle w:val="XBRL2"/>
        <w:spacing w:before="156"/>
        <w:rPr>
          <w:lang w:eastAsia="zh-CN"/>
        </w:rPr>
      </w:pPr>
      <w:bookmarkStart w:id="0" w:name="_Toc510201001"/>
      <w:bookmarkEnd w:id="0"/>
      <w:r>
        <w:rPr>
          <w:lang w:eastAsia="zh-CN"/>
        </w:rPr>
        <w:t xml:space="preserve">　</w:t>
      </w:r>
      <w:r>
        <w:rPr>
          <w:lang w:eastAsia="zh-CN"/>
        </w:rPr>
        <w:t xml:space="preserve"> </w:t>
      </w:r>
    </w:p>
    <w:p w:rsidR="00BB4F88" w:rsidRDefault="00BB4F88">
      <w:pPr>
        <w:jc w:val="center"/>
      </w:pPr>
      <w:r>
        <w:rPr>
          <w:rFonts w:cs="Times New Roman" w:hint="eastAsia"/>
          <w:b/>
          <w:sz w:val="48"/>
          <w:szCs w:val="48"/>
        </w:rPr>
        <w:t>关于限制工银瑞信如意货币市场基金D类份额、E类份额2026年春节假期大额申购、转换转入投资业务金额的公告</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560" w:lineRule="exact"/>
        <w:jc w:val="center"/>
        <w:rPr>
          <w:rFonts w:hint="eastAsia"/>
          <w:color w:val="000000"/>
          <w:kern w:val="0"/>
          <w:sz w:val="18"/>
        </w:rPr>
      </w:pPr>
      <w:r>
        <w:rPr>
          <w:rFonts w:hint="eastAsia"/>
          <w:color w:val="000000"/>
          <w:kern w:val="0"/>
          <w:sz w:val="18"/>
        </w:rPr>
        <w:t xml:space="preserve">　 </w:t>
      </w:r>
    </w:p>
    <w:p w:rsidR="00BB4F88" w:rsidRDefault="00BB4F88">
      <w:pPr>
        <w:spacing w:line="360" w:lineRule="auto"/>
        <w:jc w:val="center"/>
        <w:rPr>
          <w:rFonts w:hint="eastAsia"/>
        </w:rPr>
      </w:pPr>
      <w:r>
        <w:rPr>
          <w:rFonts w:hint="eastAsia"/>
          <w:b/>
          <w:bCs/>
          <w:sz w:val="24"/>
          <w:szCs w:val="30"/>
        </w:rPr>
        <w:t>公告送出日期：2026年2月11日</w:t>
      </w:r>
    </w:p>
    <w:p w:rsidR="00BB4F88" w:rsidRDefault="00BB4F88">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799"/>
        <w:gridCol w:w="2144"/>
        <w:gridCol w:w="1134"/>
        <w:gridCol w:w="1134"/>
        <w:gridCol w:w="1134"/>
        <w:gridCol w:w="1276"/>
        <w:gridCol w:w="1440"/>
      </w:tblGrid>
      <w:tr w:rsidR="00BB4F88" w:rsidTr="00B57A57">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基金名称</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工银瑞信如意货币市场基金</w:t>
            </w:r>
          </w:p>
        </w:tc>
      </w:tr>
      <w:tr w:rsidR="00BB4F88" w:rsidTr="00B57A57">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 xml:space="preserve">基金简称 </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工银如意货币</w:t>
            </w:r>
          </w:p>
        </w:tc>
      </w:tr>
      <w:tr w:rsidR="00BB4F88" w:rsidTr="00B57A57">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 xml:space="preserve">基金主代码 </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003752</w:t>
            </w:r>
          </w:p>
        </w:tc>
      </w:tr>
      <w:tr w:rsidR="00BB4F88" w:rsidTr="00B57A57">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基金管理人名称</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工银瑞信基金管理有限公司</w:t>
            </w:r>
          </w:p>
        </w:tc>
      </w:tr>
      <w:tr w:rsidR="00BB4F88" w:rsidTr="00B57A57">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公告依据</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根据《中华人民共和国证券投资基金法》、《公开募集证券投资基金运作管理办法》、《公开募集证券投资基金信息披露管理办法》及其他有关法律法规以及本基金相关法律文件等。</w:t>
            </w:r>
          </w:p>
        </w:tc>
      </w:tr>
      <w:tr w:rsidR="00BB4F88" w:rsidTr="00B57A57">
        <w:trPr>
          <w:divId w:val="1717849874"/>
        </w:trPr>
        <w:tc>
          <w:tcPr>
            <w:tcW w:w="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暂停相关业务的起始日、金额及原因说明</w:t>
            </w: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暂停大额申购起始日</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2026年2月12日</w:t>
            </w:r>
          </w:p>
        </w:tc>
      </w:tr>
      <w:tr w:rsidR="00BB4F88" w:rsidTr="00B57A57">
        <w:trPr>
          <w:divId w:val="1717849874"/>
        </w:trPr>
        <w:tc>
          <w:tcPr>
            <w:tcW w:w="799" w:type="dxa"/>
            <w:vMerge/>
            <w:tcBorders>
              <w:top w:val="single" w:sz="4" w:space="0" w:color="000000"/>
              <w:left w:val="single" w:sz="4" w:space="0" w:color="000000"/>
              <w:bottom w:val="single" w:sz="4" w:space="0" w:color="000000"/>
              <w:right w:val="single" w:sz="4" w:space="0" w:color="000000"/>
            </w:tcBorders>
            <w:vAlign w:val="center"/>
            <w:hideMark/>
          </w:tcPr>
          <w:p w:rsidR="00BB4F88" w:rsidRDefault="00BB4F88">
            <w:pPr>
              <w:widowControl/>
              <w:jc w:val="left"/>
            </w:pP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暂停大额转换转入起始日</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2026年2月12日</w:t>
            </w:r>
          </w:p>
        </w:tc>
      </w:tr>
      <w:tr w:rsidR="00BB4F88" w:rsidTr="00B57A57">
        <w:trPr>
          <w:divId w:val="1717849874"/>
        </w:trPr>
        <w:tc>
          <w:tcPr>
            <w:tcW w:w="799" w:type="dxa"/>
            <w:vMerge/>
            <w:tcBorders>
              <w:top w:val="single" w:sz="4" w:space="0" w:color="000000"/>
              <w:left w:val="single" w:sz="4" w:space="0" w:color="000000"/>
              <w:bottom w:val="single" w:sz="4" w:space="0" w:color="000000"/>
              <w:right w:val="single" w:sz="4" w:space="0" w:color="000000"/>
            </w:tcBorders>
            <w:vAlign w:val="center"/>
            <w:hideMark/>
          </w:tcPr>
          <w:p w:rsidR="00BB4F88" w:rsidRDefault="00BB4F88">
            <w:pPr>
              <w:widowControl/>
              <w:jc w:val="left"/>
            </w:pP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限制申购金额（单位：人民币元</w:t>
            </w:r>
            <w:r>
              <w:rPr>
                <w:rFonts w:hint="eastAsia"/>
              </w:rPr>
              <w:t xml:space="preserve"> </w:t>
            </w:r>
            <w:r w:rsidRPr="002E1AF6">
              <w:rPr>
                <w:rFonts w:ascii="Calibri" w:hAnsi="Calibri" w:hint="eastAsia"/>
              </w:rPr>
              <w:t>）</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1,000,000.00</w:t>
            </w:r>
          </w:p>
        </w:tc>
      </w:tr>
      <w:tr w:rsidR="00BB4F88" w:rsidTr="00B57A57">
        <w:trPr>
          <w:divId w:val="1717849874"/>
        </w:trPr>
        <w:tc>
          <w:tcPr>
            <w:tcW w:w="799" w:type="dxa"/>
            <w:vMerge/>
            <w:tcBorders>
              <w:top w:val="single" w:sz="4" w:space="0" w:color="000000"/>
              <w:left w:val="single" w:sz="4" w:space="0" w:color="000000"/>
              <w:bottom w:val="single" w:sz="4" w:space="0" w:color="000000"/>
              <w:right w:val="single" w:sz="4" w:space="0" w:color="000000"/>
            </w:tcBorders>
            <w:vAlign w:val="center"/>
            <w:hideMark/>
          </w:tcPr>
          <w:p w:rsidR="00BB4F88" w:rsidRDefault="00BB4F88">
            <w:pPr>
              <w:widowControl/>
              <w:jc w:val="left"/>
            </w:pP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限制转换转入金额（单位：人民币元</w:t>
            </w:r>
            <w:r>
              <w:rPr>
                <w:rFonts w:hint="eastAsia"/>
              </w:rPr>
              <w:t xml:space="preserve"> </w:t>
            </w:r>
            <w:r w:rsidRPr="002E1AF6">
              <w:rPr>
                <w:rFonts w:ascii="Calibri" w:hAnsi="Calibri" w:hint="eastAsia"/>
              </w:rPr>
              <w:t>）</w:t>
            </w:r>
            <w:r>
              <w:rPr>
                <w:rFonts w:hint="eastAsia"/>
              </w:rPr>
              <w:t xml:space="preserve"> </w:t>
            </w:r>
          </w:p>
        </w:tc>
        <w:tc>
          <w:tcPr>
            <w:tcW w:w="61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1,000,000.00</w:t>
            </w:r>
          </w:p>
        </w:tc>
      </w:tr>
      <w:tr w:rsidR="00BB4F88" w:rsidTr="00B57A57">
        <w:trPr>
          <w:divId w:val="1717849874"/>
        </w:trPr>
        <w:tc>
          <w:tcPr>
            <w:tcW w:w="799" w:type="dxa"/>
            <w:vMerge/>
            <w:tcBorders>
              <w:top w:val="single" w:sz="4" w:space="0" w:color="000000"/>
              <w:left w:val="single" w:sz="4" w:space="0" w:color="000000"/>
              <w:bottom w:val="single" w:sz="4" w:space="0" w:color="000000"/>
              <w:right w:val="single" w:sz="4" w:space="0" w:color="000000"/>
            </w:tcBorders>
            <w:vAlign w:val="center"/>
            <w:hideMark/>
          </w:tcPr>
          <w:p w:rsidR="00BB4F88" w:rsidRDefault="00BB4F88">
            <w:pPr>
              <w:widowControl/>
              <w:jc w:val="left"/>
            </w:pP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rsidP="007A0CEB">
            <w:pPr>
              <w:rPr>
                <w:rFonts w:hint="eastAsia"/>
              </w:rPr>
            </w:pPr>
            <w:r w:rsidRPr="002E1AF6">
              <w:rPr>
                <w:rFonts w:ascii="Calibri" w:hAnsi="Calibri" w:hint="eastAsia"/>
              </w:rPr>
              <w:t>暂停大额申购、转换转入的原因说明</w:t>
            </w:r>
          </w:p>
        </w:tc>
        <w:tc>
          <w:tcPr>
            <w:tcW w:w="6118" w:type="dxa"/>
            <w:gridSpan w:val="5"/>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hint="eastAsia"/>
              </w:rPr>
              <w:t>保护基金持有人利益。</w:t>
            </w:r>
          </w:p>
        </w:tc>
      </w:tr>
      <w:tr w:rsidR="00BB4F88" w:rsidTr="00681FF2">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下属分级基金的基金简称</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工银如意货币A</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工银如意货币B</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工银如意货币C</w:t>
            </w:r>
          </w:p>
        </w:tc>
        <w:tc>
          <w:tcPr>
            <w:tcW w:w="1276"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工银如意货币D</w:t>
            </w:r>
          </w:p>
        </w:tc>
        <w:tc>
          <w:tcPr>
            <w:tcW w:w="1440"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工银如意货币E</w:t>
            </w:r>
          </w:p>
        </w:tc>
      </w:tr>
      <w:tr w:rsidR="00BB4F88" w:rsidTr="00681FF2">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下属分级基金的交易代码</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003752</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003753</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019967</w:t>
            </w:r>
          </w:p>
        </w:tc>
        <w:tc>
          <w:tcPr>
            <w:tcW w:w="1276"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020945</w:t>
            </w:r>
          </w:p>
        </w:tc>
        <w:tc>
          <w:tcPr>
            <w:tcW w:w="1440"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025636</w:t>
            </w:r>
          </w:p>
        </w:tc>
      </w:tr>
      <w:tr w:rsidR="00BB4F88" w:rsidTr="00681FF2">
        <w:trPr>
          <w:divId w:val="1717849874"/>
        </w:trPr>
        <w:tc>
          <w:tcPr>
            <w:tcW w:w="29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4F88" w:rsidRDefault="00BB4F88" w:rsidP="007A0CEB">
            <w:pPr>
              <w:rPr>
                <w:rFonts w:hint="eastAsia"/>
              </w:rPr>
            </w:pPr>
            <w:r w:rsidRPr="002E1AF6">
              <w:rPr>
                <w:rFonts w:ascii="Calibri" w:hAnsi="Calibri" w:hint="eastAsia"/>
              </w:rPr>
              <w:t>该分级基金是否暂停大额申购、转换转入</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是</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是</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是</w:t>
            </w:r>
          </w:p>
        </w:tc>
        <w:tc>
          <w:tcPr>
            <w:tcW w:w="1276"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是</w:t>
            </w:r>
          </w:p>
        </w:tc>
        <w:tc>
          <w:tcPr>
            <w:tcW w:w="1440"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是</w:t>
            </w:r>
          </w:p>
        </w:tc>
      </w:tr>
      <w:tr w:rsidR="00BB4F88" w:rsidTr="00681FF2">
        <w:trPr>
          <w:divId w:val="1717849874"/>
        </w:trPr>
        <w:tc>
          <w:tcPr>
            <w:tcW w:w="294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B4F88" w:rsidRDefault="00BB4F88">
            <w:pPr>
              <w:rPr>
                <w:rFonts w:hint="eastAsia"/>
              </w:rPr>
            </w:pPr>
            <w:r w:rsidRPr="002E1AF6">
              <w:rPr>
                <w:rFonts w:ascii="Calibri" w:hAnsi="Calibri" w:hint="eastAsia"/>
              </w:rPr>
              <w:t>下属分级基金的限制申购金额（单位：人民币元）</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134"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276"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1,000,000.00</w:t>
            </w:r>
          </w:p>
        </w:tc>
        <w:tc>
          <w:tcPr>
            <w:tcW w:w="1440" w:type="dxa"/>
            <w:tcBorders>
              <w:top w:val="outset" w:sz="4" w:space="0" w:color="000000"/>
              <w:left w:val="single" w:sz="4" w:space="0" w:color="000000"/>
              <w:bottom w:val="outset" w:sz="4" w:space="0" w:color="000000"/>
              <w:right w:val="single" w:sz="4" w:space="0" w:color="auto"/>
            </w:tcBorders>
            <w:vAlign w:val="center"/>
            <w:hideMark/>
          </w:tcPr>
          <w:p w:rsidR="00BB4F88" w:rsidRDefault="00BB4F88">
            <w:pPr>
              <w:rPr>
                <w:rFonts w:hint="eastAsia"/>
              </w:rPr>
            </w:pPr>
            <w:r w:rsidRPr="002E1AF6">
              <w:rPr>
                <w:rFonts w:hint="eastAsia"/>
              </w:rPr>
              <w:t>1,000,000.00</w:t>
            </w:r>
          </w:p>
        </w:tc>
      </w:tr>
      <w:tr w:rsidR="00BB4F88" w:rsidTr="00681FF2">
        <w:trPr>
          <w:divId w:val="1717849874"/>
        </w:trPr>
        <w:tc>
          <w:tcPr>
            <w:tcW w:w="294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B4F88" w:rsidRDefault="00BB4F88">
            <w:pPr>
              <w:rPr>
                <w:rFonts w:hint="eastAsia"/>
              </w:rPr>
            </w:pPr>
            <w:r w:rsidRPr="002E1AF6">
              <w:rPr>
                <w:rFonts w:hint="eastAsia"/>
              </w:rPr>
              <w:t xml:space="preserve">下属分级基金的限制转换转入金额（单位：人民币元） </w:t>
            </w:r>
          </w:p>
        </w:tc>
        <w:tc>
          <w:tcPr>
            <w:tcW w:w="1134" w:type="dxa"/>
            <w:tcBorders>
              <w:top w:val="outset" w:sz="4" w:space="0" w:color="000000"/>
              <w:left w:val="single" w:sz="4" w:space="0" w:color="000000"/>
              <w:bottom w:val="single"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134" w:type="dxa"/>
            <w:tcBorders>
              <w:top w:val="outset" w:sz="4" w:space="0" w:color="000000"/>
              <w:left w:val="single" w:sz="4" w:space="0" w:color="000000"/>
              <w:bottom w:val="single"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134" w:type="dxa"/>
            <w:tcBorders>
              <w:top w:val="outset" w:sz="4" w:space="0" w:color="000000"/>
              <w:left w:val="single" w:sz="4" w:space="0" w:color="000000"/>
              <w:bottom w:val="single" w:sz="4" w:space="0" w:color="000000"/>
              <w:right w:val="single" w:sz="4" w:space="0" w:color="auto"/>
            </w:tcBorders>
            <w:vAlign w:val="center"/>
            <w:hideMark/>
          </w:tcPr>
          <w:p w:rsidR="00BB4F88" w:rsidRDefault="00BB4F88">
            <w:pPr>
              <w:rPr>
                <w:rFonts w:hint="eastAsia"/>
              </w:rPr>
            </w:pPr>
            <w:r w:rsidRPr="002E1AF6">
              <w:rPr>
                <w:rFonts w:hint="eastAsia"/>
              </w:rPr>
              <w:t>100,000.00</w:t>
            </w:r>
          </w:p>
        </w:tc>
        <w:tc>
          <w:tcPr>
            <w:tcW w:w="1276" w:type="dxa"/>
            <w:tcBorders>
              <w:top w:val="outset" w:sz="4" w:space="0" w:color="000000"/>
              <w:left w:val="single" w:sz="4" w:space="0" w:color="000000"/>
              <w:bottom w:val="single" w:sz="4" w:space="0" w:color="000000"/>
              <w:right w:val="single" w:sz="4" w:space="0" w:color="auto"/>
            </w:tcBorders>
            <w:vAlign w:val="center"/>
            <w:hideMark/>
          </w:tcPr>
          <w:p w:rsidR="00BB4F88" w:rsidRDefault="00BB4F88">
            <w:pPr>
              <w:rPr>
                <w:rFonts w:hint="eastAsia"/>
              </w:rPr>
            </w:pPr>
            <w:r w:rsidRPr="002E1AF6">
              <w:rPr>
                <w:rFonts w:hint="eastAsia"/>
              </w:rPr>
              <w:t>1,000,000.00</w:t>
            </w:r>
          </w:p>
        </w:tc>
        <w:tc>
          <w:tcPr>
            <w:tcW w:w="1440" w:type="dxa"/>
            <w:tcBorders>
              <w:top w:val="outset" w:sz="4" w:space="0" w:color="000000"/>
              <w:left w:val="single" w:sz="4" w:space="0" w:color="000000"/>
              <w:bottom w:val="single" w:sz="4" w:space="0" w:color="000000"/>
              <w:right w:val="single" w:sz="4" w:space="0" w:color="auto"/>
            </w:tcBorders>
            <w:vAlign w:val="center"/>
            <w:hideMark/>
          </w:tcPr>
          <w:p w:rsidR="00BB4F88" w:rsidRDefault="00BB4F88">
            <w:pPr>
              <w:rPr>
                <w:rFonts w:hint="eastAsia"/>
              </w:rPr>
            </w:pPr>
            <w:r w:rsidRPr="002E1AF6">
              <w:rPr>
                <w:rFonts w:hint="eastAsia"/>
              </w:rPr>
              <w:t>1,000,000.00</w:t>
            </w:r>
          </w:p>
        </w:tc>
      </w:tr>
    </w:tbl>
    <w:p w:rsidR="00BB4F88" w:rsidRDefault="00BB4F88">
      <w:pPr>
        <w:adjustRightInd w:val="0"/>
        <w:snapToGrid w:val="0"/>
        <w:spacing w:line="360" w:lineRule="auto"/>
        <w:jc w:val="left"/>
        <w:divId w:val="1717849874"/>
        <w:rPr>
          <w:rFonts w:hint="eastAsia"/>
        </w:rPr>
      </w:pPr>
      <w:r>
        <w:rPr>
          <w:rFonts w:hint="eastAsia"/>
        </w:rPr>
        <w:t>注:</w:t>
      </w:r>
      <w:r>
        <w:rPr>
          <w:rFonts w:hint="eastAsia"/>
          <w:szCs w:val="24"/>
          <w:lang/>
        </w:rPr>
        <w:t>1、自2026年2月12日起至2026年2月13日期间，本基金D类份额、E类份额大额申购、转换转入投资业务限制金额为100万元。2、自2026年2月24日起，本基金D类份额、E类份额恢复大额申购、转换转入投资业务，届时将不再另行公告。3、本基金A类份额及B类份额机构投资者仍按照2025年7月16日公告进行限制，即大额申购、转换转入投资业务限制金额仍为10万元；个人投资者仍按照2022年11月25日公告进行限制，即大额申购、转换转入投资业务限制金额仍为500万元。4、本基金C类份额机构投资者仍按照2025年7月16日公告进行限制，即大额申购、转换转入投资业务限制金额仍为10万元；个人投资者仍按照2024年9月11日公告进行限制，即大额申购、转换转入投资业务限制金额为500万元。</w:t>
      </w:r>
      <w:r>
        <w:rPr>
          <w:rFonts w:hint="eastAsia"/>
          <w:szCs w:val="24"/>
        </w:rPr>
        <w:t xml:space="preserve"> </w:t>
      </w:r>
    </w:p>
    <w:p w:rsidR="00BB4F88" w:rsidRDefault="00BB4F88">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BB4F88" w:rsidRDefault="00BB4F88">
      <w:pPr>
        <w:widowControl/>
        <w:spacing w:line="360" w:lineRule="auto"/>
        <w:ind w:firstLineChars="200" w:firstLine="420"/>
        <w:jc w:val="left"/>
        <w:rPr>
          <w:rFonts w:hint="eastAsia"/>
          <w:kern w:val="0"/>
          <w:szCs w:val="21"/>
        </w:rPr>
      </w:pPr>
      <w:r>
        <w:rPr>
          <w:rFonts w:hint="eastAsia"/>
          <w:kern w:val="0"/>
          <w:szCs w:val="21"/>
        </w:rPr>
        <w:t xml:space="preserve">1、自2026年2月12日起至2026年2月13日期间，对本基金D类份额、E类份额单日单个基金账户单笔或多笔累计高于100万元的申购、转换转入业务进行限制；如投资者单日单个基金账户单笔或多笔累计申请金额高于100万元的，本基金管理人有权拒绝。 </w:t>
      </w:r>
    </w:p>
    <w:p w:rsidR="00BB4F88" w:rsidRDefault="00BB4F88">
      <w:pPr>
        <w:widowControl/>
        <w:spacing w:line="360" w:lineRule="auto"/>
        <w:ind w:firstLineChars="200" w:firstLine="420"/>
        <w:jc w:val="left"/>
        <w:rPr>
          <w:rFonts w:hint="eastAsia"/>
          <w:kern w:val="0"/>
          <w:szCs w:val="21"/>
        </w:rPr>
      </w:pPr>
      <w:r>
        <w:rPr>
          <w:rFonts w:hint="eastAsia"/>
          <w:kern w:val="0"/>
          <w:szCs w:val="21"/>
        </w:rPr>
        <w:lastRenderedPageBreak/>
        <w:t>2、在上述期间的交易日，本基金作为转出方的转换业务、赎回业务等其他业务以及本基金管理人管理的其他开放式基金的各项交易业务仍照常办理。</w:t>
      </w:r>
      <w:r>
        <w:rPr>
          <w:rFonts w:hint="eastAsia"/>
          <w:kern w:val="0"/>
          <w:szCs w:val="21"/>
        </w:rPr>
        <w:br/>
      </w:r>
      <w:r w:rsidR="00F23793">
        <w:rPr>
          <w:kern w:val="0"/>
          <w:szCs w:val="21"/>
        </w:rPr>
        <w:t xml:space="preserve">    </w:t>
      </w:r>
      <w:r>
        <w:rPr>
          <w:rFonts w:hint="eastAsia"/>
          <w:kern w:val="0"/>
          <w:szCs w:val="21"/>
        </w:rPr>
        <w:t>3、客户服务电话400-811-9999；本公司网站www.icbcubs.com.cn。</w:t>
      </w:r>
      <w:r>
        <w:rPr>
          <w:rFonts w:hint="eastAsia"/>
          <w:kern w:val="0"/>
          <w:szCs w:val="21"/>
        </w:rPr>
        <w:br/>
      </w:r>
      <w:r w:rsidR="00F23793">
        <w:rPr>
          <w:kern w:val="0"/>
          <w:szCs w:val="21"/>
        </w:rPr>
        <w:t xml:space="preserve">    </w:t>
      </w:r>
      <w:r>
        <w:rPr>
          <w:rFonts w:hint="eastAsia"/>
          <w:kern w:val="0"/>
          <w:szCs w:val="21"/>
        </w:rPr>
        <w:t xml:space="preserve">4、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BB4F88" w:rsidRDefault="00BB4F88">
      <w:pPr>
        <w:spacing w:line="360" w:lineRule="auto"/>
        <w:ind w:firstLineChars="600" w:firstLine="1446"/>
        <w:jc w:val="right"/>
        <w:rPr>
          <w:rFonts w:hint="eastAsia"/>
          <w:b/>
          <w:bCs/>
          <w:sz w:val="24"/>
          <w:szCs w:val="30"/>
        </w:rPr>
      </w:pPr>
      <w:r>
        <w:rPr>
          <w:rFonts w:hint="eastAsia"/>
          <w:b/>
          <w:bCs/>
          <w:sz w:val="24"/>
          <w:szCs w:val="30"/>
        </w:rPr>
        <w:t xml:space="preserve">　 </w:t>
      </w:r>
    </w:p>
    <w:p w:rsidR="00BB4F88" w:rsidRDefault="00BB4F88">
      <w:pPr>
        <w:spacing w:line="360" w:lineRule="auto"/>
        <w:ind w:firstLineChars="600" w:firstLine="1446"/>
        <w:jc w:val="right"/>
        <w:rPr>
          <w:rFonts w:hint="eastAsia"/>
          <w:b/>
          <w:bCs/>
          <w:sz w:val="24"/>
          <w:szCs w:val="30"/>
        </w:rPr>
      </w:pPr>
      <w:r>
        <w:rPr>
          <w:rFonts w:hint="eastAsia"/>
          <w:b/>
          <w:bCs/>
          <w:sz w:val="24"/>
          <w:szCs w:val="30"/>
        </w:rPr>
        <w:t xml:space="preserve">　 </w:t>
      </w:r>
    </w:p>
    <w:p w:rsidR="00BB4F88" w:rsidRDefault="00BB4F88">
      <w:pPr>
        <w:spacing w:line="360" w:lineRule="auto"/>
        <w:ind w:firstLineChars="600" w:firstLine="1446"/>
        <w:jc w:val="right"/>
        <w:rPr>
          <w:rFonts w:hint="eastAsia"/>
        </w:rPr>
      </w:pPr>
      <w:r>
        <w:rPr>
          <w:rFonts w:hint="eastAsia"/>
          <w:b/>
          <w:bCs/>
          <w:sz w:val="24"/>
          <w:szCs w:val="24"/>
        </w:rPr>
        <w:t>工银瑞信基金管理有限公司</w:t>
      </w:r>
    </w:p>
    <w:p w:rsidR="00BB4F88" w:rsidRDefault="00BB4F88">
      <w:pPr>
        <w:spacing w:line="360" w:lineRule="auto"/>
        <w:ind w:firstLineChars="600" w:firstLine="1446"/>
        <w:jc w:val="right"/>
        <w:rPr>
          <w:rFonts w:hint="eastAsia"/>
        </w:rPr>
      </w:pPr>
      <w:r>
        <w:rPr>
          <w:rFonts w:hint="eastAsia"/>
          <w:b/>
          <w:bCs/>
          <w:sz w:val="24"/>
          <w:szCs w:val="24"/>
        </w:rPr>
        <w:t>2026年2月11日</w:t>
      </w:r>
      <w:bookmarkEnd w:id="22"/>
      <w:r>
        <w:rPr>
          <w:rFonts w:hint="eastAsia"/>
          <w:b/>
          <w:bCs/>
          <w:sz w:val="24"/>
          <w:szCs w:val="24"/>
        </w:rPr>
        <w:t xml:space="preserve"> </w:t>
      </w:r>
    </w:p>
    <w:sectPr w:rsidR="00BB4F88">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511" w:rsidRDefault="0034451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344511" w:rsidRDefault="0034451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88" w:rsidRDefault="00BB4F8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043D3">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043D3">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88" w:rsidRDefault="00BB4F88">
    <w:pPr>
      <w:pStyle w:val="aa"/>
      <w:rPr>
        <w:rFonts w:hint="eastAsia"/>
      </w:rPr>
    </w:pPr>
  </w:p>
  <w:p w:rsidR="00BB4F88" w:rsidRDefault="00BB4F8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043D3">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043D3">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BB4F88" w:rsidRDefault="00BB4F88">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511" w:rsidRDefault="0034451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344511" w:rsidRDefault="0034451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88" w:rsidRDefault="00BB4F88">
    <w:pPr>
      <w:pStyle w:val="a8"/>
      <w:jc w:val="right"/>
    </w:pPr>
    <w:r>
      <w:rPr>
        <w:rFonts w:hint="eastAsia"/>
      </w:rPr>
      <w:t>关于限制工银瑞信如意货币市场基金D类份额、E类份额2026年春节假期大额申购、转换转入投资业务金额的公告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88" w:rsidRDefault="00BB4F88">
    <w:pPr>
      <w:pStyle w:val="a8"/>
      <w:jc w:val="right"/>
      <w:rPr>
        <w:rFonts w:hint="eastAsia"/>
      </w:rPr>
    </w:pPr>
    <w:r>
      <w:rPr>
        <w:rFonts w:hint="eastAsia"/>
      </w:rPr>
      <w:t>关于限制工银瑞信如意货币市场基金D类份额、E类份额2026年春节假期大额申购、转换转入投资业务金额的公告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1AF6"/>
    <w:rsid w:val="002E1AF6"/>
    <w:rsid w:val="00344511"/>
    <w:rsid w:val="00445057"/>
    <w:rsid w:val="00503268"/>
    <w:rsid w:val="00681FF2"/>
    <w:rsid w:val="007043D3"/>
    <w:rsid w:val="007A0CEB"/>
    <w:rsid w:val="008920B6"/>
    <w:rsid w:val="009754BE"/>
    <w:rsid w:val="00A66D09"/>
    <w:rsid w:val="00B57A57"/>
    <w:rsid w:val="00BB4F88"/>
    <w:rsid w:val="00D7713E"/>
    <w:rsid w:val="00F237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178498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3C99-135B-44EC-B2B5-18F2116A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1285</Characters>
  <Application>Microsoft Office Word</Application>
  <DocSecurity>4</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2026-02-06T07:01:00Z</cp:lastPrinted>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