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9C" w:rsidRDefault="002B7746">
      <w:pPr>
        <w:keepNext/>
        <w:keepLines/>
        <w:widowControl/>
        <w:spacing w:before="120" w:after="120" w:line="360" w:lineRule="auto"/>
        <w:jc w:val="center"/>
        <w:outlineLvl w:val="2"/>
        <w:rPr>
          <w:rFonts w:ascii="宋体" w:eastAsia="宋体" w:hAnsi="宋体" w:cs="Times New Roman"/>
          <w:b/>
          <w:bCs/>
          <w:kern w:val="0"/>
          <w:sz w:val="30"/>
          <w:szCs w:val="32"/>
        </w:rPr>
      </w:pPr>
      <w:r>
        <w:rPr>
          <w:rFonts w:ascii="宋体" w:eastAsia="宋体" w:hAnsi="宋体" w:cs="Times New Roman" w:hint="eastAsia"/>
          <w:b/>
          <w:bCs/>
          <w:kern w:val="0"/>
          <w:sz w:val="30"/>
          <w:szCs w:val="32"/>
        </w:rPr>
        <w:t>关于前海开源恒生港股通科技主题交易型开放式指数</w:t>
      </w:r>
    </w:p>
    <w:p w:rsidR="006A109C" w:rsidRDefault="002B7746">
      <w:pPr>
        <w:keepNext/>
        <w:keepLines/>
        <w:widowControl/>
        <w:spacing w:before="120" w:after="120" w:line="360" w:lineRule="auto"/>
        <w:jc w:val="center"/>
        <w:outlineLvl w:val="2"/>
        <w:rPr>
          <w:rFonts w:ascii="宋体" w:eastAsia="宋体" w:hAnsi="宋体" w:cs="Times New Roman"/>
          <w:b/>
          <w:bCs/>
          <w:kern w:val="0"/>
          <w:sz w:val="30"/>
          <w:szCs w:val="32"/>
        </w:rPr>
      </w:pPr>
      <w:r>
        <w:rPr>
          <w:rFonts w:ascii="宋体" w:eastAsia="宋体" w:hAnsi="宋体" w:cs="Times New Roman" w:hint="eastAsia"/>
          <w:b/>
          <w:bCs/>
          <w:kern w:val="0"/>
          <w:sz w:val="30"/>
          <w:szCs w:val="32"/>
        </w:rPr>
        <w:t>证券投资基金新增流动性服务商的公告</w:t>
      </w:r>
    </w:p>
    <w:p w:rsidR="006A109C" w:rsidRDefault="002B7746">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6A109C" w:rsidRDefault="002B774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为促进前海开源恒生港股通科技主题交易型开放式指数证券投资基金（</w:t>
      </w:r>
      <w:r>
        <w:rPr>
          <w:rFonts w:ascii="宋体" w:eastAsia="宋体" w:hAnsi="宋体" w:cs="Times New Roman" w:hint="eastAsia"/>
          <w:sz w:val="24"/>
          <w:szCs w:val="24"/>
        </w:rPr>
        <w:t>以下</w:t>
      </w:r>
      <w:r>
        <w:rPr>
          <w:rFonts w:ascii="宋体" w:eastAsia="宋体" w:hAnsi="宋体" w:cs="Times New Roman" w:hint="eastAsia"/>
          <w:sz w:val="24"/>
          <w:szCs w:val="24"/>
        </w:rPr>
        <w:t>简称“港股通科技</w:t>
      </w:r>
      <w:r>
        <w:rPr>
          <w:rFonts w:ascii="宋体" w:eastAsia="宋体" w:hAnsi="宋体" w:cs="Times New Roman" w:hint="eastAsia"/>
          <w:sz w:val="24"/>
          <w:szCs w:val="24"/>
        </w:rPr>
        <w:t>ETF</w:t>
      </w:r>
      <w:r>
        <w:rPr>
          <w:rFonts w:ascii="宋体" w:eastAsia="宋体" w:hAnsi="宋体" w:cs="Times New Roman" w:hint="eastAsia"/>
          <w:sz w:val="24"/>
          <w:szCs w:val="24"/>
        </w:rPr>
        <w:t>前海开源”）的市场流动性和平稳运行，根据《深圳证券交易所证券投资基金业务指引第</w:t>
      </w:r>
      <w:r>
        <w:rPr>
          <w:rFonts w:ascii="宋体" w:eastAsia="宋体" w:hAnsi="宋体" w:cs="Times New Roman"/>
          <w:sz w:val="24"/>
          <w:szCs w:val="24"/>
        </w:rPr>
        <w:t>2</w:t>
      </w:r>
      <w:r>
        <w:rPr>
          <w:rFonts w:ascii="宋体" w:eastAsia="宋体" w:hAnsi="宋体" w:cs="Times New Roman"/>
          <w:sz w:val="24"/>
          <w:szCs w:val="24"/>
        </w:rPr>
        <w:t>号</w:t>
      </w:r>
      <w:r>
        <w:rPr>
          <w:rFonts w:ascii="宋体" w:eastAsia="宋体" w:hAnsi="宋体" w:cs="Times New Roman"/>
          <w:sz w:val="24"/>
          <w:szCs w:val="24"/>
        </w:rPr>
        <w:t>——</w:t>
      </w:r>
      <w:r>
        <w:rPr>
          <w:rFonts w:ascii="宋体" w:eastAsia="宋体" w:hAnsi="宋体" w:cs="Times New Roman"/>
          <w:sz w:val="24"/>
          <w:szCs w:val="24"/>
        </w:rPr>
        <w:t>流动性服务</w:t>
      </w:r>
      <w:r>
        <w:rPr>
          <w:rFonts w:ascii="宋体" w:eastAsia="宋体" w:hAnsi="宋体" w:cs="Times New Roman" w:hint="eastAsia"/>
          <w:sz w:val="24"/>
          <w:szCs w:val="24"/>
        </w:rPr>
        <w:t>》等有关规定，自</w:t>
      </w:r>
      <w:r>
        <w:rPr>
          <w:rFonts w:ascii="宋体" w:eastAsia="宋体" w:hAnsi="宋体" w:cs="Times New Roman" w:hint="eastAsia"/>
          <w:sz w:val="24"/>
          <w:szCs w:val="24"/>
        </w:rPr>
        <w:t>202</w:t>
      </w:r>
      <w:r>
        <w:rPr>
          <w:rFonts w:ascii="宋体" w:eastAsia="宋体" w:hAnsi="宋体" w:cs="Times New Roman" w:hint="eastAsia"/>
          <w:sz w:val="24"/>
          <w:szCs w:val="24"/>
        </w:rPr>
        <w:t>6</w:t>
      </w:r>
      <w:r>
        <w:rPr>
          <w:rFonts w:ascii="宋体" w:eastAsia="宋体" w:hAnsi="宋体" w:cs="Times New Roman" w:hint="eastAsia"/>
          <w:sz w:val="24"/>
          <w:szCs w:val="24"/>
        </w:rPr>
        <w:t>年</w:t>
      </w:r>
      <w:r>
        <w:rPr>
          <w:rFonts w:ascii="宋体" w:eastAsia="宋体" w:hAnsi="宋体" w:cs="Times New Roman" w:hint="eastAsia"/>
          <w:sz w:val="24"/>
          <w:szCs w:val="24"/>
        </w:rPr>
        <w:t>2</w:t>
      </w:r>
      <w:r>
        <w:rPr>
          <w:rFonts w:ascii="宋体" w:eastAsia="宋体" w:hAnsi="宋体" w:cs="Times New Roman" w:hint="eastAsia"/>
          <w:sz w:val="24"/>
          <w:szCs w:val="24"/>
        </w:rPr>
        <w:t>月</w:t>
      </w:r>
      <w:r>
        <w:rPr>
          <w:rFonts w:ascii="宋体" w:eastAsia="宋体" w:hAnsi="宋体" w:cs="Times New Roman" w:hint="eastAsia"/>
          <w:sz w:val="24"/>
          <w:szCs w:val="24"/>
        </w:rPr>
        <w:t>11</w:t>
      </w:r>
      <w:r>
        <w:rPr>
          <w:rFonts w:ascii="宋体" w:eastAsia="宋体" w:hAnsi="宋体" w:cs="Times New Roman" w:hint="eastAsia"/>
          <w:sz w:val="24"/>
          <w:szCs w:val="24"/>
        </w:rPr>
        <w:t>日起，本公司新增国泰海通证券股份有限公司、中信建投证券股份有限公司、中信证券股份有限公司为港股通科技</w:t>
      </w:r>
      <w:r>
        <w:rPr>
          <w:rFonts w:ascii="宋体" w:eastAsia="宋体" w:hAnsi="宋体" w:cs="Times New Roman" w:hint="eastAsia"/>
          <w:sz w:val="24"/>
          <w:szCs w:val="24"/>
        </w:rPr>
        <w:t>ETF</w:t>
      </w:r>
      <w:r>
        <w:rPr>
          <w:rFonts w:ascii="宋体" w:eastAsia="宋体" w:hAnsi="宋体" w:cs="Times New Roman" w:hint="eastAsia"/>
          <w:sz w:val="24"/>
          <w:szCs w:val="24"/>
        </w:rPr>
        <w:t>前海开源（代码：</w:t>
      </w:r>
      <w:r>
        <w:rPr>
          <w:rFonts w:ascii="宋体" w:eastAsia="宋体" w:hAnsi="宋体" w:cs="Times New Roman"/>
          <w:sz w:val="24"/>
          <w:szCs w:val="24"/>
        </w:rPr>
        <w:t>159</w:t>
      </w:r>
      <w:r>
        <w:rPr>
          <w:rFonts w:ascii="宋体" w:eastAsia="宋体" w:hAnsi="宋体" w:cs="Times New Roman" w:hint="eastAsia"/>
          <w:sz w:val="24"/>
          <w:szCs w:val="24"/>
        </w:rPr>
        <w:t>135</w:t>
      </w:r>
      <w:r>
        <w:rPr>
          <w:rFonts w:ascii="宋体" w:eastAsia="宋体" w:hAnsi="宋体" w:cs="Times New Roman" w:hint="eastAsia"/>
          <w:sz w:val="24"/>
          <w:szCs w:val="24"/>
        </w:rPr>
        <w:t>）的流动性服务商。</w:t>
      </w:r>
      <w:bookmarkStart w:id="0" w:name="_GoBack"/>
      <w:bookmarkEnd w:id="0"/>
    </w:p>
    <w:p w:rsidR="006A109C" w:rsidRDefault="002B7746">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6A109C" w:rsidRDefault="002B7746">
      <w:pPr>
        <w:spacing w:line="360" w:lineRule="auto"/>
        <w:jc w:val="right"/>
        <w:rPr>
          <w:rFonts w:ascii="宋体" w:eastAsia="宋体" w:hAnsi="宋体" w:cs="Times New Roman"/>
          <w:sz w:val="24"/>
          <w:szCs w:val="24"/>
        </w:rPr>
      </w:pPr>
      <w:r>
        <w:rPr>
          <w:rFonts w:ascii="宋体" w:eastAsia="宋体" w:hAnsi="宋体" w:cs="Times New Roman"/>
          <w:sz w:val="24"/>
          <w:szCs w:val="24"/>
        </w:rPr>
        <w:t xml:space="preserve"> </w:t>
      </w:r>
    </w:p>
    <w:p w:rsidR="006A109C" w:rsidRDefault="002B7746">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 xml:space="preserve">　　特此公告。</w:t>
      </w:r>
    </w:p>
    <w:p w:rsidR="006A109C" w:rsidRDefault="002B7746">
      <w:pPr>
        <w:spacing w:line="360" w:lineRule="auto"/>
        <w:jc w:val="right"/>
        <w:rPr>
          <w:rFonts w:ascii="宋体" w:eastAsia="宋体" w:hAnsi="宋体" w:cs="Times New Roman"/>
          <w:sz w:val="24"/>
          <w:szCs w:val="24"/>
        </w:rPr>
      </w:pPr>
      <w:r>
        <w:rPr>
          <w:rFonts w:ascii="宋体" w:eastAsia="宋体" w:hAnsi="宋体" w:cs="Times New Roman"/>
          <w:sz w:val="24"/>
          <w:szCs w:val="24"/>
        </w:rPr>
        <w:t xml:space="preserve"> </w:t>
      </w:r>
    </w:p>
    <w:p w:rsidR="006A109C" w:rsidRDefault="002B7746">
      <w:pPr>
        <w:spacing w:line="360" w:lineRule="auto"/>
        <w:ind w:firstLine="420"/>
        <w:jc w:val="right"/>
        <w:rPr>
          <w:rFonts w:ascii="宋体" w:eastAsia="宋体" w:hAnsi="宋体" w:cs="Times New Roman"/>
          <w:sz w:val="24"/>
          <w:szCs w:val="24"/>
        </w:rPr>
      </w:pPr>
      <w:r>
        <w:rPr>
          <w:rFonts w:ascii="宋体" w:eastAsia="宋体" w:hAnsi="宋体" w:cs="Times New Roman" w:hint="eastAsia"/>
          <w:sz w:val="24"/>
          <w:szCs w:val="24"/>
        </w:rPr>
        <w:t>前海开源基金管理有限公司</w:t>
      </w:r>
    </w:p>
    <w:p w:rsidR="006A109C" w:rsidRDefault="002B7746">
      <w:pPr>
        <w:spacing w:line="360" w:lineRule="auto"/>
        <w:ind w:firstLine="420"/>
        <w:jc w:val="right"/>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hint="eastAsia"/>
          <w:sz w:val="24"/>
          <w:szCs w:val="24"/>
        </w:rPr>
        <w:t>6</w:t>
      </w:r>
      <w:r>
        <w:rPr>
          <w:rFonts w:ascii="宋体" w:eastAsia="宋体" w:hAnsi="宋体" w:cs="Times New Roman" w:hint="eastAsia"/>
          <w:sz w:val="24"/>
          <w:szCs w:val="24"/>
        </w:rPr>
        <w:t>年</w:t>
      </w:r>
      <w:r>
        <w:rPr>
          <w:rFonts w:ascii="宋体" w:eastAsia="宋体" w:hAnsi="宋体" w:cs="Times New Roman" w:hint="eastAsia"/>
          <w:sz w:val="24"/>
          <w:szCs w:val="24"/>
        </w:rPr>
        <w:t>2</w:t>
      </w:r>
      <w:r>
        <w:rPr>
          <w:rFonts w:ascii="宋体" w:eastAsia="宋体" w:hAnsi="宋体" w:cs="Times New Roman" w:hint="eastAsia"/>
          <w:sz w:val="24"/>
          <w:szCs w:val="24"/>
        </w:rPr>
        <w:t>月</w:t>
      </w:r>
      <w:r>
        <w:rPr>
          <w:rFonts w:ascii="宋体" w:eastAsia="宋体" w:hAnsi="宋体" w:cs="Times New Roman" w:hint="eastAsia"/>
          <w:sz w:val="24"/>
          <w:szCs w:val="24"/>
        </w:rPr>
        <w:t>11</w:t>
      </w:r>
      <w:r>
        <w:rPr>
          <w:rFonts w:ascii="宋体" w:eastAsia="宋体" w:hAnsi="宋体" w:cs="Times New Roman" w:hint="eastAsia"/>
          <w:sz w:val="24"/>
          <w:szCs w:val="24"/>
        </w:rPr>
        <w:t>日</w:t>
      </w:r>
    </w:p>
    <w:sectPr w:rsidR="006A109C" w:rsidSect="006A10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261"/>
    <w:rsid w:val="000668EC"/>
    <w:rsid w:val="00092C75"/>
    <w:rsid w:val="00186B81"/>
    <w:rsid w:val="0024596B"/>
    <w:rsid w:val="002B7746"/>
    <w:rsid w:val="002F1DCF"/>
    <w:rsid w:val="003B6ED9"/>
    <w:rsid w:val="0047768B"/>
    <w:rsid w:val="00541A19"/>
    <w:rsid w:val="005C6C5C"/>
    <w:rsid w:val="006A109C"/>
    <w:rsid w:val="006C4539"/>
    <w:rsid w:val="00792A96"/>
    <w:rsid w:val="007B2188"/>
    <w:rsid w:val="00822621"/>
    <w:rsid w:val="00860440"/>
    <w:rsid w:val="008D0F9B"/>
    <w:rsid w:val="009D1DE7"/>
    <w:rsid w:val="00B50B2B"/>
    <w:rsid w:val="00C02075"/>
    <w:rsid w:val="00C3254A"/>
    <w:rsid w:val="00E13483"/>
    <w:rsid w:val="00F427B8"/>
    <w:rsid w:val="00F8460C"/>
    <w:rsid w:val="00FB06A4"/>
    <w:rsid w:val="00FC2A28"/>
    <w:rsid w:val="00FE0443"/>
    <w:rsid w:val="00FE5261"/>
    <w:rsid w:val="14655568"/>
    <w:rsid w:val="2EC858CD"/>
    <w:rsid w:val="31B77767"/>
    <w:rsid w:val="43476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A109C"/>
    <w:pPr>
      <w:jc w:val="left"/>
    </w:pPr>
  </w:style>
  <w:style w:type="paragraph" w:styleId="a4">
    <w:name w:val="Balloon Text"/>
    <w:basedOn w:val="a"/>
    <w:link w:val="Char0"/>
    <w:uiPriority w:val="99"/>
    <w:semiHidden/>
    <w:unhideWhenUsed/>
    <w:qFormat/>
    <w:rsid w:val="006A109C"/>
    <w:rPr>
      <w:sz w:val="18"/>
      <w:szCs w:val="18"/>
    </w:rPr>
  </w:style>
  <w:style w:type="paragraph" w:styleId="a5">
    <w:name w:val="footer"/>
    <w:basedOn w:val="a"/>
    <w:link w:val="Char1"/>
    <w:uiPriority w:val="99"/>
    <w:unhideWhenUsed/>
    <w:rsid w:val="006A109C"/>
    <w:pPr>
      <w:tabs>
        <w:tab w:val="center" w:pos="4153"/>
        <w:tab w:val="right" w:pos="8306"/>
      </w:tabs>
      <w:snapToGrid w:val="0"/>
      <w:jc w:val="left"/>
    </w:pPr>
    <w:rPr>
      <w:sz w:val="18"/>
      <w:szCs w:val="18"/>
    </w:rPr>
  </w:style>
  <w:style w:type="paragraph" w:styleId="a6">
    <w:name w:val="header"/>
    <w:basedOn w:val="a"/>
    <w:link w:val="Char2"/>
    <w:uiPriority w:val="99"/>
    <w:unhideWhenUsed/>
    <w:rsid w:val="006A109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A109C"/>
    <w:rPr>
      <w:b/>
      <w:bCs/>
    </w:rPr>
  </w:style>
  <w:style w:type="character" w:styleId="a8">
    <w:name w:val="annotation reference"/>
    <w:basedOn w:val="a0"/>
    <w:uiPriority w:val="99"/>
    <w:semiHidden/>
    <w:unhideWhenUsed/>
    <w:qFormat/>
    <w:rsid w:val="006A109C"/>
    <w:rPr>
      <w:sz w:val="21"/>
      <w:szCs w:val="21"/>
    </w:rPr>
  </w:style>
  <w:style w:type="character" w:customStyle="1" w:styleId="Char2">
    <w:name w:val="页眉 Char"/>
    <w:basedOn w:val="a0"/>
    <w:link w:val="a6"/>
    <w:uiPriority w:val="99"/>
    <w:qFormat/>
    <w:rsid w:val="006A109C"/>
    <w:rPr>
      <w:sz w:val="18"/>
      <w:szCs w:val="18"/>
    </w:rPr>
  </w:style>
  <w:style w:type="character" w:customStyle="1" w:styleId="Char1">
    <w:name w:val="页脚 Char"/>
    <w:basedOn w:val="a0"/>
    <w:link w:val="a5"/>
    <w:uiPriority w:val="99"/>
    <w:qFormat/>
    <w:rsid w:val="006A109C"/>
    <w:rPr>
      <w:sz w:val="18"/>
      <w:szCs w:val="18"/>
    </w:rPr>
  </w:style>
  <w:style w:type="character" w:customStyle="1" w:styleId="Char">
    <w:name w:val="批注文字 Char"/>
    <w:basedOn w:val="a0"/>
    <w:link w:val="a3"/>
    <w:uiPriority w:val="99"/>
    <w:semiHidden/>
    <w:qFormat/>
    <w:rsid w:val="006A109C"/>
  </w:style>
  <w:style w:type="character" w:customStyle="1" w:styleId="Char3">
    <w:name w:val="批注主题 Char"/>
    <w:basedOn w:val="Char"/>
    <w:link w:val="a7"/>
    <w:uiPriority w:val="99"/>
    <w:semiHidden/>
    <w:qFormat/>
    <w:rsid w:val="006A109C"/>
    <w:rPr>
      <w:b/>
      <w:bCs/>
    </w:rPr>
  </w:style>
  <w:style w:type="character" w:customStyle="1" w:styleId="Char0">
    <w:name w:val="批注框文本 Char"/>
    <w:basedOn w:val="a0"/>
    <w:link w:val="a4"/>
    <w:uiPriority w:val="99"/>
    <w:semiHidden/>
    <w:qFormat/>
    <w:rsid w:val="006A109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4</DocSecurity>
  <Lines>1</Lines>
  <Paragraphs>1</Paragraphs>
  <ScaleCrop>false</ScaleCrop>
  <Company>CNSTOCK</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eyJoZGlkIjoiN2UzNTdkMGVlYjZkYTFkNGNjZTcyMTIzMzc5MWVlYTMiLCJ1c2VySWQiOiI2NDg2NTcyNjEifQ==</vt:lpwstr>
  </property>
  <property fmtid="{D5CDD505-2E9C-101B-9397-08002B2CF9AE}" pid="3" name="KSOProductBuildVer">
    <vt:lpwstr>2052-12.1.0.24657</vt:lpwstr>
  </property>
  <property fmtid="{D5CDD505-2E9C-101B-9397-08002B2CF9AE}" pid="4" name="ICV">
    <vt:lpwstr>CC303C5EA674490B909FDCEC8BA2DCF5_13</vt:lpwstr>
  </property>
</Properties>
</file>