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8D" w:rsidRDefault="00F97CEC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关于富国纯债债券型发起式证券投资基金暂停大额申购、转换转入及定期定额投资业务的公告</w:t>
      </w:r>
    </w:p>
    <w:p w:rsidR="0036728D" w:rsidRDefault="0036728D">
      <w:pPr>
        <w:jc w:val="right"/>
        <w:rPr>
          <w:b/>
          <w:color w:val="000000"/>
          <w:sz w:val="30"/>
          <w:szCs w:val="30"/>
        </w:rPr>
      </w:pPr>
    </w:p>
    <w:p w:rsidR="0036728D" w:rsidRDefault="00F97CEC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11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36728D" w:rsidRDefault="0036728D">
      <w:pPr>
        <w:jc w:val="right"/>
        <w:rPr>
          <w:i/>
          <w:sz w:val="28"/>
          <w:szCs w:val="28"/>
        </w:rPr>
      </w:pPr>
    </w:p>
    <w:p w:rsidR="0036728D" w:rsidRDefault="00F97CEC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020"/>
        <w:gridCol w:w="1717"/>
        <w:gridCol w:w="1708"/>
        <w:gridCol w:w="1767"/>
        <w:gridCol w:w="1726"/>
      </w:tblGrid>
      <w:tr w:rsidR="0036728D">
        <w:trPr>
          <w:cantSplit/>
          <w:jc w:val="center"/>
        </w:trPr>
        <w:tc>
          <w:tcPr>
            <w:tcW w:w="3147" w:type="dxa"/>
            <w:gridSpan w:val="2"/>
          </w:tcPr>
          <w:p w:rsidR="0036728D" w:rsidRDefault="00F97CEC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918" w:type="dxa"/>
            <w:gridSpan w:val="4"/>
          </w:tcPr>
          <w:p w:rsidR="0036728D" w:rsidRDefault="00F97CEC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富国纯债债券型发起式证券投资基金</w:t>
            </w:r>
          </w:p>
        </w:tc>
      </w:tr>
      <w:tr w:rsidR="0036728D">
        <w:trPr>
          <w:cantSplit/>
          <w:jc w:val="center"/>
        </w:trPr>
        <w:tc>
          <w:tcPr>
            <w:tcW w:w="3147" w:type="dxa"/>
            <w:gridSpan w:val="2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918" w:type="dxa"/>
            <w:gridSpan w:val="4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</w:p>
        </w:tc>
      </w:tr>
      <w:tr w:rsidR="0036728D">
        <w:trPr>
          <w:cantSplit/>
          <w:jc w:val="center"/>
        </w:trPr>
        <w:tc>
          <w:tcPr>
            <w:tcW w:w="3147" w:type="dxa"/>
            <w:gridSpan w:val="2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918" w:type="dxa"/>
            <w:gridSpan w:val="4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</w:tr>
      <w:tr w:rsidR="0036728D">
        <w:trPr>
          <w:cantSplit/>
          <w:jc w:val="center"/>
        </w:trPr>
        <w:tc>
          <w:tcPr>
            <w:tcW w:w="3147" w:type="dxa"/>
            <w:gridSpan w:val="2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918" w:type="dxa"/>
            <w:gridSpan w:val="4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36728D">
        <w:trPr>
          <w:cantSplit/>
          <w:jc w:val="center"/>
        </w:trPr>
        <w:tc>
          <w:tcPr>
            <w:tcW w:w="3147" w:type="dxa"/>
            <w:gridSpan w:val="2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918" w:type="dxa"/>
            <w:gridSpan w:val="4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《中华人民共和国证券投资基金法》及配套法规、《富国纯债债券型发起式证券投资基金基金合同》、《富国纯债债券型发起式证券投资基金招募说明书》及其更新等</w:t>
            </w:r>
          </w:p>
        </w:tc>
      </w:tr>
      <w:tr w:rsidR="0036728D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36728D" w:rsidRDefault="00F97CE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020" w:type="dxa"/>
          </w:tcPr>
          <w:p w:rsidR="0036728D" w:rsidRDefault="00F97CE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918" w:type="dxa"/>
            <w:gridSpan w:val="4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6728D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36728D" w:rsidRDefault="0036728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0" w:type="dxa"/>
          </w:tcPr>
          <w:p w:rsidR="0036728D" w:rsidRDefault="00F97CE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6918" w:type="dxa"/>
            <w:gridSpan w:val="4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6728D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36728D" w:rsidRDefault="0036728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0" w:type="dxa"/>
          </w:tcPr>
          <w:p w:rsidR="0036728D" w:rsidRDefault="00F97CE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918" w:type="dxa"/>
            <w:gridSpan w:val="4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6728D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36728D" w:rsidRDefault="0036728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0" w:type="dxa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转换转入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</w:t>
            </w:r>
            <w:r>
              <w:rPr>
                <w:rFonts w:hint="eastAsia"/>
                <w:color w:val="000000"/>
                <w:sz w:val="24"/>
              </w:rPr>
              <w:t>业务</w:t>
            </w:r>
            <w:r>
              <w:rPr>
                <w:color w:val="000000"/>
                <w:sz w:val="24"/>
              </w:rPr>
              <w:t>的原因说明</w:t>
            </w:r>
          </w:p>
        </w:tc>
        <w:tc>
          <w:tcPr>
            <w:tcW w:w="6918" w:type="dxa"/>
            <w:gridSpan w:val="4"/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36728D">
        <w:trPr>
          <w:cantSplit/>
          <w:jc w:val="center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bookmarkStart w:id="1" w:name="_Toc275961406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A/B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E</w:t>
            </w:r>
          </w:p>
        </w:tc>
      </w:tr>
      <w:tr w:rsidR="0036728D">
        <w:trPr>
          <w:cantSplit/>
          <w:trHeight w:val="158"/>
          <w:jc w:val="center"/>
        </w:trPr>
        <w:tc>
          <w:tcPr>
            <w:tcW w:w="3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8D" w:rsidRDefault="00F97CEC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前端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8D" w:rsidRDefault="00F97CEC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后端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100068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019191</w:t>
            </w:r>
          </w:p>
        </w:tc>
      </w:tr>
      <w:tr w:rsidR="0036728D">
        <w:trPr>
          <w:cantSplit/>
          <w:trHeight w:val="157"/>
          <w:jc w:val="center"/>
        </w:trPr>
        <w:tc>
          <w:tcPr>
            <w:tcW w:w="3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36728D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100067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36728D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36728D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6728D">
        <w:trPr>
          <w:cantSplit/>
          <w:jc w:val="center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该分级基金是否暂停大额申购、转换转入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定期定额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投资业务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36728D">
        <w:trPr>
          <w:cantSplit/>
          <w:jc w:val="center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下属分级基金的限制申购金额（单位：元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1,000,000.00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1,000,000.00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1,000,000.00</w:t>
            </w:r>
          </w:p>
        </w:tc>
      </w:tr>
      <w:tr w:rsidR="0036728D">
        <w:trPr>
          <w:cantSplit/>
          <w:jc w:val="center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下属分级基金的限制转换转入金额（单位：元）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1,000,000.00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1,000,000.00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1,000,000.00</w:t>
            </w:r>
          </w:p>
        </w:tc>
      </w:tr>
      <w:tr w:rsidR="0036728D">
        <w:trPr>
          <w:cantSplit/>
          <w:jc w:val="center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限制大额定期定额投资（单位：元）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1,000,000.00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1,000,000.00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8D" w:rsidRDefault="00F97CEC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1,000,000.00</w:t>
            </w:r>
          </w:p>
        </w:tc>
      </w:tr>
    </w:tbl>
    <w:p w:rsidR="0036728D" w:rsidRDefault="00F97CEC">
      <w:pPr>
        <w:pStyle w:val="a"/>
      </w:pPr>
      <w:r>
        <w:t>其他需要提示的事项</w:t>
      </w:r>
      <w:bookmarkEnd w:id="1"/>
    </w:p>
    <w:p w:rsidR="0036728D" w:rsidRDefault="00F97CEC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、本基金管理人决定自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12</w:t>
      </w:r>
      <w:r>
        <w:rPr>
          <w:color w:val="000000"/>
          <w:sz w:val="24"/>
        </w:rPr>
        <w:t>日起暂停接受单个基金账户对本基金单个基金份额日累计金额超过</w:t>
      </w:r>
      <w:r>
        <w:rPr>
          <w:color w:val="000000"/>
          <w:sz w:val="24"/>
        </w:rPr>
        <w:t>100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100</w:t>
      </w:r>
      <w:r>
        <w:rPr>
          <w:color w:val="000000"/>
          <w:sz w:val="24"/>
        </w:rPr>
        <w:t>万元）的申购、转换转入及定期定额投资业务申请，如单个基金账户</w:t>
      </w:r>
      <w:r>
        <w:rPr>
          <w:rFonts w:hint="eastAsia"/>
          <w:color w:val="000000"/>
          <w:sz w:val="24"/>
        </w:rPr>
        <w:t>对本基金</w:t>
      </w:r>
      <w:r>
        <w:rPr>
          <w:color w:val="000000"/>
          <w:sz w:val="24"/>
        </w:rPr>
        <w:t>单个基金份额日累计申请金额超过</w:t>
      </w:r>
      <w:r>
        <w:rPr>
          <w:color w:val="000000"/>
          <w:sz w:val="24"/>
        </w:rPr>
        <w:t>100</w:t>
      </w:r>
      <w:bookmarkStart w:id="2" w:name="_GoBack"/>
      <w:bookmarkEnd w:id="2"/>
      <w:r>
        <w:rPr>
          <w:color w:val="000000"/>
          <w:sz w:val="24"/>
        </w:rPr>
        <w:t>万元，则本基金管理人有权拒绝。</w:t>
      </w:r>
    </w:p>
    <w:p w:rsidR="0036728D" w:rsidRDefault="00F97CEC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自</w:t>
      </w:r>
      <w:r>
        <w:rPr>
          <w:rFonts w:hint="eastAsia"/>
          <w:color w:val="000000"/>
          <w:sz w:val="24"/>
        </w:rPr>
        <w:t>2026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日起，</w:t>
      </w:r>
      <w:r>
        <w:rPr>
          <w:color w:val="000000"/>
          <w:sz w:val="24"/>
        </w:rPr>
        <w:t>在暂停本基金大额申购、转换转入及定期定额投资业务期间，本基金单日单个基金账户单个基金份额累计金额</w:t>
      </w:r>
      <w:r>
        <w:rPr>
          <w:color w:val="000000"/>
          <w:sz w:val="24"/>
        </w:rPr>
        <w:t>100</w:t>
      </w:r>
      <w:r>
        <w:rPr>
          <w:color w:val="000000"/>
          <w:sz w:val="24"/>
        </w:rPr>
        <w:t>万元（含</w:t>
      </w:r>
      <w:r>
        <w:rPr>
          <w:color w:val="000000"/>
          <w:sz w:val="24"/>
        </w:rPr>
        <w:t>100</w:t>
      </w:r>
      <w:r>
        <w:rPr>
          <w:color w:val="000000"/>
          <w:sz w:val="24"/>
        </w:rPr>
        <w:t>万元）以下的申购、转换转入及定期定额投资业务以及赎回、转换转出等业务正常办理。</w:t>
      </w:r>
    </w:p>
    <w:p w:rsidR="0036728D" w:rsidRDefault="00F97CEC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、本基金自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24</w:t>
      </w:r>
      <w:r>
        <w:rPr>
          <w:color w:val="000000"/>
          <w:sz w:val="24"/>
        </w:rPr>
        <w:t>日起恢复本基金的大额申购、转换转入及定期定额投资业务，届时基金管理人将不再另行公告。</w:t>
      </w:r>
    </w:p>
    <w:p w:rsidR="0036728D" w:rsidRDefault="00F97CEC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36728D" w:rsidRDefault="00F97CEC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36728D" w:rsidRDefault="00F97CEC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36728D" w:rsidRDefault="00F97CEC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</w:t>
      </w:r>
      <w:r>
        <w:rPr>
          <w:rFonts w:ascii="宋体" w:hAnsi="宋体" w:hint="eastAsia"/>
          <w:color w:val="000000"/>
          <w:kern w:val="0"/>
          <w:sz w:val="24"/>
        </w:rPr>
        <w:t>金管理有限公司</w:t>
      </w:r>
    </w:p>
    <w:p w:rsidR="0036728D" w:rsidRDefault="00F97CEC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11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36728D" w:rsidSect="0036728D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attachedTemplate r:id="rId1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D94"/>
    <w:rsid w:val="00055E93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3006F6"/>
    <w:rsid w:val="003250BC"/>
    <w:rsid w:val="0033773A"/>
    <w:rsid w:val="00340BC0"/>
    <w:rsid w:val="00363752"/>
    <w:rsid w:val="00365403"/>
    <w:rsid w:val="0036728D"/>
    <w:rsid w:val="003673E9"/>
    <w:rsid w:val="00370B6E"/>
    <w:rsid w:val="00387F42"/>
    <w:rsid w:val="00391684"/>
    <w:rsid w:val="003B74CD"/>
    <w:rsid w:val="003C2515"/>
    <w:rsid w:val="003C41E4"/>
    <w:rsid w:val="003F07FE"/>
    <w:rsid w:val="003F12E1"/>
    <w:rsid w:val="00416857"/>
    <w:rsid w:val="00424BC6"/>
    <w:rsid w:val="0046512C"/>
    <w:rsid w:val="00482A8B"/>
    <w:rsid w:val="00492A32"/>
    <w:rsid w:val="004A694F"/>
    <w:rsid w:val="004B10FE"/>
    <w:rsid w:val="004D08A0"/>
    <w:rsid w:val="004F696C"/>
    <w:rsid w:val="00507A11"/>
    <w:rsid w:val="00513F60"/>
    <w:rsid w:val="0051530D"/>
    <w:rsid w:val="00537D6D"/>
    <w:rsid w:val="00544911"/>
    <w:rsid w:val="00583FB4"/>
    <w:rsid w:val="005A00CB"/>
    <w:rsid w:val="005A16E0"/>
    <w:rsid w:val="005A6FFF"/>
    <w:rsid w:val="005E24C4"/>
    <w:rsid w:val="0061070B"/>
    <w:rsid w:val="0061664E"/>
    <w:rsid w:val="006276AF"/>
    <w:rsid w:val="00627E9A"/>
    <w:rsid w:val="00641DD8"/>
    <w:rsid w:val="006462FC"/>
    <w:rsid w:val="00662818"/>
    <w:rsid w:val="00676DFD"/>
    <w:rsid w:val="00684475"/>
    <w:rsid w:val="00684853"/>
    <w:rsid w:val="006D3B75"/>
    <w:rsid w:val="00716B5E"/>
    <w:rsid w:val="00752807"/>
    <w:rsid w:val="00763987"/>
    <w:rsid w:val="007640F1"/>
    <w:rsid w:val="007661A5"/>
    <w:rsid w:val="007929AB"/>
    <w:rsid w:val="00796044"/>
    <w:rsid w:val="007A3AF2"/>
    <w:rsid w:val="007A4B62"/>
    <w:rsid w:val="007E2B84"/>
    <w:rsid w:val="007F453D"/>
    <w:rsid w:val="008162FD"/>
    <w:rsid w:val="0083283D"/>
    <w:rsid w:val="008356C2"/>
    <w:rsid w:val="00836563"/>
    <w:rsid w:val="00847A71"/>
    <w:rsid w:val="00872ACE"/>
    <w:rsid w:val="00877069"/>
    <w:rsid w:val="0089500E"/>
    <w:rsid w:val="009269A3"/>
    <w:rsid w:val="00932CA8"/>
    <w:rsid w:val="009413D9"/>
    <w:rsid w:val="009572BF"/>
    <w:rsid w:val="00961000"/>
    <w:rsid w:val="009862C8"/>
    <w:rsid w:val="009864A7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828F9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A5A48"/>
    <w:rsid w:val="00CC199B"/>
    <w:rsid w:val="00CF309F"/>
    <w:rsid w:val="00D3544B"/>
    <w:rsid w:val="00D7653E"/>
    <w:rsid w:val="00D76BCA"/>
    <w:rsid w:val="00D91D63"/>
    <w:rsid w:val="00D9785E"/>
    <w:rsid w:val="00DC1C3B"/>
    <w:rsid w:val="00DD68C9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46B02"/>
    <w:rsid w:val="00F70607"/>
    <w:rsid w:val="00F92AE4"/>
    <w:rsid w:val="00F93F60"/>
    <w:rsid w:val="00F961C1"/>
    <w:rsid w:val="00F97CEC"/>
    <w:rsid w:val="00FB797F"/>
    <w:rsid w:val="00FD2AE2"/>
    <w:rsid w:val="36383CB6"/>
    <w:rsid w:val="656D2366"/>
    <w:rsid w:val="781D1020"/>
    <w:rsid w:val="7E31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footnote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672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36728D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36728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36728D"/>
    <w:pPr>
      <w:shd w:val="clear" w:color="auto" w:fill="000080"/>
    </w:pPr>
  </w:style>
  <w:style w:type="paragraph" w:styleId="3">
    <w:name w:val="toc 3"/>
    <w:next w:val="a0"/>
    <w:uiPriority w:val="39"/>
    <w:unhideWhenUsed/>
    <w:qFormat/>
    <w:rsid w:val="0036728D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36728D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qFormat/>
    <w:rsid w:val="00367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rsid w:val="00367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36728D"/>
    <w:pPr>
      <w:spacing w:after="100"/>
    </w:pPr>
  </w:style>
  <w:style w:type="paragraph" w:styleId="4">
    <w:name w:val="toc 4"/>
    <w:next w:val="a0"/>
    <w:uiPriority w:val="39"/>
    <w:unhideWhenUsed/>
    <w:rsid w:val="0036728D"/>
    <w:pPr>
      <w:spacing w:after="100"/>
      <w:ind w:left="660"/>
    </w:pPr>
  </w:style>
  <w:style w:type="paragraph" w:styleId="a8">
    <w:name w:val="footnote text"/>
    <w:basedOn w:val="a0"/>
    <w:qFormat/>
    <w:rsid w:val="0036728D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36728D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36728D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36728D"/>
    <w:rPr>
      <w:color w:val="0563C1" w:themeColor="hyperlink"/>
      <w:u w:val="single"/>
    </w:rPr>
  </w:style>
  <w:style w:type="character" w:styleId="aa">
    <w:name w:val="footnote reference"/>
    <w:rsid w:val="0036728D"/>
    <w:rPr>
      <w:vertAlign w:val="superscript"/>
    </w:rPr>
  </w:style>
  <w:style w:type="paragraph" w:customStyle="1" w:styleId="Char3">
    <w:name w:val="Char"/>
    <w:basedOn w:val="a0"/>
    <w:qFormat/>
    <w:rsid w:val="0036728D"/>
  </w:style>
  <w:style w:type="character" w:customStyle="1" w:styleId="Char1">
    <w:name w:val="页眉 Char"/>
    <w:link w:val="a7"/>
    <w:qFormat/>
    <w:rsid w:val="0036728D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36728D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36728D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36728D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36728D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367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182</Words>
  <Characters>1042</Characters>
  <Application>Microsoft Office Word</Application>
  <DocSecurity>4</DocSecurity>
  <Lines>8</Lines>
  <Paragraphs>2</Paragraphs>
  <ScaleCrop>false</ScaleCrop>
  <Company>fullgoal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2026-02-10T16:02:00Z</dcterms:created>
  <dcterms:modified xsi:type="dcterms:W3CDTF">2026-02-10T16:02:00Z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70BF36AB6D94495B8566E40EE16F8C6A_13</vt:lpwstr>
  </property>
</Properties>
</file>