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0B3" w:rsidRDefault="00EB60B3">
      <w:pPr>
        <w:snapToGrid w:val="0"/>
        <w:spacing w:line="360" w:lineRule="auto"/>
        <w:rPr>
          <w:rFonts w:ascii="宋体" w:hAnsi="宋体"/>
          <w:sz w:val="24"/>
          <w:lang w:eastAsia="zh-CN"/>
        </w:rPr>
      </w:pPr>
    </w:p>
    <w:p w:rsidR="00EB60B3" w:rsidRDefault="009B1158">
      <w:pPr>
        <w:snapToGrid w:val="0"/>
        <w:spacing w:line="360" w:lineRule="auto"/>
        <w:jc w:val="center"/>
        <w:rPr>
          <w:rFonts w:ascii="黑体" w:eastAsia="黑体" w:hAnsi="黑体"/>
          <w:b/>
          <w:kern w:val="2"/>
          <w:sz w:val="32"/>
          <w:szCs w:val="32"/>
          <w:lang w:eastAsia="zh-CN"/>
        </w:rPr>
      </w:pPr>
      <w:r>
        <w:rPr>
          <w:rFonts w:ascii="黑体" w:eastAsia="黑体" w:hAnsi="黑体" w:hint="eastAsia"/>
          <w:b/>
          <w:kern w:val="2"/>
          <w:sz w:val="32"/>
          <w:szCs w:val="32"/>
          <w:lang w:eastAsia="zh-CN"/>
        </w:rPr>
        <w:t>关于富国国证石油天然气交易型开放式指数证券投资基金</w:t>
      </w:r>
    </w:p>
    <w:p w:rsidR="00EB60B3" w:rsidRDefault="009B1158">
      <w:pPr>
        <w:snapToGrid w:val="0"/>
        <w:spacing w:line="360" w:lineRule="auto"/>
        <w:jc w:val="center"/>
        <w:rPr>
          <w:rFonts w:ascii="黑体" w:eastAsia="黑体" w:hAnsi="黑体"/>
          <w:b/>
          <w:kern w:val="2"/>
          <w:sz w:val="32"/>
          <w:szCs w:val="32"/>
          <w:lang w:eastAsia="zh-CN"/>
        </w:rPr>
      </w:pPr>
      <w:r>
        <w:rPr>
          <w:rFonts w:ascii="黑体" w:eastAsia="黑体" w:hAnsi="黑体" w:hint="eastAsia"/>
          <w:b/>
          <w:kern w:val="2"/>
          <w:sz w:val="32"/>
          <w:szCs w:val="32"/>
          <w:lang w:eastAsia="zh-CN"/>
        </w:rPr>
        <w:t>上市交易提示性公告</w:t>
      </w:r>
    </w:p>
    <w:p w:rsidR="00EB60B3" w:rsidRDefault="00EB60B3">
      <w:pPr>
        <w:pStyle w:val="3"/>
        <w:snapToGrid w:val="0"/>
        <w:spacing w:line="360" w:lineRule="auto"/>
        <w:ind w:left="0"/>
        <w:rPr>
          <w:rFonts w:ascii="宋体" w:eastAsia="宋体"/>
          <w:color w:val="000000"/>
          <w:kern w:val="2"/>
          <w:szCs w:val="24"/>
          <w:lang w:eastAsia="zh-CN"/>
        </w:rPr>
      </w:pPr>
    </w:p>
    <w:p w:rsidR="00EB60B3" w:rsidRDefault="009B1158">
      <w:pPr>
        <w:widowControl w:val="0"/>
        <w:spacing w:line="360" w:lineRule="auto"/>
        <w:ind w:firstLineChars="200" w:firstLine="480"/>
        <w:jc w:val="both"/>
        <w:rPr>
          <w:kern w:val="2"/>
          <w:sz w:val="24"/>
          <w:szCs w:val="24"/>
          <w:lang w:eastAsia="zh-CN"/>
        </w:rPr>
      </w:pPr>
      <w:r>
        <w:rPr>
          <w:rFonts w:hint="eastAsia"/>
          <w:kern w:val="2"/>
          <w:sz w:val="24"/>
          <w:szCs w:val="24"/>
          <w:lang w:eastAsia="zh-CN"/>
        </w:rPr>
        <w:t>富国国证石油天然气交易型开放式指数证券投资基金（以下简称“本基金”）于</w:t>
      </w:r>
      <w:r>
        <w:rPr>
          <w:rFonts w:hint="eastAsia"/>
          <w:kern w:val="2"/>
          <w:sz w:val="24"/>
          <w:szCs w:val="24"/>
          <w:lang w:eastAsia="zh-CN"/>
        </w:rPr>
        <w:t>2026</w:t>
      </w:r>
      <w:r>
        <w:rPr>
          <w:rFonts w:hint="eastAsia"/>
          <w:kern w:val="2"/>
          <w:sz w:val="24"/>
          <w:szCs w:val="24"/>
          <w:lang w:eastAsia="zh-CN"/>
        </w:rPr>
        <w:t>年</w:t>
      </w:r>
      <w:r>
        <w:rPr>
          <w:kern w:val="2"/>
          <w:sz w:val="24"/>
          <w:szCs w:val="24"/>
          <w:lang w:eastAsia="zh-CN"/>
        </w:rPr>
        <w:t>2</w:t>
      </w:r>
      <w:r>
        <w:rPr>
          <w:rFonts w:hint="eastAsia"/>
          <w:kern w:val="2"/>
          <w:sz w:val="24"/>
          <w:szCs w:val="24"/>
          <w:lang w:eastAsia="zh-CN"/>
        </w:rPr>
        <w:t>月</w:t>
      </w:r>
      <w:r>
        <w:rPr>
          <w:kern w:val="2"/>
          <w:sz w:val="24"/>
          <w:szCs w:val="24"/>
          <w:lang w:eastAsia="zh-CN"/>
        </w:rPr>
        <w:t>11</w:t>
      </w:r>
      <w:r>
        <w:rPr>
          <w:rFonts w:hint="eastAsia"/>
          <w:kern w:val="2"/>
          <w:sz w:val="24"/>
          <w:szCs w:val="24"/>
          <w:lang w:eastAsia="zh-CN"/>
        </w:rPr>
        <w:t>日开始在深圳证券交易所上市交易，场内简称：油气</w:t>
      </w:r>
      <w:r>
        <w:rPr>
          <w:rFonts w:hint="eastAsia"/>
          <w:kern w:val="2"/>
          <w:sz w:val="24"/>
          <w:szCs w:val="24"/>
          <w:lang w:eastAsia="zh-CN"/>
        </w:rPr>
        <w:t>ETF</w:t>
      </w:r>
      <w:r>
        <w:rPr>
          <w:rFonts w:hint="eastAsia"/>
          <w:kern w:val="2"/>
          <w:sz w:val="24"/>
          <w:szCs w:val="24"/>
          <w:lang w:eastAsia="zh-CN"/>
        </w:rPr>
        <w:t>富国，代码：</w:t>
      </w:r>
      <w:r>
        <w:rPr>
          <w:kern w:val="2"/>
          <w:sz w:val="24"/>
          <w:szCs w:val="24"/>
          <w:lang w:eastAsia="zh-CN"/>
        </w:rPr>
        <w:t>159148</w:t>
      </w:r>
      <w:r>
        <w:rPr>
          <w:rFonts w:hint="eastAsia"/>
          <w:kern w:val="2"/>
          <w:sz w:val="24"/>
          <w:szCs w:val="24"/>
          <w:lang w:eastAsia="zh-CN"/>
        </w:rPr>
        <w:t>。上市首日以该</w:t>
      </w:r>
      <w:bookmarkStart w:id="0" w:name="_GoBack"/>
      <w:bookmarkEnd w:id="0"/>
      <w:r>
        <w:rPr>
          <w:rFonts w:hint="eastAsia"/>
          <w:kern w:val="2"/>
          <w:sz w:val="24"/>
          <w:szCs w:val="24"/>
          <w:lang w:eastAsia="zh-CN"/>
        </w:rPr>
        <w:t>基金份额参考净值</w:t>
      </w:r>
      <w:r>
        <w:rPr>
          <w:rFonts w:hint="eastAsia"/>
          <w:kern w:val="2"/>
          <w:sz w:val="24"/>
          <w:szCs w:val="24"/>
          <w:lang w:eastAsia="zh-CN"/>
        </w:rPr>
        <w:t>1.005</w:t>
      </w:r>
      <w:r>
        <w:rPr>
          <w:rFonts w:hint="eastAsia"/>
          <w:kern w:val="2"/>
          <w:sz w:val="24"/>
          <w:szCs w:val="24"/>
          <w:lang w:eastAsia="zh-CN"/>
        </w:rPr>
        <w:t>元为开盘参考价。</w:t>
      </w:r>
    </w:p>
    <w:p w:rsidR="00EB60B3" w:rsidRDefault="009B1158">
      <w:pPr>
        <w:widowControl w:val="0"/>
        <w:spacing w:line="360" w:lineRule="auto"/>
        <w:ind w:firstLineChars="200" w:firstLine="480"/>
        <w:jc w:val="both"/>
        <w:rPr>
          <w:kern w:val="2"/>
          <w:sz w:val="24"/>
          <w:szCs w:val="24"/>
          <w:lang w:eastAsia="zh-CN"/>
        </w:rPr>
      </w:pPr>
      <w:r>
        <w:rPr>
          <w:rFonts w:hint="eastAsia"/>
          <w:kern w:val="2"/>
          <w:sz w:val="24"/>
          <w:szCs w:val="24"/>
          <w:lang w:eastAsia="zh-CN"/>
        </w:rPr>
        <w:t>截至</w:t>
      </w:r>
      <w:r>
        <w:rPr>
          <w:rFonts w:hint="eastAsia"/>
          <w:kern w:val="2"/>
          <w:sz w:val="24"/>
          <w:szCs w:val="24"/>
          <w:lang w:eastAsia="zh-CN"/>
        </w:rPr>
        <w:t>2026</w:t>
      </w:r>
      <w:r>
        <w:rPr>
          <w:rFonts w:hint="eastAsia"/>
          <w:kern w:val="2"/>
          <w:sz w:val="24"/>
          <w:szCs w:val="24"/>
          <w:lang w:eastAsia="zh-CN"/>
        </w:rPr>
        <w:t>年</w:t>
      </w:r>
      <w:r>
        <w:rPr>
          <w:kern w:val="2"/>
          <w:sz w:val="24"/>
          <w:szCs w:val="24"/>
          <w:lang w:eastAsia="zh-CN"/>
        </w:rPr>
        <w:t>2</w:t>
      </w:r>
      <w:r>
        <w:rPr>
          <w:rFonts w:hint="eastAsia"/>
          <w:kern w:val="2"/>
          <w:sz w:val="24"/>
          <w:szCs w:val="24"/>
          <w:lang w:eastAsia="zh-CN"/>
        </w:rPr>
        <w:t>月</w:t>
      </w:r>
      <w:r>
        <w:rPr>
          <w:kern w:val="2"/>
          <w:sz w:val="24"/>
          <w:szCs w:val="24"/>
          <w:lang w:eastAsia="zh-CN"/>
        </w:rPr>
        <w:t>10</w:t>
      </w:r>
      <w:r>
        <w:rPr>
          <w:rFonts w:hint="eastAsia"/>
          <w:kern w:val="2"/>
          <w:sz w:val="24"/>
          <w:szCs w:val="24"/>
          <w:lang w:eastAsia="zh-CN"/>
        </w:rPr>
        <w:t>日，本基金投资于标的指数成份股和备选成份股的资产比例为基金资产净值的</w:t>
      </w:r>
      <w:r>
        <w:rPr>
          <w:rFonts w:hint="eastAsia"/>
          <w:kern w:val="2"/>
          <w:sz w:val="24"/>
          <w:szCs w:val="24"/>
          <w:lang w:eastAsia="zh-CN"/>
        </w:rPr>
        <w:t>99.75</w:t>
      </w:r>
      <w:r>
        <w:rPr>
          <w:kern w:val="2"/>
          <w:sz w:val="24"/>
          <w:szCs w:val="24"/>
          <w:lang w:eastAsia="zh-CN"/>
        </w:rPr>
        <w:t>%</w:t>
      </w:r>
      <w:r>
        <w:rPr>
          <w:rFonts w:hint="eastAsia"/>
          <w:kern w:val="2"/>
          <w:sz w:val="24"/>
          <w:szCs w:val="24"/>
          <w:lang w:eastAsia="zh-CN"/>
        </w:rPr>
        <w:t>，投资组合比例符合有关法律法规、部门规章、规范性文件的规定和基金合同的有关约定。</w:t>
      </w:r>
    </w:p>
    <w:p w:rsidR="00EB60B3" w:rsidRDefault="009B1158">
      <w:pPr>
        <w:widowControl w:val="0"/>
        <w:spacing w:line="360" w:lineRule="auto"/>
        <w:ind w:firstLineChars="200" w:firstLine="480"/>
        <w:jc w:val="both"/>
        <w:rPr>
          <w:kern w:val="2"/>
          <w:sz w:val="24"/>
          <w:szCs w:val="24"/>
          <w:lang w:eastAsia="zh-CN"/>
        </w:rPr>
      </w:pPr>
      <w:r>
        <w:rPr>
          <w:rFonts w:hint="eastAsia"/>
          <w:kern w:val="2"/>
          <w:sz w:val="24"/>
          <w:szCs w:val="24"/>
          <w:lang w:eastAsia="zh-CN"/>
        </w:rPr>
        <w:t>投资者可拨打基金管理人客户服务电话</w:t>
      </w:r>
      <w:r>
        <w:rPr>
          <w:rFonts w:hint="eastAsia"/>
          <w:kern w:val="2"/>
          <w:sz w:val="24"/>
          <w:szCs w:val="24"/>
          <w:lang w:eastAsia="zh-CN"/>
        </w:rPr>
        <w:t>95105686</w:t>
      </w:r>
      <w:r>
        <w:rPr>
          <w:rFonts w:hint="eastAsia"/>
          <w:kern w:val="2"/>
          <w:sz w:val="24"/>
          <w:szCs w:val="24"/>
          <w:lang w:eastAsia="zh-CN"/>
        </w:rPr>
        <w:t>、</w:t>
      </w:r>
      <w:r>
        <w:rPr>
          <w:rFonts w:hint="eastAsia"/>
          <w:kern w:val="2"/>
          <w:sz w:val="24"/>
          <w:szCs w:val="24"/>
          <w:lang w:eastAsia="zh-CN"/>
        </w:rPr>
        <w:t>4008880688</w:t>
      </w:r>
      <w:r>
        <w:rPr>
          <w:rFonts w:hint="eastAsia"/>
          <w:kern w:val="2"/>
          <w:sz w:val="24"/>
          <w:szCs w:val="24"/>
          <w:lang w:eastAsia="zh-CN"/>
        </w:rPr>
        <w:t>（全国统一，均免长途费）或登录网站</w:t>
      </w:r>
      <w:r>
        <w:rPr>
          <w:rFonts w:hint="eastAsia"/>
          <w:kern w:val="2"/>
          <w:sz w:val="24"/>
          <w:szCs w:val="24"/>
          <w:lang w:eastAsia="zh-CN"/>
        </w:rPr>
        <w:t>www.fullgoal.com.cn</w:t>
      </w:r>
      <w:r>
        <w:rPr>
          <w:rFonts w:hint="eastAsia"/>
          <w:kern w:val="2"/>
          <w:sz w:val="24"/>
          <w:szCs w:val="24"/>
          <w:lang w:eastAsia="zh-CN"/>
        </w:rPr>
        <w:t>咨询、了解相关情况。</w:t>
      </w:r>
    </w:p>
    <w:p w:rsidR="00EB60B3" w:rsidRDefault="009B1158">
      <w:pPr>
        <w:widowControl w:val="0"/>
        <w:spacing w:line="360" w:lineRule="auto"/>
        <w:ind w:firstLineChars="200" w:firstLine="480"/>
        <w:jc w:val="both"/>
        <w:rPr>
          <w:kern w:val="2"/>
          <w:sz w:val="24"/>
          <w:szCs w:val="24"/>
          <w:lang w:eastAsia="zh-CN"/>
        </w:rPr>
      </w:pPr>
      <w:r>
        <w:rPr>
          <w:rFonts w:hint="eastAsia"/>
          <w:kern w:val="2"/>
          <w:sz w:val="24"/>
          <w:szCs w:val="24"/>
          <w:lang w:eastAsia="zh-CN"/>
        </w:rPr>
        <w:t>风险提示：基金管理人承诺以诚实信用、勤勉尽责的原则管理和运用基金资产，但不保证基金一定盈利，也不保证最低收益。投资者投资于本基金前应认真阅读本基金的基金合同、招募说明书和基金产品资料概要等基金法律文件，了解基金的风险收益特征，并根据自身的风险承受能力选择适合自己的基金产品。基金管理人提醒投资者基金投资的“买者自负”原则，在做出投资决策后，基金运</w:t>
      </w:r>
      <w:r>
        <w:rPr>
          <w:rFonts w:hint="eastAsia"/>
          <w:kern w:val="2"/>
          <w:sz w:val="24"/>
          <w:szCs w:val="24"/>
          <w:lang w:eastAsia="zh-CN"/>
        </w:rPr>
        <w:t>营状况与基金净值变化引致的投资风险，由投资者自行负担。</w:t>
      </w:r>
    </w:p>
    <w:p w:rsidR="00EB60B3" w:rsidRDefault="009B1158">
      <w:pPr>
        <w:widowControl w:val="0"/>
        <w:spacing w:line="360" w:lineRule="auto"/>
        <w:ind w:firstLineChars="200" w:firstLine="480"/>
        <w:jc w:val="both"/>
        <w:rPr>
          <w:kern w:val="2"/>
          <w:sz w:val="24"/>
          <w:szCs w:val="24"/>
          <w:lang w:eastAsia="zh-CN"/>
        </w:rPr>
      </w:pPr>
      <w:r>
        <w:rPr>
          <w:rFonts w:hint="eastAsia"/>
          <w:kern w:val="2"/>
          <w:sz w:val="24"/>
          <w:szCs w:val="24"/>
          <w:lang w:eastAsia="zh-CN"/>
        </w:rPr>
        <w:t>特此公告。</w:t>
      </w:r>
    </w:p>
    <w:p w:rsidR="00EB60B3" w:rsidRDefault="00EB60B3">
      <w:pPr>
        <w:widowControl w:val="0"/>
        <w:spacing w:line="360" w:lineRule="auto"/>
        <w:ind w:firstLineChars="200" w:firstLine="480"/>
        <w:jc w:val="both"/>
        <w:rPr>
          <w:kern w:val="2"/>
          <w:sz w:val="24"/>
          <w:szCs w:val="24"/>
          <w:lang w:eastAsia="zh-CN"/>
        </w:rPr>
      </w:pPr>
    </w:p>
    <w:p w:rsidR="00EB60B3" w:rsidRDefault="00EB60B3">
      <w:pPr>
        <w:widowControl w:val="0"/>
        <w:spacing w:line="360" w:lineRule="auto"/>
        <w:ind w:firstLineChars="200" w:firstLine="480"/>
        <w:jc w:val="both"/>
        <w:rPr>
          <w:kern w:val="2"/>
          <w:sz w:val="24"/>
          <w:szCs w:val="24"/>
          <w:lang w:eastAsia="zh-CN"/>
        </w:rPr>
      </w:pPr>
    </w:p>
    <w:p w:rsidR="00EB60B3" w:rsidRDefault="00EB60B3">
      <w:pPr>
        <w:widowControl w:val="0"/>
        <w:spacing w:line="360" w:lineRule="auto"/>
        <w:ind w:firstLineChars="200" w:firstLine="480"/>
        <w:jc w:val="both"/>
        <w:rPr>
          <w:kern w:val="2"/>
          <w:sz w:val="24"/>
          <w:szCs w:val="24"/>
          <w:lang w:eastAsia="zh-CN"/>
        </w:rPr>
      </w:pPr>
    </w:p>
    <w:p w:rsidR="00EB60B3" w:rsidRDefault="00EB60B3">
      <w:pPr>
        <w:widowControl w:val="0"/>
        <w:spacing w:line="360" w:lineRule="auto"/>
        <w:ind w:firstLineChars="200" w:firstLine="480"/>
        <w:jc w:val="right"/>
        <w:rPr>
          <w:kern w:val="2"/>
          <w:sz w:val="24"/>
          <w:szCs w:val="24"/>
          <w:lang w:eastAsia="zh-CN"/>
        </w:rPr>
      </w:pPr>
    </w:p>
    <w:p w:rsidR="00EB60B3" w:rsidRDefault="009B1158">
      <w:pPr>
        <w:widowControl w:val="0"/>
        <w:spacing w:line="360" w:lineRule="auto"/>
        <w:ind w:firstLineChars="200" w:firstLine="480"/>
        <w:jc w:val="right"/>
        <w:rPr>
          <w:kern w:val="2"/>
          <w:sz w:val="24"/>
          <w:szCs w:val="24"/>
          <w:lang w:eastAsia="zh-CN"/>
        </w:rPr>
      </w:pPr>
      <w:r>
        <w:rPr>
          <w:rFonts w:hint="eastAsia"/>
          <w:kern w:val="2"/>
          <w:sz w:val="24"/>
          <w:szCs w:val="24"/>
          <w:lang w:eastAsia="zh-CN"/>
        </w:rPr>
        <w:t>富国基金管理有限公司</w:t>
      </w:r>
    </w:p>
    <w:p w:rsidR="00EB60B3" w:rsidRDefault="009B1158">
      <w:pPr>
        <w:widowControl w:val="0"/>
        <w:spacing w:line="360" w:lineRule="auto"/>
        <w:ind w:right="240" w:firstLineChars="200" w:firstLine="480"/>
        <w:jc w:val="right"/>
        <w:rPr>
          <w:lang w:eastAsia="zh-CN"/>
        </w:rPr>
      </w:pPr>
      <w:r>
        <w:rPr>
          <w:rFonts w:hint="eastAsia"/>
          <w:kern w:val="2"/>
          <w:sz w:val="24"/>
          <w:szCs w:val="24"/>
          <w:lang w:eastAsia="zh-CN"/>
        </w:rPr>
        <w:t>2026</w:t>
      </w:r>
      <w:r>
        <w:rPr>
          <w:rFonts w:hint="eastAsia"/>
          <w:kern w:val="2"/>
          <w:sz w:val="24"/>
          <w:szCs w:val="24"/>
          <w:lang w:eastAsia="zh-CN"/>
        </w:rPr>
        <w:t>年</w:t>
      </w:r>
      <w:r>
        <w:rPr>
          <w:kern w:val="2"/>
          <w:sz w:val="24"/>
          <w:szCs w:val="24"/>
          <w:lang w:eastAsia="zh-CN"/>
        </w:rPr>
        <w:t>2</w:t>
      </w:r>
      <w:r>
        <w:rPr>
          <w:rFonts w:hint="eastAsia"/>
          <w:kern w:val="2"/>
          <w:sz w:val="24"/>
          <w:szCs w:val="24"/>
          <w:lang w:eastAsia="zh-CN"/>
        </w:rPr>
        <w:t>月</w:t>
      </w:r>
      <w:r>
        <w:rPr>
          <w:kern w:val="2"/>
          <w:sz w:val="24"/>
          <w:szCs w:val="24"/>
          <w:lang w:eastAsia="zh-CN"/>
        </w:rPr>
        <w:t>11</w:t>
      </w:r>
      <w:r>
        <w:rPr>
          <w:rFonts w:hint="eastAsia"/>
          <w:kern w:val="2"/>
          <w:sz w:val="24"/>
          <w:szCs w:val="24"/>
          <w:lang w:eastAsia="zh-CN"/>
        </w:rPr>
        <w:t>日</w:t>
      </w:r>
    </w:p>
    <w:sectPr w:rsidR="00EB60B3" w:rsidSect="00EB60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35B4"/>
    <w:rsid w:val="00081A0A"/>
    <w:rsid w:val="000D2070"/>
    <w:rsid w:val="00103C91"/>
    <w:rsid w:val="001725F4"/>
    <w:rsid w:val="00326BB4"/>
    <w:rsid w:val="00334EC4"/>
    <w:rsid w:val="003425EF"/>
    <w:rsid w:val="00377D55"/>
    <w:rsid w:val="00382C28"/>
    <w:rsid w:val="00455342"/>
    <w:rsid w:val="00461ACC"/>
    <w:rsid w:val="00470CE3"/>
    <w:rsid w:val="004D354B"/>
    <w:rsid w:val="004E4CA0"/>
    <w:rsid w:val="004E65E2"/>
    <w:rsid w:val="00535637"/>
    <w:rsid w:val="00566E62"/>
    <w:rsid w:val="005B542E"/>
    <w:rsid w:val="005D543E"/>
    <w:rsid w:val="006B0904"/>
    <w:rsid w:val="006C7029"/>
    <w:rsid w:val="00701276"/>
    <w:rsid w:val="00713566"/>
    <w:rsid w:val="00772BDF"/>
    <w:rsid w:val="008935B4"/>
    <w:rsid w:val="008B6BB1"/>
    <w:rsid w:val="008D6657"/>
    <w:rsid w:val="00952987"/>
    <w:rsid w:val="00954598"/>
    <w:rsid w:val="00963F65"/>
    <w:rsid w:val="009B1158"/>
    <w:rsid w:val="009F3AC0"/>
    <w:rsid w:val="00A11B6C"/>
    <w:rsid w:val="00AB5C48"/>
    <w:rsid w:val="00B10F4E"/>
    <w:rsid w:val="00B4204F"/>
    <w:rsid w:val="00B735E5"/>
    <w:rsid w:val="00B74490"/>
    <w:rsid w:val="00BE4000"/>
    <w:rsid w:val="00C1710F"/>
    <w:rsid w:val="00C564DD"/>
    <w:rsid w:val="00D1799F"/>
    <w:rsid w:val="00D22CAA"/>
    <w:rsid w:val="00D57CEF"/>
    <w:rsid w:val="00D61092"/>
    <w:rsid w:val="00D80D2B"/>
    <w:rsid w:val="00D82751"/>
    <w:rsid w:val="00DA1FDB"/>
    <w:rsid w:val="00DA554C"/>
    <w:rsid w:val="00E06CCB"/>
    <w:rsid w:val="00E57C6F"/>
    <w:rsid w:val="00E641FE"/>
    <w:rsid w:val="00E810BE"/>
    <w:rsid w:val="00EB60B3"/>
    <w:rsid w:val="00EC617B"/>
    <w:rsid w:val="00F20DC5"/>
    <w:rsid w:val="00F660AC"/>
    <w:rsid w:val="00FC33ED"/>
    <w:rsid w:val="01947F57"/>
    <w:rsid w:val="098E49BA"/>
    <w:rsid w:val="0F9752BE"/>
    <w:rsid w:val="12FC6B08"/>
    <w:rsid w:val="17200058"/>
    <w:rsid w:val="17A32E55"/>
    <w:rsid w:val="18C06342"/>
    <w:rsid w:val="1B26001E"/>
    <w:rsid w:val="1BF63976"/>
    <w:rsid w:val="1E237A2D"/>
    <w:rsid w:val="2004597C"/>
    <w:rsid w:val="227B5069"/>
    <w:rsid w:val="24A749F5"/>
    <w:rsid w:val="27AB50DE"/>
    <w:rsid w:val="2A041DB3"/>
    <w:rsid w:val="2C687534"/>
    <w:rsid w:val="2E3D1E67"/>
    <w:rsid w:val="3699242F"/>
    <w:rsid w:val="36AB62EF"/>
    <w:rsid w:val="388F6A1E"/>
    <w:rsid w:val="3CEE0102"/>
    <w:rsid w:val="3D21172B"/>
    <w:rsid w:val="4EF262B9"/>
    <w:rsid w:val="51802D42"/>
    <w:rsid w:val="51AE36FC"/>
    <w:rsid w:val="5B5435EC"/>
    <w:rsid w:val="5B6D2E27"/>
    <w:rsid w:val="60423F48"/>
    <w:rsid w:val="61EC41BB"/>
    <w:rsid w:val="67F02D02"/>
    <w:rsid w:val="6A623F1D"/>
    <w:rsid w:val="6CC509FF"/>
    <w:rsid w:val="6E6C7AB6"/>
    <w:rsid w:val="73222C76"/>
    <w:rsid w:val="73EB5C31"/>
    <w:rsid w:val="77A24FB9"/>
    <w:rsid w:val="7B6239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0B3"/>
    <w:rPr>
      <w:rFonts w:ascii="Times New Roman" w:eastAsia="楷体_GB2312" w:hAnsi="Times New Roman" w:cs="Times New Roman"/>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B60B3"/>
  </w:style>
  <w:style w:type="paragraph" w:styleId="3">
    <w:name w:val="toc 3"/>
    <w:basedOn w:val="a"/>
    <w:next w:val="a"/>
    <w:semiHidden/>
    <w:qFormat/>
    <w:rsid w:val="00EB60B3"/>
    <w:pPr>
      <w:tabs>
        <w:tab w:val="right" w:leader="dot" w:pos="8795"/>
      </w:tabs>
      <w:ind w:left="560"/>
    </w:pPr>
    <w:rPr>
      <w:rFonts w:ascii="楷体_GB2312" w:hAnsi="宋体"/>
      <w:sz w:val="24"/>
      <w:szCs w:val="30"/>
    </w:rPr>
  </w:style>
  <w:style w:type="paragraph" w:styleId="a4">
    <w:name w:val="Balloon Text"/>
    <w:basedOn w:val="a"/>
    <w:link w:val="Char0"/>
    <w:uiPriority w:val="99"/>
    <w:semiHidden/>
    <w:unhideWhenUsed/>
    <w:qFormat/>
    <w:rsid w:val="00EB60B3"/>
    <w:rPr>
      <w:sz w:val="18"/>
      <w:szCs w:val="18"/>
    </w:rPr>
  </w:style>
  <w:style w:type="paragraph" w:styleId="a5">
    <w:name w:val="footer"/>
    <w:basedOn w:val="a"/>
    <w:link w:val="Char1"/>
    <w:uiPriority w:val="99"/>
    <w:unhideWhenUsed/>
    <w:qFormat/>
    <w:rsid w:val="00EB60B3"/>
    <w:pPr>
      <w:tabs>
        <w:tab w:val="center" w:pos="4153"/>
        <w:tab w:val="right" w:pos="8306"/>
      </w:tabs>
      <w:snapToGrid w:val="0"/>
    </w:pPr>
    <w:rPr>
      <w:sz w:val="18"/>
      <w:szCs w:val="18"/>
    </w:rPr>
  </w:style>
  <w:style w:type="paragraph" w:styleId="a6">
    <w:name w:val="header"/>
    <w:basedOn w:val="a"/>
    <w:link w:val="Char2"/>
    <w:uiPriority w:val="99"/>
    <w:unhideWhenUsed/>
    <w:qFormat/>
    <w:rsid w:val="00EB60B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B60B3"/>
    <w:rPr>
      <w:b/>
      <w:bCs/>
    </w:rPr>
  </w:style>
  <w:style w:type="character" w:styleId="a8">
    <w:name w:val="annotation reference"/>
    <w:basedOn w:val="a0"/>
    <w:uiPriority w:val="99"/>
    <w:semiHidden/>
    <w:unhideWhenUsed/>
    <w:qFormat/>
    <w:rsid w:val="00EB60B3"/>
    <w:rPr>
      <w:sz w:val="21"/>
      <w:szCs w:val="21"/>
    </w:rPr>
  </w:style>
  <w:style w:type="character" w:customStyle="1" w:styleId="Char">
    <w:name w:val="批注文字 Char"/>
    <w:basedOn w:val="a0"/>
    <w:link w:val="a3"/>
    <w:uiPriority w:val="99"/>
    <w:semiHidden/>
    <w:qFormat/>
    <w:rsid w:val="00EB60B3"/>
    <w:rPr>
      <w:rFonts w:ascii="Times New Roman" w:eastAsia="楷体_GB2312" w:hAnsi="Times New Roman" w:cs="Times New Roman"/>
      <w:kern w:val="0"/>
      <w:sz w:val="28"/>
      <w:szCs w:val="20"/>
      <w:lang w:eastAsia="en-US"/>
    </w:rPr>
  </w:style>
  <w:style w:type="character" w:customStyle="1" w:styleId="Char3">
    <w:name w:val="批注主题 Char"/>
    <w:basedOn w:val="Char"/>
    <w:link w:val="a7"/>
    <w:uiPriority w:val="99"/>
    <w:semiHidden/>
    <w:qFormat/>
    <w:rsid w:val="00EB60B3"/>
    <w:rPr>
      <w:rFonts w:ascii="Times New Roman" w:eastAsia="楷体_GB2312" w:hAnsi="Times New Roman" w:cs="Times New Roman"/>
      <w:b/>
      <w:bCs/>
      <w:kern w:val="0"/>
      <w:sz w:val="28"/>
      <w:szCs w:val="20"/>
      <w:lang w:eastAsia="en-US"/>
    </w:rPr>
  </w:style>
  <w:style w:type="character" w:customStyle="1" w:styleId="Char0">
    <w:name w:val="批注框文本 Char"/>
    <w:basedOn w:val="a0"/>
    <w:link w:val="a4"/>
    <w:uiPriority w:val="99"/>
    <w:semiHidden/>
    <w:qFormat/>
    <w:rsid w:val="00EB60B3"/>
    <w:rPr>
      <w:rFonts w:ascii="Times New Roman" w:eastAsia="楷体_GB2312" w:hAnsi="Times New Roman" w:cs="Times New Roman"/>
      <w:kern w:val="0"/>
      <w:sz w:val="18"/>
      <w:szCs w:val="18"/>
      <w:lang w:eastAsia="en-US"/>
    </w:rPr>
  </w:style>
  <w:style w:type="character" w:customStyle="1" w:styleId="Char2">
    <w:name w:val="页眉 Char"/>
    <w:basedOn w:val="a0"/>
    <w:link w:val="a6"/>
    <w:uiPriority w:val="99"/>
    <w:qFormat/>
    <w:rsid w:val="00EB60B3"/>
    <w:rPr>
      <w:rFonts w:ascii="Times New Roman" w:eastAsia="楷体_GB2312" w:hAnsi="Times New Roman" w:cs="Times New Roman"/>
      <w:kern w:val="0"/>
      <w:sz w:val="18"/>
      <w:szCs w:val="18"/>
      <w:lang w:eastAsia="en-US"/>
    </w:rPr>
  </w:style>
  <w:style w:type="character" w:customStyle="1" w:styleId="Char1">
    <w:name w:val="页脚 Char"/>
    <w:basedOn w:val="a0"/>
    <w:link w:val="a5"/>
    <w:uiPriority w:val="99"/>
    <w:qFormat/>
    <w:rsid w:val="00EB60B3"/>
    <w:rPr>
      <w:rFonts w:ascii="Times New Roman" w:eastAsia="楷体_GB2312" w:hAnsi="Times New Roman"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4</DocSecurity>
  <Lines>3</Lines>
  <Paragraphs>1</Paragraphs>
  <ScaleCrop>false</ScaleCrop>
  <Company>js</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刘然</dc:creator>
  <cp:lastModifiedBy>ZHONGM</cp:lastModifiedBy>
  <cp:revision>2</cp:revision>
  <dcterms:created xsi:type="dcterms:W3CDTF">2026-02-10T16:02:00Z</dcterms:created>
  <dcterms:modified xsi:type="dcterms:W3CDTF">2026-02-10T16:02:00Z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021DAD382C344406A0EEEEC939A9E853</vt:lpwstr>
  </property>
</Properties>
</file>