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6692" w:rsidRDefault="00EC6692">
      <w:pPr>
        <w:pStyle w:val="XBRL2"/>
        <w:spacing w:before="156"/>
        <w:rPr>
          <w:lang w:eastAsia="zh-CN"/>
        </w:rPr>
      </w:pPr>
      <w:bookmarkStart w:id="0" w:name="_Toc510201001"/>
      <w:bookmarkEnd w:id="0"/>
      <w:r>
        <w:rPr>
          <w:lang w:eastAsia="zh-CN"/>
        </w:rPr>
        <w:t xml:space="preserve">　</w:t>
      </w:r>
      <w:r>
        <w:rPr>
          <w:lang w:eastAsia="zh-CN"/>
        </w:rPr>
        <w:t xml:space="preserve"> </w:t>
      </w:r>
    </w:p>
    <w:p w:rsidR="00EC6692" w:rsidRDefault="00EC6692">
      <w:pPr>
        <w:jc w:val="center"/>
      </w:pPr>
      <w:r>
        <w:rPr>
          <w:rFonts w:cs="Times New Roman" w:hint="eastAsia"/>
          <w:b/>
          <w:sz w:val="48"/>
          <w:szCs w:val="48"/>
        </w:rPr>
        <w:t>关于工银瑞信中证同业存单AAA指数7天持有期证券投资基金2026年春节假期调整大额申购、转换转入、定期定额投资业务限制金额的公告</w:t>
      </w:r>
    </w:p>
    <w:p w:rsidR="00EC6692" w:rsidRDefault="00EC6692">
      <w:pPr>
        <w:spacing w:line="560" w:lineRule="exact"/>
        <w:jc w:val="center"/>
        <w:rPr>
          <w:rFonts w:hint="eastAsia"/>
          <w:color w:val="000000"/>
          <w:kern w:val="0"/>
          <w:sz w:val="18"/>
        </w:rPr>
      </w:pPr>
      <w:r>
        <w:rPr>
          <w:rFonts w:hint="eastAsia"/>
          <w:color w:val="000000"/>
          <w:kern w:val="0"/>
          <w:sz w:val="18"/>
        </w:rPr>
        <w:t xml:space="preserve">　 </w:t>
      </w:r>
    </w:p>
    <w:p w:rsidR="00EC6692" w:rsidRDefault="00EC6692">
      <w:pPr>
        <w:spacing w:line="560" w:lineRule="exact"/>
        <w:jc w:val="center"/>
        <w:rPr>
          <w:rFonts w:hint="eastAsia"/>
          <w:color w:val="000000"/>
          <w:kern w:val="0"/>
          <w:sz w:val="18"/>
        </w:rPr>
      </w:pPr>
      <w:r>
        <w:rPr>
          <w:rFonts w:hint="eastAsia"/>
          <w:color w:val="000000"/>
          <w:kern w:val="0"/>
          <w:sz w:val="18"/>
        </w:rPr>
        <w:t xml:space="preserve">　 </w:t>
      </w:r>
    </w:p>
    <w:p w:rsidR="00EC6692" w:rsidRDefault="00EC6692">
      <w:pPr>
        <w:spacing w:line="560" w:lineRule="exact"/>
        <w:jc w:val="center"/>
        <w:rPr>
          <w:rFonts w:hint="eastAsia"/>
          <w:color w:val="000000"/>
          <w:kern w:val="0"/>
          <w:sz w:val="18"/>
        </w:rPr>
      </w:pPr>
      <w:r>
        <w:rPr>
          <w:rFonts w:hint="eastAsia"/>
          <w:color w:val="000000"/>
          <w:kern w:val="0"/>
          <w:sz w:val="18"/>
        </w:rPr>
        <w:t xml:space="preserve">　 </w:t>
      </w:r>
    </w:p>
    <w:p w:rsidR="00EC6692" w:rsidRDefault="00EC6692">
      <w:pPr>
        <w:spacing w:line="560" w:lineRule="exact"/>
        <w:jc w:val="center"/>
        <w:rPr>
          <w:rFonts w:hint="eastAsia"/>
          <w:color w:val="000000"/>
          <w:kern w:val="0"/>
          <w:sz w:val="18"/>
        </w:rPr>
      </w:pPr>
      <w:r>
        <w:rPr>
          <w:rFonts w:hint="eastAsia"/>
          <w:color w:val="000000"/>
          <w:kern w:val="0"/>
          <w:sz w:val="18"/>
        </w:rPr>
        <w:t xml:space="preserve">　 </w:t>
      </w:r>
    </w:p>
    <w:p w:rsidR="00EC6692" w:rsidRDefault="00EC6692">
      <w:pPr>
        <w:spacing w:line="560" w:lineRule="exact"/>
        <w:jc w:val="center"/>
        <w:rPr>
          <w:rFonts w:hint="eastAsia"/>
          <w:color w:val="000000"/>
          <w:kern w:val="0"/>
          <w:sz w:val="18"/>
        </w:rPr>
      </w:pPr>
      <w:r>
        <w:rPr>
          <w:rFonts w:hint="eastAsia"/>
          <w:color w:val="000000"/>
          <w:kern w:val="0"/>
          <w:sz w:val="18"/>
        </w:rPr>
        <w:t xml:space="preserve">　 </w:t>
      </w:r>
    </w:p>
    <w:p w:rsidR="00EC6692" w:rsidRDefault="00EC6692">
      <w:pPr>
        <w:spacing w:line="560" w:lineRule="exact"/>
        <w:jc w:val="center"/>
        <w:rPr>
          <w:rFonts w:hint="eastAsia"/>
          <w:color w:val="000000"/>
          <w:kern w:val="0"/>
          <w:sz w:val="18"/>
        </w:rPr>
      </w:pPr>
      <w:r>
        <w:rPr>
          <w:rFonts w:hint="eastAsia"/>
          <w:color w:val="000000"/>
          <w:kern w:val="0"/>
          <w:sz w:val="18"/>
        </w:rPr>
        <w:t xml:space="preserve">　 </w:t>
      </w:r>
    </w:p>
    <w:p w:rsidR="00EC6692" w:rsidRDefault="00EC6692">
      <w:pPr>
        <w:spacing w:line="560" w:lineRule="exact"/>
        <w:jc w:val="center"/>
        <w:rPr>
          <w:rFonts w:hint="eastAsia"/>
          <w:color w:val="000000"/>
          <w:kern w:val="0"/>
          <w:sz w:val="18"/>
        </w:rPr>
      </w:pPr>
      <w:r>
        <w:rPr>
          <w:rFonts w:hint="eastAsia"/>
          <w:color w:val="000000"/>
          <w:kern w:val="0"/>
          <w:sz w:val="18"/>
        </w:rPr>
        <w:t xml:space="preserve">　 </w:t>
      </w:r>
    </w:p>
    <w:p w:rsidR="00EC6692" w:rsidRDefault="00EC6692">
      <w:pPr>
        <w:spacing w:line="560" w:lineRule="exact"/>
        <w:jc w:val="center"/>
        <w:rPr>
          <w:rFonts w:hint="eastAsia"/>
          <w:color w:val="000000"/>
          <w:kern w:val="0"/>
          <w:sz w:val="18"/>
        </w:rPr>
      </w:pPr>
      <w:r>
        <w:rPr>
          <w:rFonts w:hint="eastAsia"/>
          <w:color w:val="000000"/>
          <w:kern w:val="0"/>
          <w:sz w:val="18"/>
        </w:rPr>
        <w:t xml:space="preserve">　 </w:t>
      </w:r>
    </w:p>
    <w:p w:rsidR="00EC6692" w:rsidRDefault="00EC6692">
      <w:pPr>
        <w:spacing w:line="560" w:lineRule="exact"/>
        <w:jc w:val="center"/>
        <w:rPr>
          <w:rFonts w:hint="eastAsia"/>
          <w:color w:val="000000"/>
          <w:kern w:val="0"/>
          <w:sz w:val="18"/>
        </w:rPr>
      </w:pPr>
      <w:r>
        <w:rPr>
          <w:rFonts w:hint="eastAsia"/>
          <w:color w:val="000000"/>
          <w:kern w:val="0"/>
          <w:sz w:val="18"/>
        </w:rPr>
        <w:t xml:space="preserve">　 </w:t>
      </w:r>
    </w:p>
    <w:p w:rsidR="00EC6692" w:rsidRDefault="00EC6692">
      <w:pPr>
        <w:spacing w:line="560" w:lineRule="exact"/>
        <w:jc w:val="center"/>
        <w:rPr>
          <w:rFonts w:hint="eastAsia"/>
          <w:color w:val="000000"/>
          <w:kern w:val="0"/>
          <w:sz w:val="18"/>
        </w:rPr>
      </w:pPr>
      <w:r>
        <w:rPr>
          <w:rFonts w:hint="eastAsia"/>
          <w:color w:val="000000"/>
          <w:kern w:val="0"/>
          <w:sz w:val="18"/>
        </w:rPr>
        <w:t xml:space="preserve">　 </w:t>
      </w:r>
    </w:p>
    <w:p w:rsidR="00EC6692" w:rsidRDefault="00EC6692">
      <w:pPr>
        <w:spacing w:line="560" w:lineRule="exact"/>
        <w:jc w:val="center"/>
        <w:rPr>
          <w:rFonts w:hint="eastAsia"/>
          <w:color w:val="000000"/>
          <w:kern w:val="0"/>
          <w:sz w:val="18"/>
        </w:rPr>
      </w:pPr>
      <w:r>
        <w:rPr>
          <w:rFonts w:hint="eastAsia"/>
          <w:color w:val="000000"/>
          <w:kern w:val="0"/>
          <w:sz w:val="18"/>
        </w:rPr>
        <w:t xml:space="preserve">　 </w:t>
      </w:r>
    </w:p>
    <w:p w:rsidR="00EC6692" w:rsidRDefault="00EC6692">
      <w:pPr>
        <w:spacing w:line="560" w:lineRule="exact"/>
        <w:jc w:val="center"/>
        <w:rPr>
          <w:rFonts w:hint="eastAsia"/>
          <w:color w:val="000000"/>
          <w:kern w:val="0"/>
          <w:sz w:val="18"/>
        </w:rPr>
      </w:pPr>
      <w:r>
        <w:rPr>
          <w:rFonts w:hint="eastAsia"/>
          <w:color w:val="000000"/>
          <w:kern w:val="0"/>
          <w:sz w:val="18"/>
        </w:rPr>
        <w:t xml:space="preserve">　 </w:t>
      </w:r>
    </w:p>
    <w:p w:rsidR="00EC6692" w:rsidRDefault="00EC6692">
      <w:pPr>
        <w:spacing w:line="560" w:lineRule="exact"/>
        <w:jc w:val="center"/>
        <w:rPr>
          <w:rFonts w:hint="eastAsia"/>
          <w:color w:val="000000"/>
          <w:kern w:val="0"/>
          <w:sz w:val="18"/>
        </w:rPr>
      </w:pPr>
      <w:r>
        <w:rPr>
          <w:rFonts w:hint="eastAsia"/>
          <w:color w:val="000000"/>
          <w:kern w:val="0"/>
          <w:sz w:val="18"/>
        </w:rPr>
        <w:t xml:space="preserve">　 </w:t>
      </w:r>
    </w:p>
    <w:p w:rsidR="00EC6692" w:rsidRDefault="00EC6692">
      <w:pPr>
        <w:spacing w:line="360" w:lineRule="auto"/>
        <w:jc w:val="center"/>
        <w:rPr>
          <w:rFonts w:hint="eastAsia"/>
        </w:rPr>
      </w:pPr>
      <w:r>
        <w:rPr>
          <w:rFonts w:hint="eastAsia"/>
          <w:b/>
          <w:bCs/>
          <w:sz w:val="24"/>
          <w:szCs w:val="30"/>
        </w:rPr>
        <w:t>公告送出日期：2026年2月11日</w:t>
      </w:r>
    </w:p>
    <w:p w:rsidR="00EC6692" w:rsidRDefault="00EC6692">
      <w:pPr>
        <w:pStyle w:val="XBRLTitle1"/>
        <w:spacing w:before="156"/>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194311890"/>
      <w:bookmarkStart w:id="11" w:name="m01_01"/>
      <w:bookmarkStart w:id="12" w:name="m1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bookmarkEnd w:id="10"/>
      <w:bookmarkEnd w:id="11"/>
      <w:bookmarkEnd w:id="12"/>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1472"/>
        <w:gridCol w:w="3172"/>
        <w:gridCol w:w="4417"/>
      </w:tblGrid>
      <w:tr w:rsidR="00EC6692" w:rsidTr="00677768">
        <w:trPr>
          <w:divId w:val="1622151232"/>
        </w:trPr>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ascii="Calibri" w:hAnsi="Calibri" w:hint="eastAsia"/>
              </w:rPr>
              <w:t>基金名称</w:t>
            </w:r>
          </w:p>
        </w:tc>
        <w:tc>
          <w:tcPr>
            <w:tcW w:w="4417" w:type="dxa"/>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hint="eastAsia"/>
              </w:rPr>
              <w:t>工银瑞信中证同业存单AAA指数7天持有期证券投资基金</w:t>
            </w:r>
          </w:p>
        </w:tc>
      </w:tr>
      <w:tr w:rsidR="00EC6692" w:rsidTr="00677768">
        <w:trPr>
          <w:divId w:val="1622151232"/>
        </w:trPr>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ascii="Calibri" w:hAnsi="Calibri" w:hint="eastAsia"/>
              </w:rPr>
              <w:t>基金简称</w:t>
            </w:r>
          </w:p>
        </w:tc>
        <w:tc>
          <w:tcPr>
            <w:tcW w:w="4417" w:type="dxa"/>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hint="eastAsia"/>
              </w:rPr>
              <w:t>工银中证同业存单AAA指数7天持有</w:t>
            </w:r>
            <w:r>
              <w:rPr>
                <w:rFonts w:cs="Calibri" w:hint="eastAsia"/>
              </w:rPr>
              <w:t xml:space="preserve"> </w:t>
            </w:r>
          </w:p>
        </w:tc>
      </w:tr>
      <w:tr w:rsidR="00EC6692" w:rsidTr="00677768">
        <w:trPr>
          <w:divId w:val="1622151232"/>
        </w:trPr>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ascii="Calibri" w:hAnsi="Calibri" w:hint="eastAsia"/>
              </w:rPr>
              <w:t>基金主代码</w:t>
            </w:r>
          </w:p>
        </w:tc>
        <w:tc>
          <w:tcPr>
            <w:tcW w:w="4417" w:type="dxa"/>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hint="eastAsia"/>
              </w:rPr>
              <w:t>016082</w:t>
            </w:r>
          </w:p>
        </w:tc>
      </w:tr>
      <w:tr w:rsidR="00EC6692" w:rsidTr="00677768">
        <w:trPr>
          <w:divId w:val="1622151232"/>
        </w:trPr>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ascii="Calibri" w:hAnsi="Calibri" w:hint="eastAsia"/>
              </w:rPr>
              <w:t>基金管理人名称</w:t>
            </w:r>
          </w:p>
        </w:tc>
        <w:tc>
          <w:tcPr>
            <w:tcW w:w="4417" w:type="dxa"/>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hint="eastAsia"/>
              </w:rPr>
              <w:t>工银瑞信基金管理有限公司</w:t>
            </w:r>
          </w:p>
        </w:tc>
      </w:tr>
      <w:tr w:rsidR="00EC6692" w:rsidTr="00677768">
        <w:trPr>
          <w:divId w:val="1622151232"/>
        </w:trPr>
        <w:tc>
          <w:tcPr>
            <w:tcW w:w="4644" w:type="dxa"/>
            <w:gridSpan w:val="2"/>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ascii="Calibri" w:hAnsi="Calibri" w:hint="eastAsia"/>
              </w:rPr>
              <w:t>公告依据</w:t>
            </w:r>
          </w:p>
        </w:tc>
        <w:tc>
          <w:tcPr>
            <w:tcW w:w="4417" w:type="dxa"/>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hint="eastAsia"/>
              </w:rPr>
              <w:t>根据《中华人民共和国证券投资基金法》、《公开募集证券投资基金运作管理办法》、《公开募集证券投资基金信息披露管理办法》及其他有关法律法规以及本基金相关法律文件等。</w:t>
            </w:r>
          </w:p>
        </w:tc>
      </w:tr>
      <w:tr w:rsidR="00EC6692" w:rsidTr="00677768">
        <w:trPr>
          <w:divId w:val="1622151232"/>
          <w:trHeight w:val="506"/>
        </w:trPr>
        <w:tc>
          <w:tcPr>
            <w:tcW w:w="1472" w:type="dxa"/>
            <w:vMerge w:val="restart"/>
            <w:tcBorders>
              <w:top w:val="nil"/>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ascii="Calibri" w:hAnsi="Calibri" w:hint="eastAsia"/>
              </w:rPr>
              <w:t>暂停相关业务的起始日、金额及原因说明</w:t>
            </w:r>
          </w:p>
        </w:tc>
        <w:tc>
          <w:tcPr>
            <w:tcW w:w="3172" w:type="dxa"/>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ascii="Calibri" w:hAnsi="Calibri" w:hint="eastAsia"/>
              </w:rPr>
              <w:t>暂停大额申购起始日</w:t>
            </w:r>
          </w:p>
        </w:tc>
        <w:tc>
          <w:tcPr>
            <w:tcW w:w="4417" w:type="dxa"/>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hint="eastAsia"/>
              </w:rPr>
              <w:t>2026年2月12日</w:t>
            </w:r>
          </w:p>
        </w:tc>
      </w:tr>
      <w:tr w:rsidR="00EC6692" w:rsidTr="00677768">
        <w:trPr>
          <w:divId w:val="1622151232"/>
          <w:trHeight w:val="506"/>
        </w:trPr>
        <w:tc>
          <w:tcPr>
            <w:tcW w:w="1472" w:type="dxa"/>
            <w:vMerge/>
            <w:tcBorders>
              <w:top w:val="nil"/>
              <w:left w:val="single" w:sz="4" w:space="0" w:color="000000"/>
              <w:bottom w:val="single" w:sz="4" w:space="0" w:color="000000"/>
              <w:right w:val="single" w:sz="4" w:space="0" w:color="000000"/>
            </w:tcBorders>
            <w:vAlign w:val="center"/>
            <w:hideMark/>
          </w:tcPr>
          <w:p w:rsidR="00EC6692" w:rsidRDefault="00EC6692">
            <w:pPr>
              <w:widowControl/>
              <w:jc w:val="left"/>
            </w:pPr>
          </w:p>
        </w:tc>
        <w:tc>
          <w:tcPr>
            <w:tcW w:w="3172" w:type="dxa"/>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ascii="Calibri" w:hAnsi="Calibri" w:hint="eastAsia"/>
              </w:rPr>
              <w:t>暂停大额转换转入起始日</w:t>
            </w:r>
          </w:p>
        </w:tc>
        <w:tc>
          <w:tcPr>
            <w:tcW w:w="4417" w:type="dxa"/>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hint="eastAsia"/>
              </w:rPr>
              <w:t>2026年2月12日</w:t>
            </w:r>
          </w:p>
        </w:tc>
      </w:tr>
      <w:tr w:rsidR="00EC6692" w:rsidTr="00677768">
        <w:trPr>
          <w:divId w:val="1622151232"/>
          <w:trHeight w:val="506"/>
        </w:trPr>
        <w:tc>
          <w:tcPr>
            <w:tcW w:w="1472" w:type="dxa"/>
            <w:vMerge/>
            <w:tcBorders>
              <w:top w:val="nil"/>
              <w:left w:val="single" w:sz="4" w:space="0" w:color="000000"/>
              <w:bottom w:val="single" w:sz="4" w:space="0" w:color="000000"/>
              <w:right w:val="single" w:sz="4" w:space="0" w:color="000000"/>
            </w:tcBorders>
            <w:vAlign w:val="center"/>
            <w:hideMark/>
          </w:tcPr>
          <w:p w:rsidR="00EC6692" w:rsidRDefault="00EC6692">
            <w:pPr>
              <w:widowControl/>
              <w:jc w:val="left"/>
            </w:pPr>
          </w:p>
        </w:tc>
        <w:tc>
          <w:tcPr>
            <w:tcW w:w="3172" w:type="dxa"/>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ascii="Calibri" w:hAnsi="Calibri" w:hint="eastAsia"/>
              </w:rPr>
              <w:t>限制申购金额（单位：人民币元</w:t>
            </w:r>
            <w:r>
              <w:rPr>
                <w:rFonts w:hint="eastAsia"/>
              </w:rPr>
              <w:t xml:space="preserve"> </w:t>
            </w:r>
            <w:r w:rsidRPr="0074623C">
              <w:rPr>
                <w:rFonts w:ascii="Calibri" w:hAnsi="Calibri" w:hint="eastAsia"/>
              </w:rPr>
              <w:t>）</w:t>
            </w:r>
          </w:p>
        </w:tc>
        <w:tc>
          <w:tcPr>
            <w:tcW w:w="4417" w:type="dxa"/>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hint="eastAsia"/>
              </w:rPr>
              <w:t>50,000.00</w:t>
            </w:r>
          </w:p>
        </w:tc>
      </w:tr>
      <w:tr w:rsidR="00EC6692" w:rsidTr="00677768">
        <w:trPr>
          <w:divId w:val="1622151232"/>
          <w:trHeight w:val="506"/>
        </w:trPr>
        <w:tc>
          <w:tcPr>
            <w:tcW w:w="1472" w:type="dxa"/>
            <w:vMerge/>
            <w:tcBorders>
              <w:top w:val="nil"/>
              <w:left w:val="single" w:sz="4" w:space="0" w:color="000000"/>
              <w:bottom w:val="single" w:sz="4" w:space="0" w:color="000000"/>
              <w:right w:val="single" w:sz="4" w:space="0" w:color="000000"/>
            </w:tcBorders>
            <w:vAlign w:val="center"/>
            <w:hideMark/>
          </w:tcPr>
          <w:p w:rsidR="00EC6692" w:rsidRDefault="00EC6692">
            <w:pPr>
              <w:widowControl/>
              <w:jc w:val="left"/>
            </w:pPr>
          </w:p>
        </w:tc>
        <w:tc>
          <w:tcPr>
            <w:tcW w:w="3172" w:type="dxa"/>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hint="eastAsia"/>
              </w:rPr>
              <w:t xml:space="preserve">限制转换转入金额（单位：人民币元 ） </w:t>
            </w:r>
          </w:p>
        </w:tc>
        <w:tc>
          <w:tcPr>
            <w:tcW w:w="4417" w:type="dxa"/>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hint="eastAsia"/>
              </w:rPr>
              <w:t>50,000.00</w:t>
            </w:r>
          </w:p>
        </w:tc>
      </w:tr>
      <w:tr w:rsidR="00EC6692" w:rsidTr="00677768">
        <w:trPr>
          <w:divId w:val="1622151232"/>
          <w:trHeight w:val="506"/>
        </w:trPr>
        <w:tc>
          <w:tcPr>
            <w:tcW w:w="1472" w:type="dxa"/>
            <w:vMerge/>
            <w:tcBorders>
              <w:top w:val="nil"/>
              <w:left w:val="single" w:sz="4" w:space="0" w:color="000000"/>
              <w:bottom w:val="single" w:sz="4" w:space="0" w:color="000000"/>
              <w:right w:val="single" w:sz="4" w:space="0" w:color="000000"/>
            </w:tcBorders>
            <w:vAlign w:val="center"/>
            <w:hideMark/>
          </w:tcPr>
          <w:p w:rsidR="00EC6692" w:rsidRDefault="00EC6692">
            <w:pPr>
              <w:widowControl/>
              <w:jc w:val="left"/>
            </w:pPr>
          </w:p>
        </w:tc>
        <w:tc>
          <w:tcPr>
            <w:tcW w:w="3172" w:type="dxa"/>
            <w:tcBorders>
              <w:top w:val="single" w:sz="4" w:space="0" w:color="000000"/>
              <w:left w:val="single" w:sz="4" w:space="0" w:color="000000"/>
              <w:bottom w:val="single" w:sz="4" w:space="0" w:color="000000"/>
              <w:right w:val="single" w:sz="4" w:space="0" w:color="000000"/>
            </w:tcBorders>
            <w:vAlign w:val="center"/>
            <w:hideMark/>
          </w:tcPr>
          <w:p w:rsidR="00EC6692" w:rsidRDefault="00EC6692" w:rsidP="0044451A">
            <w:pPr>
              <w:rPr>
                <w:rFonts w:hint="eastAsia"/>
              </w:rPr>
            </w:pPr>
            <w:r w:rsidRPr="0074623C">
              <w:rPr>
                <w:rFonts w:hint="eastAsia"/>
              </w:rPr>
              <w:t>暂停大额申购、转换转入、定期定额投资业务的原因说明</w:t>
            </w:r>
          </w:p>
        </w:tc>
        <w:tc>
          <w:tcPr>
            <w:tcW w:w="4417" w:type="dxa"/>
            <w:tcBorders>
              <w:top w:val="single" w:sz="4" w:space="0" w:color="000000"/>
              <w:left w:val="single" w:sz="4" w:space="0" w:color="000000"/>
              <w:bottom w:val="single" w:sz="4" w:space="0" w:color="000000"/>
              <w:right w:val="single" w:sz="4" w:space="0" w:color="000000"/>
            </w:tcBorders>
            <w:vAlign w:val="center"/>
            <w:hideMark/>
          </w:tcPr>
          <w:p w:rsidR="00EC6692" w:rsidRDefault="00EC6692">
            <w:pPr>
              <w:rPr>
                <w:rFonts w:hint="eastAsia"/>
              </w:rPr>
            </w:pPr>
            <w:r w:rsidRPr="0074623C">
              <w:rPr>
                <w:rFonts w:hint="eastAsia"/>
              </w:rPr>
              <w:t>保护基金持有人利益。</w:t>
            </w:r>
          </w:p>
        </w:tc>
      </w:tr>
    </w:tbl>
    <w:p w:rsidR="00EC6692" w:rsidRDefault="00EC6692">
      <w:pPr>
        <w:adjustRightInd w:val="0"/>
        <w:snapToGrid w:val="0"/>
        <w:spacing w:line="360" w:lineRule="auto"/>
        <w:jc w:val="left"/>
        <w:divId w:val="1622151232"/>
        <w:rPr>
          <w:rFonts w:hint="eastAsia"/>
        </w:rPr>
      </w:pPr>
      <w:r>
        <w:rPr>
          <w:rFonts w:hint="eastAsia"/>
        </w:rPr>
        <w:t>注:</w:t>
      </w:r>
      <w:r>
        <w:rPr>
          <w:rFonts w:hint="eastAsia"/>
          <w:szCs w:val="24"/>
          <w:lang/>
        </w:rPr>
        <w:t>1、自2026年2月12日起至2026年2月13日期间，本基金大额申购、转换转入、定期定额投资业务限制金额调整为5万元。2、自2026年2月24日起，本基金将恢复按照2022年7月26日公告进行限制，即单一投资者单日在全部销售机构累计申购（含定期定额投资）金额不超过1000万元，公募资产管理产品除外；届时将不再另行公告。</w:t>
      </w:r>
      <w:r>
        <w:rPr>
          <w:rFonts w:hint="eastAsia"/>
          <w:szCs w:val="24"/>
        </w:rPr>
        <w:t xml:space="preserve"> </w:t>
      </w:r>
    </w:p>
    <w:p w:rsidR="00EC6692" w:rsidRDefault="00EC6692">
      <w:pPr>
        <w:pStyle w:val="XBRLTitle1"/>
        <w:spacing w:before="156" w:line="360" w:lineRule="auto"/>
        <w:jc w:val="left"/>
        <w:rPr>
          <w:rFonts w:hint="eastAsia"/>
        </w:rPr>
      </w:pPr>
      <w:bookmarkStart w:id="13" w:name="_Toc34322063"/>
      <w:bookmarkStart w:id="14" w:name="_Toc513295941"/>
      <w:bookmarkStart w:id="15" w:name="_Toc513295878"/>
      <w:bookmarkStart w:id="16" w:name="_Toc438646481"/>
      <w:bookmarkStart w:id="17" w:name="_Toc481075097"/>
      <w:bookmarkStart w:id="18" w:name="_Toc490050049"/>
      <w:bookmarkStart w:id="19" w:name="_Toc512519529"/>
      <w:bookmarkStart w:id="20" w:name="_Toc17897969"/>
      <w:bookmarkStart w:id="21" w:name="_Toc17898228"/>
      <w:bookmarkStart w:id="22" w:name="m201_01"/>
      <w:r>
        <w:rPr>
          <w:rFonts w:hAnsi="宋体" w:hint="eastAsia"/>
          <w:szCs w:val="24"/>
        </w:rPr>
        <w:t>其他需要提示的事项</w:t>
      </w:r>
      <w:bookmarkEnd w:id="13"/>
      <w:bookmarkEnd w:id="14"/>
      <w:bookmarkEnd w:id="15"/>
      <w:bookmarkEnd w:id="16"/>
      <w:bookmarkEnd w:id="17"/>
      <w:bookmarkEnd w:id="18"/>
      <w:bookmarkEnd w:id="19"/>
      <w:bookmarkEnd w:id="20"/>
      <w:bookmarkEnd w:id="21"/>
      <w:r>
        <w:rPr>
          <w:rFonts w:hAnsi="宋体" w:hint="eastAsia"/>
          <w:szCs w:val="24"/>
        </w:rPr>
        <w:t xml:space="preserve"> </w:t>
      </w:r>
    </w:p>
    <w:p w:rsidR="00EC6692" w:rsidRDefault="00EC6692">
      <w:pPr>
        <w:spacing w:line="360" w:lineRule="auto"/>
        <w:ind w:firstLineChars="200" w:firstLine="420"/>
        <w:jc w:val="left"/>
        <w:rPr>
          <w:rFonts w:hint="eastAsia"/>
          <w:kern w:val="0"/>
          <w:szCs w:val="21"/>
        </w:rPr>
      </w:pPr>
      <w:r>
        <w:rPr>
          <w:rFonts w:hint="eastAsia"/>
          <w:kern w:val="0"/>
          <w:szCs w:val="21"/>
        </w:rPr>
        <w:t>1、自2026年2月12日起至2026年2月13日期间，对本基金单日单个基金账户单笔或多笔累计高于5万元的申购、转换转入、定期定额投资业务进行限制；如投资者单日单个基金账户单笔或多笔累计申请金额高于5万元的，本基金管理人有权拒绝。</w:t>
      </w:r>
      <w:r>
        <w:rPr>
          <w:rFonts w:hint="eastAsia"/>
          <w:kern w:val="0"/>
          <w:szCs w:val="21"/>
        </w:rPr>
        <w:br/>
      </w:r>
      <w:r w:rsidR="00AB2CBA">
        <w:rPr>
          <w:kern w:val="0"/>
          <w:szCs w:val="21"/>
        </w:rPr>
        <w:t xml:space="preserve">   </w:t>
      </w:r>
      <w:r>
        <w:rPr>
          <w:rFonts w:hint="eastAsia"/>
          <w:kern w:val="0"/>
          <w:szCs w:val="21"/>
        </w:rPr>
        <w:t>2、在上述期间的交易日，本基金作为转出方的转换业务、赎回业务等其他业务以及本基金管理人管理的其他开放式基金的各项交易业务仍照常办理。</w:t>
      </w:r>
      <w:r>
        <w:rPr>
          <w:rFonts w:hint="eastAsia"/>
          <w:kern w:val="0"/>
          <w:szCs w:val="21"/>
        </w:rPr>
        <w:br/>
      </w:r>
      <w:r w:rsidR="00AB2CBA">
        <w:rPr>
          <w:kern w:val="0"/>
          <w:szCs w:val="21"/>
        </w:rPr>
        <w:t xml:space="preserve">   </w:t>
      </w:r>
      <w:r>
        <w:rPr>
          <w:rFonts w:hint="eastAsia"/>
          <w:kern w:val="0"/>
          <w:szCs w:val="21"/>
        </w:rPr>
        <w:t>3、客户服务电话400-811-9999；本公司网站www.icbcubs.com.cn。</w:t>
      </w:r>
      <w:r>
        <w:rPr>
          <w:rFonts w:hint="eastAsia"/>
          <w:kern w:val="0"/>
          <w:szCs w:val="21"/>
        </w:rPr>
        <w:br/>
      </w:r>
      <w:r w:rsidR="00AB2CBA">
        <w:rPr>
          <w:kern w:val="0"/>
          <w:szCs w:val="21"/>
        </w:rPr>
        <w:t xml:space="preserve">   </w:t>
      </w:r>
      <w:r>
        <w:rPr>
          <w:rFonts w:hint="eastAsia"/>
          <w:kern w:val="0"/>
          <w:szCs w:val="21"/>
        </w:rPr>
        <w:t xml:space="preserve">4、风险提示：本公司承诺以诚实信用、勤勉尽责的原则管理和运用基金资产，但不保证基金一定盈利，也不保证最低收益。敬请投资人注意投资风险。投资者投资基金前应认真阅读基金的基金合同、更新的招募说明书、基金产品资料概要等法律文件，并选择适合自身风险承受能力的投资品种进行投资。 </w:t>
      </w:r>
    </w:p>
    <w:p w:rsidR="00EC6692" w:rsidRDefault="00EC6692">
      <w:pPr>
        <w:spacing w:line="360" w:lineRule="auto"/>
        <w:ind w:firstLineChars="600" w:firstLine="1446"/>
        <w:jc w:val="right"/>
        <w:rPr>
          <w:rFonts w:hint="eastAsia"/>
          <w:b/>
          <w:bCs/>
          <w:sz w:val="24"/>
          <w:szCs w:val="30"/>
        </w:rPr>
      </w:pPr>
      <w:r>
        <w:rPr>
          <w:rFonts w:hint="eastAsia"/>
          <w:b/>
          <w:bCs/>
          <w:sz w:val="24"/>
          <w:szCs w:val="30"/>
        </w:rPr>
        <w:t xml:space="preserve">　 </w:t>
      </w:r>
    </w:p>
    <w:p w:rsidR="00EC6692" w:rsidRDefault="00EC6692">
      <w:pPr>
        <w:spacing w:line="360" w:lineRule="auto"/>
        <w:ind w:firstLineChars="600" w:firstLine="1446"/>
        <w:jc w:val="right"/>
        <w:rPr>
          <w:rFonts w:hint="eastAsia"/>
          <w:b/>
          <w:bCs/>
          <w:sz w:val="24"/>
          <w:szCs w:val="30"/>
        </w:rPr>
      </w:pPr>
      <w:r>
        <w:rPr>
          <w:rFonts w:hint="eastAsia"/>
          <w:b/>
          <w:bCs/>
          <w:sz w:val="24"/>
          <w:szCs w:val="30"/>
        </w:rPr>
        <w:t xml:space="preserve">　 </w:t>
      </w:r>
    </w:p>
    <w:p w:rsidR="00EC6692" w:rsidRDefault="00EC6692">
      <w:pPr>
        <w:spacing w:line="360" w:lineRule="auto"/>
        <w:ind w:firstLineChars="600" w:firstLine="1446"/>
        <w:jc w:val="right"/>
        <w:rPr>
          <w:rFonts w:hint="eastAsia"/>
        </w:rPr>
      </w:pPr>
      <w:r>
        <w:rPr>
          <w:rFonts w:hint="eastAsia"/>
          <w:b/>
          <w:bCs/>
          <w:sz w:val="24"/>
          <w:szCs w:val="24"/>
        </w:rPr>
        <w:lastRenderedPageBreak/>
        <w:t>工银瑞信基金管理有限公司</w:t>
      </w:r>
    </w:p>
    <w:p w:rsidR="00EC6692" w:rsidRDefault="00EC6692">
      <w:pPr>
        <w:spacing w:line="360" w:lineRule="auto"/>
        <w:ind w:firstLineChars="600" w:firstLine="1446"/>
        <w:jc w:val="right"/>
        <w:rPr>
          <w:rFonts w:hint="eastAsia"/>
        </w:rPr>
      </w:pPr>
      <w:r>
        <w:rPr>
          <w:rFonts w:hint="eastAsia"/>
          <w:b/>
          <w:bCs/>
          <w:sz w:val="24"/>
          <w:szCs w:val="24"/>
        </w:rPr>
        <w:t>2026年2月11日</w:t>
      </w:r>
      <w:bookmarkEnd w:id="22"/>
      <w:r>
        <w:rPr>
          <w:rFonts w:hint="eastAsia"/>
          <w:b/>
          <w:bCs/>
          <w:sz w:val="24"/>
          <w:szCs w:val="24"/>
        </w:rPr>
        <w:t xml:space="preserve"> </w:t>
      </w:r>
    </w:p>
    <w:sectPr w:rsidR="00EC6692">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99E" w:rsidRDefault="00A5199E">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A5199E" w:rsidRDefault="00A5199E">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92" w:rsidRDefault="00EC6692">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526566">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526566">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92" w:rsidRDefault="00EC6692">
    <w:pPr>
      <w:pStyle w:val="aa"/>
      <w:rPr>
        <w:rFonts w:hint="eastAsia"/>
      </w:rPr>
    </w:pPr>
  </w:p>
  <w:p w:rsidR="00EC6692" w:rsidRDefault="00EC6692">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526566">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526566">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EC6692" w:rsidRDefault="00EC6692">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99E" w:rsidRDefault="00A5199E">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A5199E" w:rsidRDefault="00A5199E">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92" w:rsidRDefault="00EC6692">
    <w:pPr>
      <w:pStyle w:val="a8"/>
      <w:jc w:val="right"/>
    </w:pPr>
    <w:r>
      <w:rPr>
        <w:rFonts w:hint="eastAsia"/>
      </w:rPr>
      <w:t>关于工银瑞信中证同业存单AAA指数7天持有期证券投资基金2026年春节假期调整大额申购、转换转入、定期定额投资业务限制金额的公告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92" w:rsidRDefault="00EC6692">
    <w:pPr>
      <w:pStyle w:val="a8"/>
      <w:jc w:val="right"/>
      <w:rPr>
        <w:rFonts w:hint="eastAsia"/>
      </w:rPr>
    </w:pPr>
    <w:r>
      <w:rPr>
        <w:rFonts w:hint="eastAsia"/>
      </w:rPr>
      <w:t>关于工银瑞信中证同业存单AAA指数7天持有期证券投资基金2026年春节假期调整大额申购、转换转入、定期定额投资业务限制金额的公告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isplayBackgroundShape/>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4623C"/>
    <w:rsid w:val="00187DA0"/>
    <w:rsid w:val="00416DB0"/>
    <w:rsid w:val="0044451A"/>
    <w:rsid w:val="00526566"/>
    <w:rsid w:val="00677768"/>
    <w:rsid w:val="006F73FE"/>
    <w:rsid w:val="0074623C"/>
    <w:rsid w:val="00913558"/>
    <w:rsid w:val="00A5199E"/>
    <w:rsid w:val="00AB2CBA"/>
    <w:rsid w:val="00DD502A"/>
    <w:rsid w:val="00EC6692"/>
    <w:rsid w:val="00ED6E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12">
    <w:name w:val="toc 1"/>
    <w:basedOn w:val="a"/>
    <w:next w:val="a"/>
    <w:autoRedefine/>
    <w:uiPriority w:val="39"/>
    <w:semiHidden/>
    <w:unhideWhenUsed/>
    <w:pPr>
      <w:tabs>
        <w:tab w:val="right" w:leader="dot" w:pos="8835"/>
      </w:tabs>
    </w:pPr>
    <w:rPr>
      <w:noProof/>
    </w:rPr>
  </w:style>
  <w:style w:type="paragraph" w:styleId="22">
    <w:name w:val="toc 2"/>
    <w:basedOn w:val="a"/>
    <w:next w:val="a"/>
    <w:autoRedefine/>
    <w:uiPriority w:val="39"/>
    <w:semiHidden/>
    <w:unhideWhenUsed/>
    <w:pPr>
      <w:ind w:leftChars="200" w:left="420"/>
    </w:pPr>
  </w:style>
  <w:style w:type="paragraph" w:styleId="32">
    <w:name w:val="toc 3"/>
    <w:basedOn w:val="a"/>
    <w:next w:val="a"/>
    <w:autoRedefine/>
    <w:uiPriority w:val="39"/>
    <w:semiHidden/>
    <w:unhideWhenUsed/>
  </w:style>
  <w:style w:type="paragraph" w:styleId="a6">
    <w:name w:val="footnote text"/>
    <w:basedOn w:val="a"/>
    <w:link w:val="13"/>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6"/>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7"/>
    <w:rPr>
      <w:sz w:val="32"/>
      <w:lang/>
    </w:rPr>
  </w:style>
  <w:style w:type="character" w:customStyle="1" w:styleId="af1">
    <w:name w:val="日期 字符"/>
    <w:link w:val="af0"/>
    <w:locked/>
    <w:rPr>
      <w:kern w:val="2"/>
      <w:sz w:val="21"/>
    </w:rPr>
  </w:style>
  <w:style w:type="paragraph" w:styleId="af2">
    <w:name w:val="Document Map"/>
    <w:basedOn w:val="a"/>
    <w:link w:val="18"/>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pPr>
      <w:numPr>
        <w:ilvl w:val="4"/>
        <w:numId w:val="2"/>
      </w:numPr>
      <w:spacing w:beforeLines="50" w:after="0" w:line="240" w:lineRule="auto"/>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3">
    <w:name w:val="脚注文本 字符1"/>
    <w:link w:val="a6"/>
    <w:locked/>
    <w:rPr>
      <w:kern w:val="2"/>
      <w:sz w:val="18"/>
      <w:szCs w:val="18"/>
    </w:rPr>
  </w:style>
  <w:style w:type="character" w:customStyle="1" w:styleId="23">
    <w:name w:val="页眉 字符2"/>
    <w:link w:val="a8"/>
    <w:locked/>
    <w:rPr>
      <w:kern w:val="2"/>
      <w:sz w:val="18"/>
      <w:szCs w:val="18"/>
    </w:rPr>
  </w:style>
  <w:style w:type="character" w:customStyle="1" w:styleId="14">
    <w:name w:val="页脚 字符1"/>
    <w:link w:val="aa"/>
    <w:uiPriority w:val="99"/>
    <w:locked/>
    <w:rPr>
      <w:kern w:val="2"/>
      <w:sz w:val="18"/>
      <w:szCs w:val="18"/>
    </w:rPr>
  </w:style>
  <w:style w:type="character" w:customStyle="1" w:styleId="15">
    <w:name w:val="标题 字符1"/>
    <w:link w:val="ac"/>
    <w:uiPriority w:val="10"/>
    <w:locked/>
    <w:rPr>
      <w:rFonts w:ascii="Cambria" w:hAnsi="Cambria" w:cs="宋体" w:hint="default"/>
      <w:b/>
      <w:bCs/>
      <w:sz w:val="32"/>
      <w:szCs w:val="32"/>
    </w:rPr>
  </w:style>
  <w:style w:type="character" w:customStyle="1" w:styleId="16">
    <w:name w:val="副标题 字符1"/>
    <w:link w:val="ae"/>
    <w:locked/>
    <w:rPr>
      <w:rFonts w:ascii="Cambria" w:eastAsia="宋体" w:hAnsi="Cambria" w:cs="宋体" w:hint="default"/>
      <w:b/>
      <w:bCs w:val="0"/>
      <w:kern w:val="24"/>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link w:val="af2"/>
    <w:locked/>
    <w:rPr>
      <w:rFonts w:ascii="宋体" w:eastAsia="宋体" w:hAnsi="宋体" w:hint="eastAsia"/>
      <w:kern w:val="2"/>
      <w:sz w:val="18"/>
      <w:szCs w:val="18"/>
    </w:rPr>
  </w:style>
  <w:style w:type="character" w:customStyle="1" w:styleId="19">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a">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162215123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1D039-BECD-4981-A79D-00334EF47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Words>
  <Characters>904</Characters>
  <Application>Microsoft Office Word</Application>
  <DocSecurity>4</DocSecurity>
  <Lines>7</Lines>
  <Paragraphs>2</Paragraphs>
  <ScaleCrop>false</ScaleCrop>
  <Company/>
  <LinksUpToDate>false</LinksUpToDate>
  <CharactersWithSpaces>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cp:lastPrinted>2026-02-06T08:31:00Z</cp:lastPrinted>
  <dcterms:created xsi:type="dcterms:W3CDTF">2026-02-10T16:02:00Z</dcterms:created>
  <dcterms:modified xsi:type="dcterms:W3CDTF">2026-02-10T16:02:00Z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