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鹏安安泰利率债债券型证券投资基金基金合同生效公告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2026年02月11日</w:t>
      </w:r>
    </w:p>
    <w:p w:rsidR="003F72D4" w:rsidRDefault="003F72D4"/>
    <w:p w:rsidR="003F72D4" w:rsidRDefault="00F226AF">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1"/>
        <w:gridCol w:w="1"/>
        <w:gridCol w:w="2785"/>
        <w:gridCol w:w="2929"/>
      </w:tblGrid>
      <w:tr w:rsidR="003F72D4">
        <w:tc>
          <w:tcPr>
            <w:tcW w:w="1923" w:type="pct"/>
            <w:vAlign w:val="center"/>
          </w:tcPr>
          <w:p w:rsidR="003F72D4" w:rsidRDefault="00F226AF">
            <w:pPr>
              <w:spacing w:line="240" w:lineRule="auto"/>
              <w:jc w:val="left"/>
            </w:pPr>
            <w:r>
              <w:rPr>
                <w:rFonts w:ascii="宋体" w:hAnsi="宋体" w:cs="宋体"/>
              </w:rPr>
              <w:t>基金名称</w:t>
            </w:r>
          </w:p>
        </w:tc>
        <w:tc>
          <w:tcPr>
            <w:tcW w:w="3077" w:type="pct"/>
            <w:hMerge w:val="restart"/>
            <w:vAlign w:val="center"/>
          </w:tcPr>
          <w:p w:rsidR="003F72D4" w:rsidRDefault="00F226AF">
            <w:pPr>
              <w:spacing w:line="240" w:lineRule="auto"/>
              <w:jc w:val="left"/>
            </w:pPr>
            <w:r>
              <w:rPr>
                <w:rFonts w:ascii="宋体" w:hAnsi="宋体" w:cs="宋体"/>
              </w:rPr>
              <w:t>鹏安安泰利率债债券型证券投资基金</w:t>
            </w:r>
          </w:p>
        </w:tc>
        <w:tc>
          <w:tcPr>
            <w:tcW w:w="0" w:type="auto"/>
            <w:gridSpan w:val="2"/>
            <w:hMerge/>
          </w:tcPr>
          <w:p w:rsidR="003F72D4" w:rsidRDefault="003F72D4"/>
        </w:tc>
      </w:tr>
      <w:tr w:rsidR="003F72D4">
        <w:tc>
          <w:tcPr>
            <w:tcW w:w="0" w:type="auto"/>
            <w:vAlign w:val="center"/>
          </w:tcPr>
          <w:p w:rsidR="003F72D4" w:rsidRDefault="00F226AF">
            <w:pPr>
              <w:spacing w:line="240" w:lineRule="auto"/>
              <w:jc w:val="left"/>
            </w:pPr>
            <w:r>
              <w:rPr>
                <w:rFonts w:ascii="宋体" w:hAnsi="宋体" w:cs="宋体"/>
              </w:rPr>
              <w:t>基金简称</w:t>
            </w:r>
          </w:p>
        </w:tc>
        <w:tc>
          <w:tcPr>
            <w:tcW w:w="0" w:type="auto"/>
            <w:hMerge w:val="restart"/>
            <w:vAlign w:val="center"/>
          </w:tcPr>
          <w:p w:rsidR="003F72D4" w:rsidRDefault="00F226AF">
            <w:pPr>
              <w:spacing w:line="240" w:lineRule="auto"/>
              <w:jc w:val="left"/>
            </w:pPr>
            <w:r>
              <w:rPr>
                <w:rFonts w:ascii="宋体" w:hAnsi="宋体" w:cs="宋体"/>
              </w:rPr>
              <w:t>鹏安安泰利率债</w:t>
            </w:r>
          </w:p>
        </w:tc>
        <w:tc>
          <w:tcPr>
            <w:tcW w:w="0" w:type="auto"/>
            <w:gridSpan w:val="2"/>
            <w:hMerge/>
          </w:tcPr>
          <w:p w:rsidR="003F72D4" w:rsidRDefault="003F72D4"/>
        </w:tc>
      </w:tr>
      <w:tr w:rsidR="003F72D4">
        <w:tc>
          <w:tcPr>
            <w:tcW w:w="0" w:type="auto"/>
            <w:vAlign w:val="center"/>
          </w:tcPr>
          <w:p w:rsidR="003F72D4" w:rsidRDefault="00F226AF">
            <w:pPr>
              <w:spacing w:line="240" w:lineRule="auto"/>
              <w:jc w:val="left"/>
            </w:pPr>
            <w:r>
              <w:rPr>
                <w:rFonts w:ascii="宋体" w:hAnsi="宋体" w:cs="宋体"/>
              </w:rPr>
              <w:t>基金主代码</w:t>
            </w:r>
          </w:p>
        </w:tc>
        <w:tc>
          <w:tcPr>
            <w:tcW w:w="0" w:type="auto"/>
            <w:hMerge w:val="restart"/>
            <w:vAlign w:val="center"/>
          </w:tcPr>
          <w:p w:rsidR="003F72D4" w:rsidRDefault="00F226AF">
            <w:pPr>
              <w:spacing w:line="240" w:lineRule="auto"/>
              <w:jc w:val="left"/>
            </w:pPr>
            <w:r>
              <w:rPr>
                <w:rFonts w:ascii="宋体" w:hAnsi="宋体" w:cs="宋体"/>
              </w:rPr>
              <w:t>026403</w:t>
            </w:r>
          </w:p>
        </w:tc>
        <w:tc>
          <w:tcPr>
            <w:tcW w:w="0" w:type="auto"/>
            <w:gridSpan w:val="2"/>
            <w:hMerge/>
          </w:tcPr>
          <w:p w:rsidR="003F72D4" w:rsidRDefault="003F72D4"/>
        </w:tc>
      </w:tr>
      <w:tr w:rsidR="003F72D4">
        <w:tc>
          <w:tcPr>
            <w:tcW w:w="0" w:type="auto"/>
            <w:vAlign w:val="center"/>
          </w:tcPr>
          <w:p w:rsidR="003F72D4" w:rsidRDefault="00F226AF">
            <w:pPr>
              <w:spacing w:line="240" w:lineRule="auto"/>
              <w:jc w:val="left"/>
            </w:pPr>
            <w:r>
              <w:rPr>
                <w:rFonts w:ascii="宋体" w:hAnsi="宋体" w:cs="宋体"/>
              </w:rPr>
              <w:t>基金运作方式</w:t>
            </w:r>
          </w:p>
        </w:tc>
        <w:tc>
          <w:tcPr>
            <w:tcW w:w="0" w:type="auto"/>
            <w:hMerge w:val="restart"/>
            <w:vAlign w:val="center"/>
          </w:tcPr>
          <w:p w:rsidR="003F72D4" w:rsidRDefault="00F226AF">
            <w:pPr>
              <w:spacing w:line="240" w:lineRule="auto"/>
              <w:jc w:val="left"/>
            </w:pPr>
            <w:r>
              <w:rPr>
                <w:rFonts w:ascii="宋体" w:hAnsi="宋体" w:cs="宋体"/>
              </w:rPr>
              <w:t>契约型开放式</w:t>
            </w:r>
          </w:p>
        </w:tc>
        <w:tc>
          <w:tcPr>
            <w:tcW w:w="0" w:type="auto"/>
            <w:gridSpan w:val="2"/>
            <w:hMerge/>
          </w:tcPr>
          <w:p w:rsidR="003F72D4" w:rsidRDefault="003F72D4"/>
        </w:tc>
      </w:tr>
      <w:tr w:rsidR="003F72D4">
        <w:tc>
          <w:tcPr>
            <w:tcW w:w="0" w:type="auto"/>
            <w:vAlign w:val="center"/>
          </w:tcPr>
          <w:p w:rsidR="003F72D4" w:rsidRDefault="00F226AF">
            <w:pPr>
              <w:spacing w:line="240" w:lineRule="auto"/>
              <w:jc w:val="left"/>
            </w:pPr>
            <w:r>
              <w:rPr>
                <w:rFonts w:ascii="宋体" w:hAnsi="宋体" w:cs="宋体"/>
              </w:rPr>
              <w:t>基金合同生效日</w:t>
            </w:r>
          </w:p>
        </w:tc>
        <w:tc>
          <w:tcPr>
            <w:tcW w:w="0" w:type="auto"/>
            <w:hMerge w:val="restart"/>
            <w:vAlign w:val="center"/>
          </w:tcPr>
          <w:p w:rsidR="003F72D4" w:rsidRDefault="00F226AF">
            <w:pPr>
              <w:spacing w:line="240" w:lineRule="auto"/>
              <w:jc w:val="lef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c>
          <w:tcPr>
            <w:tcW w:w="0" w:type="auto"/>
            <w:gridSpan w:val="2"/>
            <w:hMerge/>
          </w:tcPr>
          <w:p w:rsidR="003F72D4" w:rsidRDefault="003F72D4"/>
        </w:tc>
      </w:tr>
      <w:tr w:rsidR="003F72D4">
        <w:tc>
          <w:tcPr>
            <w:tcW w:w="0" w:type="auto"/>
            <w:vAlign w:val="center"/>
          </w:tcPr>
          <w:p w:rsidR="003F72D4" w:rsidRDefault="00F226AF">
            <w:pPr>
              <w:spacing w:line="240" w:lineRule="auto"/>
              <w:jc w:val="left"/>
            </w:pPr>
            <w:r>
              <w:rPr>
                <w:rFonts w:ascii="宋体" w:hAnsi="宋体" w:cs="宋体"/>
              </w:rPr>
              <w:t>基金管理人名称</w:t>
            </w:r>
          </w:p>
        </w:tc>
        <w:tc>
          <w:tcPr>
            <w:tcW w:w="0" w:type="auto"/>
            <w:hMerge w:val="restart"/>
            <w:vAlign w:val="center"/>
          </w:tcPr>
          <w:p w:rsidR="003F72D4" w:rsidRDefault="00F226AF">
            <w:pPr>
              <w:spacing w:line="240" w:lineRule="auto"/>
              <w:jc w:val="left"/>
            </w:pPr>
            <w:r>
              <w:rPr>
                <w:rFonts w:ascii="宋体" w:hAnsi="宋体" w:cs="宋体"/>
              </w:rPr>
              <w:t>鹏安基金管理有限公司</w:t>
            </w:r>
          </w:p>
        </w:tc>
        <w:tc>
          <w:tcPr>
            <w:tcW w:w="0" w:type="auto"/>
            <w:gridSpan w:val="2"/>
            <w:hMerge/>
          </w:tcPr>
          <w:p w:rsidR="003F72D4" w:rsidRDefault="003F72D4"/>
        </w:tc>
      </w:tr>
      <w:tr w:rsidR="003F72D4">
        <w:tc>
          <w:tcPr>
            <w:tcW w:w="0" w:type="auto"/>
            <w:vAlign w:val="center"/>
          </w:tcPr>
          <w:p w:rsidR="003F72D4" w:rsidRDefault="00F226AF">
            <w:pPr>
              <w:spacing w:line="240" w:lineRule="auto"/>
              <w:jc w:val="left"/>
            </w:pPr>
            <w:r>
              <w:rPr>
                <w:rFonts w:ascii="宋体" w:hAnsi="宋体" w:cs="宋体"/>
              </w:rPr>
              <w:t>基金托管人名称</w:t>
            </w:r>
          </w:p>
        </w:tc>
        <w:tc>
          <w:tcPr>
            <w:tcW w:w="0" w:type="auto"/>
            <w:hMerge w:val="restart"/>
            <w:vAlign w:val="center"/>
          </w:tcPr>
          <w:p w:rsidR="003F72D4" w:rsidRDefault="00F226AF">
            <w:pPr>
              <w:spacing w:line="240" w:lineRule="auto"/>
              <w:jc w:val="left"/>
            </w:pPr>
            <w:r>
              <w:rPr>
                <w:rFonts w:ascii="宋体" w:hAnsi="宋体" w:cs="宋体"/>
              </w:rPr>
              <w:t>苏州银行股份有限公司</w:t>
            </w:r>
          </w:p>
        </w:tc>
        <w:tc>
          <w:tcPr>
            <w:tcW w:w="0" w:type="auto"/>
            <w:gridSpan w:val="2"/>
            <w:hMerge/>
          </w:tcPr>
          <w:p w:rsidR="003F72D4" w:rsidRDefault="003F72D4"/>
        </w:tc>
      </w:tr>
      <w:tr w:rsidR="003F72D4">
        <w:tc>
          <w:tcPr>
            <w:tcW w:w="0" w:type="auto"/>
            <w:vAlign w:val="center"/>
          </w:tcPr>
          <w:p w:rsidR="003F72D4" w:rsidRDefault="00F226AF">
            <w:pPr>
              <w:spacing w:line="240" w:lineRule="auto"/>
              <w:jc w:val="left"/>
            </w:pPr>
            <w:r>
              <w:rPr>
                <w:rFonts w:ascii="宋体" w:hAnsi="宋体" w:cs="宋体"/>
              </w:rPr>
              <w:t>公告依据</w:t>
            </w:r>
          </w:p>
        </w:tc>
        <w:tc>
          <w:tcPr>
            <w:tcW w:w="0" w:type="auto"/>
            <w:hMerge w:val="restart"/>
            <w:vAlign w:val="center"/>
          </w:tcPr>
          <w:p w:rsidR="003F72D4" w:rsidRDefault="00F226AF">
            <w:pPr>
              <w:spacing w:line="240" w:lineRule="auto"/>
              <w:jc w:val="left"/>
            </w:pPr>
            <w:r>
              <w:rPr>
                <w:rFonts w:ascii="宋体" w:hAnsi="宋体" w:cs="宋体"/>
              </w:rPr>
              <w:t>《中华人民共和国证券投资基金法》《公开募集证券投资基金运作管理办法》和《公开募集证券投资基金信息披露管理办法》等法律法规以及《鹏安安泰利率债债券型证券投资基金基金合同》《鹏安安泰利率债债券型证券投资基金招募说明书》等。</w:t>
            </w:r>
          </w:p>
        </w:tc>
        <w:tc>
          <w:tcPr>
            <w:tcW w:w="0" w:type="auto"/>
            <w:gridSpan w:val="2"/>
            <w:hMerge/>
          </w:tcPr>
          <w:p w:rsidR="003F72D4" w:rsidRDefault="003F72D4"/>
        </w:tc>
      </w:tr>
      <w:tr w:rsidR="003F72D4">
        <w:tc>
          <w:tcPr>
            <w:tcW w:w="1923" w:type="pct"/>
            <w:vAlign w:val="center"/>
          </w:tcPr>
          <w:p w:rsidR="003F72D4" w:rsidRDefault="00F226AF">
            <w:pPr>
              <w:spacing w:line="240" w:lineRule="auto"/>
              <w:jc w:val="left"/>
            </w:pPr>
            <w:r>
              <w:rPr>
                <w:rFonts w:ascii="宋体" w:hAnsi="宋体" w:cs="宋体"/>
              </w:rPr>
              <w:t>下属分级基金的基金简称</w:t>
            </w:r>
          </w:p>
        </w:tc>
        <w:tc>
          <w:tcPr>
            <w:tcW w:w="1500" w:type="pct"/>
            <w:gridSpan w:val="2"/>
            <w:vAlign w:val="center"/>
          </w:tcPr>
          <w:p w:rsidR="003F72D4" w:rsidRDefault="00F226AF">
            <w:pPr>
              <w:spacing w:line="240" w:lineRule="auto"/>
              <w:jc w:val="left"/>
            </w:pPr>
            <w:r>
              <w:rPr>
                <w:rFonts w:ascii="宋体" w:hAnsi="宋体" w:cs="宋体"/>
              </w:rPr>
              <w:t>鹏安安泰利率债</w:t>
            </w:r>
            <w:r>
              <w:rPr>
                <w:rFonts w:ascii="宋体" w:hAnsi="宋体" w:cs="宋体"/>
              </w:rPr>
              <w:t>A</w:t>
            </w:r>
          </w:p>
        </w:tc>
        <w:tc>
          <w:tcPr>
            <w:tcW w:w="1500" w:type="pct"/>
            <w:vAlign w:val="center"/>
          </w:tcPr>
          <w:p w:rsidR="003F72D4" w:rsidRDefault="00F226AF">
            <w:pPr>
              <w:spacing w:line="240" w:lineRule="auto"/>
              <w:jc w:val="left"/>
            </w:pPr>
            <w:r>
              <w:rPr>
                <w:rFonts w:ascii="宋体" w:hAnsi="宋体" w:cs="宋体"/>
              </w:rPr>
              <w:t>鹏安安泰利率债</w:t>
            </w:r>
            <w:r>
              <w:rPr>
                <w:rFonts w:ascii="宋体" w:hAnsi="宋体" w:cs="宋体"/>
              </w:rPr>
              <w:t>C</w:t>
            </w:r>
          </w:p>
        </w:tc>
      </w:tr>
      <w:tr w:rsidR="003F72D4">
        <w:tc>
          <w:tcPr>
            <w:tcW w:w="0" w:type="auto"/>
            <w:vAlign w:val="center"/>
          </w:tcPr>
          <w:p w:rsidR="003F72D4" w:rsidRDefault="00F226AF">
            <w:pPr>
              <w:spacing w:line="240" w:lineRule="auto"/>
              <w:jc w:val="left"/>
            </w:pPr>
            <w:r>
              <w:rPr>
                <w:rFonts w:ascii="宋体" w:hAnsi="宋体" w:cs="宋体"/>
              </w:rPr>
              <w:t>下属分级基金的交易代码</w:t>
            </w:r>
          </w:p>
        </w:tc>
        <w:tc>
          <w:tcPr>
            <w:tcW w:w="1500" w:type="pct"/>
            <w:gridSpan w:val="2"/>
            <w:vAlign w:val="center"/>
          </w:tcPr>
          <w:p w:rsidR="003F72D4" w:rsidRDefault="00F226AF">
            <w:pPr>
              <w:spacing w:line="240" w:lineRule="auto"/>
              <w:jc w:val="left"/>
            </w:pPr>
            <w:r>
              <w:rPr>
                <w:rFonts w:ascii="宋体" w:hAnsi="宋体" w:cs="宋体"/>
              </w:rPr>
              <w:t>026403</w:t>
            </w:r>
          </w:p>
        </w:tc>
        <w:tc>
          <w:tcPr>
            <w:tcW w:w="1500" w:type="pct"/>
            <w:vAlign w:val="center"/>
          </w:tcPr>
          <w:p w:rsidR="003F72D4" w:rsidRDefault="00F226AF">
            <w:pPr>
              <w:spacing w:line="240" w:lineRule="auto"/>
              <w:jc w:val="left"/>
            </w:pPr>
            <w:r>
              <w:rPr>
                <w:rFonts w:ascii="宋体" w:hAnsi="宋体" w:cs="宋体"/>
              </w:rPr>
              <w:t>026404</w:t>
            </w:r>
          </w:p>
        </w:tc>
      </w:tr>
    </w:tbl>
    <w:p w:rsidR="003F72D4" w:rsidRDefault="003F72D4"/>
    <w:p w:rsidR="003F72D4" w:rsidRDefault="00F226AF">
      <w:pPr>
        <w:pStyle w:val="2"/>
      </w:pPr>
      <w:r>
        <w:rPr>
          <w:rFonts w:ascii="宋体" w:hAnsi="宋体" w:cs="宋体"/>
        </w:rPr>
        <w:t xml:space="preserve">2 </w:t>
      </w:r>
      <w:r>
        <w:rPr>
          <w:rFonts w:ascii="宋体" w:hAnsi="宋体" w:cs="宋体"/>
        </w:rPr>
        <w:t>基金募集情况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
        <w:gridCol w:w="1830"/>
        <w:gridCol w:w="1831"/>
        <w:gridCol w:w="1"/>
        <w:gridCol w:w="1"/>
        <w:gridCol w:w="1894"/>
        <w:gridCol w:w="1832"/>
        <w:gridCol w:w="1896"/>
      </w:tblGrid>
      <w:tr w:rsidR="003F72D4">
        <w:tc>
          <w:tcPr>
            <w:tcW w:w="2000" w:type="pct"/>
            <w:hMerge w:val="restart"/>
            <w:vAlign w:val="center"/>
          </w:tcPr>
          <w:p w:rsidR="003F72D4" w:rsidRDefault="00F226AF">
            <w:pPr>
              <w:spacing w:line="240" w:lineRule="auto"/>
              <w:jc w:val="left"/>
            </w:pPr>
            <w:r>
              <w:rPr>
                <w:rFonts w:ascii="宋体" w:hAnsi="宋体" w:cs="宋体"/>
              </w:rPr>
              <w:t>基金募集申请获中国证监会核准的文号</w:t>
            </w:r>
          </w:p>
        </w:tc>
        <w:tc>
          <w:tcPr>
            <w:tcW w:w="0" w:type="auto"/>
            <w:gridSpan w:val="2"/>
            <w:hMerge/>
          </w:tcPr>
          <w:p w:rsidR="003F72D4" w:rsidRDefault="003F72D4"/>
        </w:tc>
        <w:tc>
          <w:tcPr>
            <w:tcW w:w="0" w:type="auto"/>
            <w:hMerge w:val="restart"/>
            <w:vAlign w:val="center"/>
          </w:tcPr>
          <w:p w:rsidR="003F72D4" w:rsidRDefault="00F226AF">
            <w:pPr>
              <w:spacing w:line="240" w:lineRule="auto"/>
              <w:jc w:val="left"/>
            </w:pPr>
            <w:r>
              <w:rPr>
                <w:rFonts w:ascii="宋体" w:hAnsi="宋体" w:cs="宋体"/>
              </w:rPr>
              <w:t>证监许可﹝</w:t>
            </w:r>
            <w:r>
              <w:rPr>
                <w:rFonts w:ascii="宋体" w:hAnsi="宋体" w:cs="宋体"/>
              </w:rPr>
              <w:t>2025</w:t>
            </w:r>
            <w:r>
              <w:rPr>
                <w:rFonts w:ascii="宋体" w:hAnsi="宋体" w:cs="宋体"/>
              </w:rPr>
              <w:t>﹞</w:t>
            </w:r>
            <w:r>
              <w:rPr>
                <w:rFonts w:ascii="宋体" w:hAnsi="宋体" w:cs="宋体"/>
              </w:rPr>
              <w:t>2784</w:t>
            </w:r>
            <w:r>
              <w:rPr>
                <w:rFonts w:ascii="宋体" w:hAnsi="宋体" w:cs="宋体"/>
              </w:rPr>
              <w:t>号</w:t>
            </w:r>
          </w:p>
        </w:tc>
        <w:tc>
          <w:tcPr>
            <w:tcW w:w="0" w:type="auto"/>
            <w:hMerge/>
          </w:tcPr>
          <w:p w:rsidR="003F72D4" w:rsidRDefault="003F72D4"/>
        </w:tc>
        <w:tc>
          <w:tcPr>
            <w:tcW w:w="0" w:type="auto"/>
            <w:gridSpan w:val="3"/>
            <w:hMerge/>
          </w:tcPr>
          <w:p w:rsidR="003F72D4" w:rsidRDefault="003F72D4"/>
        </w:tc>
      </w:tr>
      <w:tr w:rsidR="003F72D4">
        <w:tc>
          <w:tcPr>
            <w:tcW w:w="0" w:type="auto"/>
            <w:hMerge w:val="restart"/>
            <w:vAlign w:val="center"/>
          </w:tcPr>
          <w:p w:rsidR="003F72D4" w:rsidRDefault="00F226AF">
            <w:pPr>
              <w:spacing w:line="240" w:lineRule="auto"/>
              <w:jc w:val="left"/>
            </w:pPr>
            <w:r>
              <w:rPr>
                <w:rFonts w:ascii="宋体" w:hAnsi="宋体" w:cs="宋体"/>
              </w:rPr>
              <w:t>基金募集期间</w:t>
            </w:r>
          </w:p>
        </w:tc>
        <w:tc>
          <w:tcPr>
            <w:tcW w:w="0" w:type="auto"/>
            <w:gridSpan w:val="2"/>
            <w:hMerge/>
          </w:tcPr>
          <w:p w:rsidR="003F72D4" w:rsidRDefault="003F72D4"/>
        </w:tc>
        <w:tc>
          <w:tcPr>
            <w:tcW w:w="0" w:type="auto"/>
            <w:hMerge w:val="restart"/>
            <w:vAlign w:val="center"/>
          </w:tcPr>
          <w:p w:rsidR="003F72D4" w:rsidRDefault="00F226AF">
            <w:pPr>
              <w:spacing w:line="240" w:lineRule="auto"/>
            </w:pPr>
            <w:r>
              <w:rPr>
                <w:rFonts w:ascii="宋体" w:hAnsi="宋体" w:cs="宋体"/>
              </w:rPr>
              <w:t>自</w:t>
            </w: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05</w:t>
            </w:r>
            <w:r>
              <w:rPr>
                <w:rFonts w:ascii="宋体" w:hAnsi="宋体" w:cs="宋体"/>
              </w:rPr>
              <w:t>日至</w:t>
            </w: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06</w:t>
            </w:r>
            <w:r>
              <w:rPr>
                <w:rFonts w:ascii="宋体" w:hAnsi="宋体" w:cs="宋体"/>
              </w:rPr>
              <w:t>日止</w:t>
            </w:r>
          </w:p>
        </w:tc>
        <w:tc>
          <w:tcPr>
            <w:tcW w:w="0" w:type="auto"/>
            <w:hMerge/>
          </w:tcPr>
          <w:p w:rsidR="003F72D4" w:rsidRDefault="003F72D4"/>
        </w:tc>
        <w:tc>
          <w:tcPr>
            <w:tcW w:w="0" w:type="auto"/>
            <w:gridSpan w:val="3"/>
            <w:hMerge/>
          </w:tcPr>
          <w:p w:rsidR="003F72D4" w:rsidRDefault="003F72D4"/>
        </w:tc>
      </w:tr>
      <w:tr w:rsidR="003F72D4">
        <w:tc>
          <w:tcPr>
            <w:tcW w:w="0" w:type="auto"/>
            <w:hMerge w:val="restart"/>
            <w:vAlign w:val="center"/>
          </w:tcPr>
          <w:p w:rsidR="003F72D4" w:rsidRDefault="00F226AF">
            <w:pPr>
              <w:spacing w:line="240" w:lineRule="auto"/>
              <w:jc w:val="left"/>
            </w:pPr>
            <w:r>
              <w:rPr>
                <w:rFonts w:ascii="宋体" w:hAnsi="宋体" w:cs="宋体"/>
              </w:rPr>
              <w:t>验资机构名称</w:t>
            </w:r>
          </w:p>
        </w:tc>
        <w:tc>
          <w:tcPr>
            <w:tcW w:w="0" w:type="auto"/>
            <w:gridSpan w:val="2"/>
            <w:hMerge/>
          </w:tcPr>
          <w:p w:rsidR="003F72D4" w:rsidRDefault="003F72D4"/>
        </w:tc>
        <w:tc>
          <w:tcPr>
            <w:tcW w:w="0" w:type="auto"/>
            <w:hMerge w:val="restart"/>
            <w:vAlign w:val="center"/>
          </w:tcPr>
          <w:p w:rsidR="003F72D4" w:rsidRDefault="00F226AF">
            <w:pPr>
              <w:spacing w:line="240" w:lineRule="auto"/>
            </w:pPr>
            <w:r>
              <w:rPr>
                <w:rFonts w:ascii="宋体" w:hAnsi="宋体" w:cs="宋体"/>
              </w:rPr>
              <w:t>容诚会计师事务所（特殊普通合伙）</w:t>
            </w:r>
          </w:p>
        </w:tc>
        <w:tc>
          <w:tcPr>
            <w:tcW w:w="0" w:type="auto"/>
            <w:hMerge/>
          </w:tcPr>
          <w:p w:rsidR="003F72D4" w:rsidRDefault="003F72D4"/>
        </w:tc>
        <w:tc>
          <w:tcPr>
            <w:tcW w:w="0" w:type="auto"/>
            <w:gridSpan w:val="3"/>
            <w:hMerge/>
          </w:tcPr>
          <w:p w:rsidR="003F72D4" w:rsidRDefault="003F72D4"/>
        </w:tc>
      </w:tr>
      <w:tr w:rsidR="003F72D4">
        <w:tc>
          <w:tcPr>
            <w:tcW w:w="0" w:type="auto"/>
            <w:hMerge w:val="restart"/>
            <w:vAlign w:val="center"/>
          </w:tcPr>
          <w:p w:rsidR="003F72D4" w:rsidRDefault="00F226AF">
            <w:pPr>
              <w:spacing w:line="240" w:lineRule="auto"/>
              <w:jc w:val="left"/>
            </w:pPr>
            <w:r>
              <w:rPr>
                <w:rFonts w:ascii="宋体" w:hAnsi="宋体" w:cs="宋体"/>
              </w:rPr>
              <w:t>募集资金划入基金托管专户的日期</w:t>
            </w:r>
          </w:p>
        </w:tc>
        <w:tc>
          <w:tcPr>
            <w:tcW w:w="0" w:type="auto"/>
            <w:gridSpan w:val="2"/>
            <w:hMerge/>
          </w:tcPr>
          <w:p w:rsidR="003F72D4" w:rsidRDefault="003F72D4"/>
        </w:tc>
        <w:tc>
          <w:tcPr>
            <w:tcW w:w="0" w:type="auto"/>
            <w:hMerge w:val="restart"/>
            <w:vAlign w:val="center"/>
          </w:tcPr>
          <w:p w:rsidR="003F72D4" w:rsidRDefault="00F226AF">
            <w:pPr>
              <w:spacing w:line="240" w:lineRule="auto"/>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c>
          <w:tcPr>
            <w:tcW w:w="0" w:type="auto"/>
            <w:hMerge/>
          </w:tcPr>
          <w:p w:rsidR="003F72D4" w:rsidRDefault="003F72D4"/>
        </w:tc>
        <w:tc>
          <w:tcPr>
            <w:tcW w:w="0" w:type="auto"/>
            <w:gridSpan w:val="3"/>
            <w:hMerge/>
          </w:tcPr>
          <w:p w:rsidR="003F72D4" w:rsidRDefault="003F72D4"/>
        </w:tc>
      </w:tr>
      <w:tr w:rsidR="003F72D4">
        <w:tc>
          <w:tcPr>
            <w:tcW w:w="0" w:type="auto"/>
            <w:hMerge w:val="restart"/>
            <w:vAlign w:val="center"/>
          </w:tcPr>
          <w:p w:rsidR="003F72D4" w:rsidRDefault="00F226AF">
            <w:pPr>
              <w:spacing w:line="240" w:lineRule="auto"/>
              <w:jc w:val="left"/>
            </w:pPr>
            <w:r>
              <w:rPr>
                <w:rFonts w:ascii="宋体" w:hAnsi="宋体" w:cs="宋体"/>
              </w:rPr>
              <w:t>募集有效认购总户数（单位：户）</w:t>
            </w:r>
          </w:p>
        </w:tc>
        <w:tc>
          <w:tcPr>
            <w:tcW w:w="0" w:type="auto"/>
            <w:gridSpan w:val="2"/>
            <w:hMerge/>
          </w:tcPr>
          <w:p w:rsidR="003F72D4" w:rsidRDefault="003F72D4"/>
        </w:tc>
        <w:tc>
          <w:tcPr>
            <w:tcW w:w="0" w:type="auto"/>
            <w:hMerge w:val="restart"/>
            <w:vAlign w:val="center"/>
          </w:tcPr>
          <w:p w:rsidR="003F72D4" w:rsidRDefault="00F226AF">
            <w:pPr>
              <w:spacing w:line="240" w:lineRule="auto"/>
              <w:jc w:val="left"/>
            </w:pPr>
            <w:r>
              <w:rPr>
                <w:rFonts w:ascii="宋体" w:hAnsi="宋体" w:cs="宋体"/>
              </w:rPr>
              <w:t>268</w:t>
            </w:r>
          </w:p>
        </w:tc>
        <w:tc>
          <w:tcPr>
            <w:tcW w:w="0" w:type="auto"/>
            <w:hMerge/>
          </w:tcPr>
          <w:p w:rsidR="003F72D4" w:rsidRDefault="003F72D4"/>
        </w:tc>
        <w:tc>
          <w:tcPr>
            <w:tcW w:w="0" w:type="auto"/>
            <w:gridSpan w:val="3"/>
            <w:hMerge/>
          </w:tcPr>
          <w:p w:rsidR="003F72D4" w:rsidRDefault="003F72D4"/>
        </w:tc>
      </w:tr>
      <w:tr w:rsidR="003F72D4">
        <w:tc>
          <w:tcPr>
            <w:tcW w:w="2000" w:type="pct"/>
            <w:hMerge w:val="restart"/>
            <w:vAlign w:val="center"/>
          </w:tcPr>
          <w:p w:rsidR="003F72D4" w:rsidRDefault="00F226AF">
            <w:pPr>
              <w:spacing w:line="240" w:lineRule="auto"/>
              <w:jc w:val="left"/>
            </w:pPr>
            <w:r>
              <w:rPr>
                <w:rFonts w:ascii="宋体" w:hAnsi="宋体" w:cs="宋体"/>
              </w:rPr>
              <w:t>份额级别</w:t>
            </w:r>
            <w:r>
              <w:rPr>
                <w:rFonts w:ascii="宋体" w:hAnsi="宋体" w:cs="宋体"/>
              </w:rPr>
              <w:t xml:space="preserve"> </w:t>
            </w:r>
          </w:p>
        </w:tc>
        <w:tc>
          <w:tcPr>
            <w:tcW w:w="0" w:type="auto"/>
            <w:gridSpan w:val="2"/>
            <w:hMerge/>
          </w:tcPr>
          <w:p w:rsidR="003F72D4" w:rsidRDefault="003F72D4"/>
        </w:tc>
        <w:tc>
          <w:tcPr>
            <w:tcW w:w="1000" w:type="pct"/>
            <w:gridSpan w:val="3"/>
            <w:vAlign w:val="center"/>
          </w:tcPr>
          <w:p w:rsidR="003F72D4" w:rsidRDefault="00F226AF">
            <w:pPr>
              <w:spacing w:line="240" w:lineRule="auto"/>
              <w:jc w:val="center"/>
            </w:pPr>
            <w:r>
              <w:rPr>
                <w:rFonts w:ascii="宋体" w:hAnsi="宋体" w:cs="宋体"/>
              </w:rPr>
              <w:t>鹏安安泰利率债</w:t>
            </w:r>
            <w:r>
              <w:rPr>
                <w:rFonts w:ascii="宋体" w:hAnsi="宋体" w:cs="宋体"/>
              </w:rPr>
              <w:t>A</w:t>
            </w:r>
          </w:p>
        </w:tc>
        <w:tc>
          <w:tcPr>
            <w:tcW w:w="1000" w:type="pct"/>
            <w:vAlign w:val="center"/>
          </w:tcPr>
          <w:p w:rsidR="003F72D4" w:rsidRDefault="00F226AF">
            <w:pPr>
              <w:spacing w:line="240" w:lineRule="auto"/>
              <w:jc w:val="center"/>
            </w:pPr>
            <w:r>
              <w:rPr>
                <w:rFonts w:ascii="宋体" w:hAnsi="宋体" w:cs="宋体"/>
              </w:rPr>
              <w:t>鹏安安泰利率债</w:t>
            </w:r>
            <w:r>
              <w:rPr>
                <w:rFonts w:ascii="宋体" w:hAnsi="宋体" w:cs="宋体"/>
              </w:rPr>
              <w:t>C</w:t>
            </w:r>
          </w:p>
        </w:tc>
        <w:tc>
          <w:tcPr>
            <w:tcW w:w="1000" w:type="pct"/>
            <w:vAlign w:val="center"/>
          </w:tcPr>
          <w:p w:rsidR="003F72D4" w:rsidRDefault="00F226AF">
            <w:pPr>
              <w:spacing w:line="240" w:lineRule="auto"/>
              <w:jc w:val="center"/>
            </w:pPr>
            <w:r>
              <w:rPr>
                <w:rFonts w:ascii="宋体" w:hAnsi="宋体" w:cs="宋体"/>
              </w:rPr>
              <w:t>合计</w:t>
            </w:r>
          </w:p>
        </w:tc>
      </w:tr>
      <w:tr w:rsidR="003F72D4">
        <w:tc>
          <w:tcPr>
            <w:tcW w:w="0" w:type="auto"/>
            <w:hMerge w:val="restart"/>
            <w:vAlign w:val="center"/>
          </w:tcPr>
          <w:p w:rsidR="003F72D4" w:rsidRDefault="00F226AF">
            <w:pPr>
              <w:spacing w:line="240" w:lineRule="auto"/>
              <w:jc w:val="left"/>
            </w:pPr>
            <w:r>
              <w:rPr>
                <w:rFonts w:ascii="宋体" w:hAnsi="宋体" w:cs="宋体"/>
              </w:rPr>
              <w:t>募集期间净认购金额（单位：人民币元）</w:t>
            </w:r>
          </w:p>
        </w:tc>
        <w:tc>
          <w:tcPr>
            <w:tcW w:w="0" w:type="auto"/>
            <w:gridSpan w:val="2"/>
            <w:hMerge/>
          </w:tcPr>
          <w:p w:rsidR="003F72D4" w:rsidRDefault="003F72D4"/>
        </w:tc>
        <w:tc>
          <w:tcPr>
            <w:tcW w:w="1000" w:type="pct"/>
            <w:gridSpan w:val="3"/>
            <w:vAlign w:val="center"/>
          </w:tcPr>
          <w:p w:rsidR="003F72D4" w:rsidRDefault="00F226AF">
            <w:pPr>
              <w:spacing w:line="240" w:lineRule="auto"/>
              <w:jc w:val="right"/>
            </w:pPr>
            <w:r>
              <w:rPr>
                <w:rFonts w:ascii="宋体" w:hAnsi="宋体" w:cs="宋体"/>
              </w:rPr>
              <w:t>5,400,071,980.60</w:t>
            </w:r>
          </w:p>
        </w:tc>
        <w:tc>
          <w:tcPr>
            <w:tcW w:w="1000" w:type="pct"/>
            <w:vAlign w:val="center"/>
          </w:tcPr>
          <w:p w:rsidR="003F72D4" w:rsidRDefault="00F226AF">
            <w:pPr>
              <w:spacing w:line="240" w:lineRule="auto"/>
              <w:jc w:val="right"/>
            </w:pPr>
            <w:r>
              <w:rPr>
                <w:rFonts w:ascii="宋体" w:hAnsi="宋体" w:cs="宋体"/>
              </w:rPr>
              <w:t>599,902,350.62</w:t>
            </w:r>
          </w:p>
        </w:tc>
        <w:tc>
          <w:tcPr>
            <w:tcW w:w="1000" w:type="pct"/>
            <w:vAlign w:val="center"/>
          </w:tcPr>
          <w:p w:rsidR="003F72D4" w:rsidRDefault="00F226AF">
            <w:pPr>
              <w:spacing w:line="240" w:lineRule="auto"/>
              <w:jc w:val="right"/>
            </w:pPr>
            <w:r>
              <w:rPr>
                <w:rFonts w:ascii="宋体" w:hAnsi="宋体" w:cs="宋体"/>
              </w:rPr>
              <w:t>5,999,974,331.22</w:t>
            </w:r>
          </w:p>
        </w:tc>
      </w:tr>
      <w:tr w:rsidR="003F72D4">
        <w:tc>
          <w:tcPr>
            <w:tcW w:w="0" w:type="auto"/>
            <w:hMerge w:val="restart"/>
            <w:vAlign w:val="center"/>
          </w:tcPr>
          <w:p w:rsidR="003F72D4" w:rsidRDefault="00F226AF">
            <w:pPr>
              <w:spacing w:line="240" w:lineRule="auto"/>
              <w:jc w:val="left"/>
            </w:pPr>
            <w:r>
              <w:rPr>
                <w:rFonts w:ascii="宋体" w:hAnsi="宋体" w:cs="宋体"/>
              </w:rPr>
              <w:t>认购资金在募集期间产生的利息（单位：人民币元）</w:t>
            </w:r>
          </w:p>
        </w:tc>
        <w:tc>
          <w:tcPr>
            <w:tcW w:w="0" w:type="auto"/>
            <w:gridSpan w:val="2"/>
            <w:hMerge/>
          </w:tcPr>
          <w:p w:rsidR="003F72D4" w:rsidRDefault="003F72D4"/>
        </w:tc>
        <w:tc>
          <w:tcPr>
            <w:tcW w:w="1000" w:type="pct"/>
            <w:gridSpan w:val="3"/>
            <w:vAlign w:val="center"/>
          </w:tcPr>
          <w:p w:rsidR="003F72D4" w:rsidRDefault="00F226AF">
            <w:pPr>
              <w:spacing w:line="240" w:lineRule="auto"/>
              <w:jc w:val="right"/>
            </w:pPr>
            <w:r>
              <w:rPr>
                <w:rFonts w:ascii="宋体" w:hAnsi="宋体" w:cs="宋体"/>
              </w:rPr>
              <w:t>118,623.15</w:t>
            </w:r>
          </w:p>
        </w:tc>
        <w:tc>
          <w:tcPr>
            <w:tcW w:w="1000" w:type="pct"/>
            <w:vAlign w:val="center"/>
          </w:tcPr>
          <w:p w:rsidR="003F72D4" w:rsidRDefault="00F226AF">
            <w:pPr>
              <w:spacing w:line="240" w:lineRule="auto"/>
              <w:jc w:val="right"/>
            </w:pPr>
            <w:r>
              <w:rPr>
                <w:rFonts w:ascii="宋体" w:hAnsi="宋体" w:cs="宋体"/>
              </w:rPr>
              <w:t>23,329.81</w:t>
            </w:r>
          </w:p>
        </w:tc>
        <w:tc>
          <w:tcPr>
            <w:tcW w:w="1000" w:type="pct"/>
            <w:vAlign w:val="center"/>
          </w:tcPr>
          <w:p w:rsidR="003F72D4" w:rsidRDefault="00F226AF">
            <w:pPr>
              <w:spacing w:line="240" w:lineRule="auto"/>
              <w:jc w:val="right"/>
            </w:pPr>
            <w:r>
              <w:rPr>
                <w:rFonts w:ascii="宋体" w:hAnsi="宋体" w:cs="宋体"/>
              </w:rPr>
              <w:t>141,952.96</w:t>
            </w:r>
          </w:p>
        </w:tc>
      </w:tr>
      <w:tr w:rsidR="003F72D4">
        <w:tc>
          <w:tcPr>
            <w:tcW w:w="1000" w:type="pct"/>
            <w:gridSpan w:val="2"/>
            <w:vMerge w:val="restart"/>
            <w:vAlign w:val="center"/>
          </w:tcPr>
          <w:p w:rsidR="003F72D4" w:rsidRDefault="00F226AF">
            <w:pPr>
              <w:spacing w:line="240" w:lineRule="auto"/>
              <w:jc w:val="left"/>
            </w:pPr>
            <w:r>
              <w:rPr>
                <w:rFonts w:ascii="宋体" w:hAnsi="宋体" w:cs="宋体"/>
              </w:rPr>
              <w:t>募集份额（单位：份</w:t>
            </w:r>
            <w:r>
              <w:rPr>
                <w:rFonts w:ascii="宋体" w:hAnsi="宋体" w:cs="宋体"/>
              </w:rPr>
              <w:t xml:space="preserve"> </w:t>
            </w:r>
            <w:r>
              <w:rPr>
                <w:rFonts w:ascii="宋体" w:hAnsi="宋体" w:cs="宋体"/>
              </w:rPr>
              <w:t>）</w:t>
            </w:r>
          </w:p>
        </w:tc>
        <w:tc>
          <w:tcPr>
            <w:tcW w:w="1000" w:type="pct"/>
            <w:vAlign w:val="center"/>
          </w:tcPr>
          <w:p w:rsidR="003F72D4" w:rsidRDefault="00F226AF">
            <w:pPr>
              <w:spacing w:line="240" w:lineRule="auto"/>
            </w:pPr>
            <w:r>
              <w:rPr>
                <w:rFonts w:ascii="宋体" w:hAnsi="宋体" w:cs="宋体"/>
              </w:rPr>
              <w:t>有效认购份额</w:t>
            </w:r>
          </w:p>
        </w:tc>
        <w:tc>
          <w:tcPr>
            <w:tcW w:w="1000" w:type="pct"/>
            <w:gridSpan w:val="3"/>
            <w:vAlign w:val="center"/>
          </w:tcPr>
          <w:p w:rsidR="003F72D4" w:rsidRDefault="00F226AF">
            <w:pPr>
              <w:spacing w:line="240" w:lineRule="auto"/>
              <w:jc w:val="right"/>
            </w:pPr>
            <w:r>
              <w:rPr>
                <w:rFonts w:ascii="宋体" w:hAnsi="宋体" w:cs="宋体"/>
              </w:rPr>
              <w:t>5,400,071,980.60</w:t>
            </w:r>
          </w:p>
        </w:tc>
        <w:tc>
          <w:tcPr>
            <w:tcW w:w="1000" w:type="pct"/>
            <w:vAlign w:val="center"/>
          </w:tcPr>
          <w:p w:rsidR="003F72D4" w:rsidRDefault="00F226AF">
            <w:pPr>
              <w:spacing w:line="240" w:lineRule="auto"/>
              <w:jc w:val="right"/>
            </w:pPr>
            <w:r>
              <w:rPr>
                <w:rFonts w:ascii="宋体" w:hAnsi="宋体" w:cs="宋体"/>
              </w:rPr>
              <w:t>599,902,350.62</w:t>
            </w:r>
          </w:p>
        </w:tc>
        <w:tc>
          <w:tcPr>
            <w:tcW w:w="1000" w:type="pct"/>
            <w:vAlign w:val="center"/>
          </w:tcPr>
          <w:p w:rsidR="003F72D4" w:rsidRDefault="00F226AF">
            <w:pPr>
              <w:spacing w:line="240" w:lineRule="auto"/>
              <w:jc w:val="right"/>
            </w:pPr>
            <w:r>
              <w:rPr>
                <w:rFonts w:ascii="宋体" w:hAnsi="宋体" w:cs="宋体"/>
              </w:rPr>
              <w:t>5,999,974,331.22</w:t>
            </w:r>
          </w:p>
        </w:tc>
      </w:tr>
      <w:tr w:rsidR="003F72D4">
        <w:tc>
          <w:tcPr>
            <w:tcW w:w="0" w:type="auto"/>
            <w:gridSpan w:val="2"/>
            <w:vMerge/>
          </w:tcPr>
          <w:p w:rsidR="003F72D4" w:rsidRDefault="003F72D4"/>
        </w:tc>
        <w:tc>
          <w:tcPr>
            <w:tcW w:w="0" w:type="auto"/>
            <w:vAlign w:val="center"/>
          </w:tcPr>
          <w:p w:rsidR="003F72D4" w:rsidRDefault="00F226AF">
            <w:pPr>
              <w:spacing w:line="240" w:lineRule="auto"/>
            </w:pPr>
            <w:r>
              <w:rPr>
                <w:rFonts w:ascii="宋体" w:hAnsi="宋体" w:cs="宋体"/>
              </w:rPr>
              <w:t>利息结转的份额</w:t>
            </w:r>
          </w:p>
        </w:tc>
        <w:tc>
          <w:tcPr>
            <w:tcW w:w="1000" w:type="pct"/>
            <w:gridSpan w:val="3"/>
            <w:vAlign w:val="center"/>
          </w:tcPr>
          <w:p w:rsidR="003F72D4" w:rsidRDefault="00F226AF">
            <w:pPr>
              <w:spacing w:line="240" w:lineRule="auto"/>
              <w:jc w:val="right"/>
            </w:pPr>
            <w:r>
              <w:rPr>
                <w:rFonts w:ascii="宋体" w:hAnsi="宋体" w:cs="宋体"/>
              </w:rPr>
              <w:t>118,623.15</w:t>
            </w:r>
          </w:p>
        </w:tc>
        <w:tc>
          <w:tcPr>
            <w:tcW w:w="1000" w:type="pct"/>
            <w:vAlign w:val="center"/>
          </w:tcPr>
          <w:p w:rsidR="003F72D4" w:rsidRDefault="00F226AF">
            <w:pPr>
              <w:spacing w:line="240" w:lineRule="auto"/>
              <w:jc w:val="right"/>
            </w:pPr>
            <w:r>
              <w:rPr>
                <w:rFonts w:ascii="宋体" w:hAnsi="宋体" w:cs="宋体"/>
              </w:rPr>
              <w:t>23,329.81</w:t>
            </w:r>
          </w:p>
        </w:tc>
        <w:tc>
          <w:tcPr>
            <w:tcW w:w="1000" w:type="pct"/>
            <w:vAlign w:val="center"/>
          </w:tcPr>
          <w:p w:rsidR="003F72D4" w:rsidRDefault="00F226AF">
            <w:pPr>
              <w:spacing w:line="240" w:lineRule="auto"/>
              <w:jc w:val="right"/>
            </w:pPr>
            <w:r>
              <w:rPr>
                <w:rFonts w:ascii="宋体" w:hAnsi="宋体" w:cs="宋体"/>
              </w:rPr>
              <w:t>141,952.96</w:t>
            </w:r>
          </w:p>
        </w:tc>
      </w:tr>
      <w:tr w:rsidR="003F72D4">
        <w:tc>
          <w:tcPr>
            <w:tcW w:w="0" w:type="auto"/>
            <w:gridSpan w:val="2"/>
            <w:vMerge/>
          </w:tcPr>
          <w:p w:rsidR="003F72D4" w:rsidRDefault="003F72D4"/>
        </w:tc>
        <w:tc>
          <w:tcPr>
            <w:tcW w:w="0" w:type="auto"/>
            <w:vAlign w:val="center"/>
          </w:tcPr>
          <w:p w:rsidR="003F72D4" w:rsidRDefault="00F226AF">
            <w:pPr>
              <w:spacing w:line="240" w:lineRule="auto"/>
            </w:pPr>
            <w:r>
              <w:rPr>
                <w:rFonts w:ascii="宋体" w:hAnsi="宋体" w:cs="宋体"/>
              </w:rPr>
              <w:t>合计</w:t>
            </w:r>
          </w:p>
        </w:tc>
        <w:tc>
          <w:tcPr>
            <w:tcW w:w="1000" w:type="pct"/>
            <w:gridSpan w:val="3"/>
            <w:vAlign w:val="center"/>
          </w:tcPr>
          <w:p w:rsidR="003F72D4" w:rsidRDefault="00F226AF">
            <w:pPr>
              <w:spacing w:line="240" w:lineRule="auto"/>
              <w:jc w:val="right"/>
            </w:pPr>
            <w:r>
              <w:rPr>
                <w:rFonts w:ascii="宋体" w:hAnsi="宋体" w:cs="宋体"/>
              </w:rPr>
              <w:t>5,400,190,603.75</w:t>
            </w:r>
          </w:p>
        </w:tc>
        <w:tc>
          <w:tcPr>
            <w:tcW w:w="1000" w:type="pct"/>
            <w:vAlign w:val="center"/>
          </w:tcPr>
          <w:p w:rsidR="003F72D4" w:rsidRDefault="00F226AF">
            <w:pPr>
              <w:spacing w:line="240" w:lineRule="auto"/>
              <w:jc w:val="right"/>
            </w:pPr>
            <w:r>
              <w:rPr>
                <w:rFonts w:ascii="宋体" w:hAnsi="宋体" w:cs="宋体"/>
              </w:rPr>
              <w:t>599,925,680.43</w:t>
            </w:r>
          </w:p>
        </w:tc>
        <w:tc>
          <w:tcPr>
            <w:tcW w:w="1000" w:type="pct"/>
            <w:vAlign w:val="center"/>
          </w:tcPr>
          <w:p w:rsidR="003F72D4" w:rsidRDefault="00F226AF">
            <w:pPr>
              <w:spacing w:line="240" w:lineRule="auto"/>
              <w:jc w:val="right"/>
            </w:pPr>
            <w:r>
              <w:rPr>
                <w:rFonts w:ascii="宋体" w:hAnsi="宋体" w:cs="宋体"/>
              </w:rPr>
              <w:t>6,000,116,284.18</w:t>
            </w:r>
          </w:p>
        </w:tc>
      </w:tr>
      <w:tr w:rsidR="003F72D4">
        <w:tc>
          <w:tcPr>
            <w:tcW w:w="0" w:type="auto"/>
            <w:gridSpan w:val="2"/>
            <w:vMerge w:val="restart"/>
            <w:vAlign w:val="center"/>
          </w:tcPr>
          <w:p w:rsidR="003F72D4" w:rsidRDefault="00F226AF">
            <w:pPr>
              <w:spacing w:line="240" w:lineRule="auto"/>
              <w:jc w:val="left"/>
            </w:pPr>
            <w:r>
              <w:rPr>
                <w:rFonts w:ascii="宋体" w:hAnsi="宋体" w:cs="宋体"/>
              </w:rPr>
              <w:t>其中：募集期间基金管理人运用固有资金认购本基金情况</w:t>
            </w:r>
          </w:p>
        </w:tc>
        <w:tc>
          <w:tcPr>
            <w:tcW w:w="0" w:type="auto"/>
            <w:vAlign w:val="center"/>
          </w:tcPr>
          <w:p w:rsidR="003F72D4" w:rsidRDefault="00F226AF">
            <w:pPr>
              <w:spacing w:line="240" w:lineRule="auto"/>
            </w:pPr>
            <w:r>
              <w:rPr>
                <w:rFonts w:ascii="宋体" w:hAnsi="宋体" w:cs="宋体"/>
              </w:rPr>
              <w:t>认购的基金份额</w:t>
            </w:r>
            <w:r>
              <w:rPr>
                <w:rFonts w:ascii="宋体" w:hAnsi="宋体" w:cs="宋体"/>
              </w:rPr>
              <w:t xml:space="preserve"> </w:t>
            </w:r>
            <w:r>
              <w:rPr>
                <w:rFonts w:ascii="宋体" w:hAnsi="宋体" w:cs="宋体"/>
              </w:rPr>
              <w:t>（单位：份</w:t>
            </w:r>
            <w:r>
              <w:rPr>
                <w:rFonts w:ascii="宋体" w:hAnsi="宋体" w:cs="宋体"/>
              </w:rPr>
              <w:t xml:space="preserve"> </w:t>
            </w:r>
            <w:r>
              <w:rPr>
                <w:rFonts w:ascii="宋体" w:hAnsi="宋体" w:cs="宋体"/>
              </w:rPr>
              <w:t>）</w:t>
            </w:r>
          </w:p>
        </w:tc>
        <w:tc>
          <w:tcPr>
            <w:tcW w:w="1000" w:type="pct"/>
            <w:gridSpan w:val="3"/>
            <w:vAlign w:val="center"/>
          </w:tcPr>
          <w:p w:rsidR="003F72D4" w:rsidRDefault="00F226AF">
            <w:pPr>
              <w:spacing w:line="240" w:lineRule="auto"/>
              <w:jc w:val="right"/>
            </w:pPr>
            <w:r>
              <w:rPr>
                <w:rFonts w:ascii="宋体" w:hAnsi="宋体" w:cs="宋体"/>
              </w:rPr>
              <w:t>0.00</w:t>
            </w:r>
          </w:p>
        </w:tc>
        <w:tc>
          <w:tcPr>
            <w:tcW w:w="1000" w:type="pct"/>
            <w:vAlign w:val="center"/>
          </w:tcPr>
          <w:p w:rsidR="003F72D4" w:rsidRDefault="00F226AF">
            <w:pPr>
              <w:spacing w:line="240" w:lineRule="auto"/>
              <w:jc w:val="right"/>
            </w:pPr>
            <w:r>
              <w:rPr>
                <w:rFonts w:ascii="宋体" w:hAnsi="宋体" w:cs="宋体"/>
              </w:rPr>
              <w:t>0.00</w:t>
            </w:r>
          </w:p>
        </w:tc>
        <w:tc>
          <w:tcPr>
            <w:tcW w:w="1000" w:type="pct"/>
            <w:vAlign w:val="center"/>
          </w:tcPr>
          <w:p w:rsidR="003F72D4" w:rsidRDefault="00F226AF">
            <w:pPr>
              <w:spacing w:line="240" w:lineRule="auto"/>
              <w:jc w:val="right"/>
            </w:pPr>
            <w:r>
              <w:rPr>
                <w:rFonts w:ascii="宋体" w:hAnsi="宋体" w:cs="宋体"/>
              </w:rPr>
              <w:t>0.00</w:t>
            </w:r>
          </w:p>
        </w:tc>
      </w:tr>
      <w:tr w:rsidR="003F72D4">
        <w:tc>
          <w:tcPr>
            <w:tcW w:w="0" w:type="auto"/>
            <w:gridSpan w:val="2"/>
            <w:vMerge/>
          </w:tcPr>
          <w:p w:rsidR="003F72D4" w:rsidRDefault="003F72D4"/>
        </w:tc>
        <w:tc>
          <w:tcPr>
            <w:tcW w:w="0" w:type="auto"/>
            <w:vAlign w:val="center"/>
          </w:tcPr>
          <w:p w:rsidR="003F72D4" w:rsidRDefault="00F226AF">
            <w:pPr>
              <w:spacing w:line="240" w:lineRule="auto"/>
            </w:pPr>
            <w:r>
              <w:rPr>
                <w:rFonts w:ascii="宋体" w:hAnsi="宋体" w:cs="宋体"/>
              </w:rPr>
              <w:t>占基金总份额比例</w:t>
            </w:r>
          </w:p>
        </w:tc>
        <w:tc>
          <w:tcPr>
            <w:tcW w:w="1000" w:type="pct"/>
            <w:gridSpan w:val="3"/>
            <w:vAlign w:val="center"/>
          </w:tcPr>
          <w:p w:rsidR="003F72D4" w:rsidRDefault="00F226AF">
            <w:pPr>
              <w:spacing w:line="240" w:lineRule="auto"/>
              <w:jc w:val="right"/>
            </w:pPr>
            <w:r>
              <w:rPr>
                <w:rFonts w:ascii="宋体" w:hAnsi="宋体" w:cs="宋体"/>
              </w:rPr>
              <w:t>0%</w:t>
            </w:r>
          </w:p>
        </w:tc>
        <w:tc>
          <w:tcPr>
            <w:tcW w:w="1000" w:type="pct"/>
            <w:vAlign w:val="center"/>
          </w:tcPr>
          <w:p w:rsidR="003F72D4" w:rsidRDefault="00F226AF">
            <w:pPr>
              <w:spacing w:line="240" w:lineRule="auto"/>
              <w:jc w:val="right"/>
            </w:pPr>
            <w:r>
              <w:rPr>
                <w:rFonts w:ascii="宋体" w:hAnsi="宋体" w:cs="宋体"/>
              </w:rPr>
              <w:t>0%</w:t>
            </w:r>
          </w:p>
        </w:tc>
        <w:tc>
          <w:tcPr>
            <w:tcW w:w="1000" w:type="pct"/>
            <w:vAlign w:val="center"/>
          </w:tcPr>
          <w:p w:rsidR="003F72D4" w:rsidRDefault="00F226AF">
            <w:pPr>
              <w:spacing w:line="240" w:lineRule="auto"/>
              <w:jc w:val="right"/>
            </w:pPr>
            <w:r>
              <w:rPr>
                <w:rFonts w:ascii="宋体" w:hAnsi="宋体" w:cs="宋体"/>
              </w:rPr>
              <w:t>0%</w:t>
            </w:r>
          </w:p>
        </w:tc>
      </w:tr>
      <w:tr w:rsidR="003F72D4">
        <w:tc>
          <w:tcPr>
            <w:tcW w:w="0" w:type="auto"/>
            <w:gridSpan w:val="2"/>
            <w:vMerge/>
          </w:tcPr>
          <w:p w:rsidR="003F72D4" w:rsidRDefault="003F72D4"/>
        </w:tc>
        <w:tc>
          <w:tcPr>
            <w:tcW w:w="0" w:type="auto"/>
            <w:vAlign w:val="center"/>
          </w:tcPr>
          <w:p w:rsidR="003F72D4" w:rsidRDefault="00F226AF">
            <w:pPr>
              <w:spacing w:line="240" w:lineRule="auto"/>
            </w:pPr>
            <w:r>
              <w:rPr>
                <w:rFonts w:ascii="宋体" w:hAnsi="宋体" w:cs="宋体"/>
              </w:rPr>
              <w:t>其他需要说明的</w:t>
            </w:r>
            <w:r>
              <w:rPr>
                <w:rFonts w:ascii="宋体" w:hAnsi="宋体" w:cs="宋体"/>
              </w:rPr>
              <w:lastRenderedPageBreak/>
              <w:t>事项</w:t>
            </w:r>
            <w:r>
              <w:rPr>
                <w:rFonts w:ascii="宋体" w:hAnsi="宋体" w:cs="宋体"/>
              </w:rPr>
              <w:t xml:space="preserve"> </w:t>
            </w:r>
          </w:p>
        </w:tc>
        <w:tc>
          <w:tcPr>
            <w:tcW w:w="1000" w:type="pct"/>
            <w:gridSpan w:val="3"/>
            <w:vAlign w:val="center"/>
          </w:tcPr>
          <w:p w:rsidR="003F72D4" w:rsidRDefault="00F226AF">
            <w:pPr>
              <w:spacing w:line="240" w:lineRule="auto"/>
            </w:pPr>
            <w:r>
              <w:rPr>
                <w:rFonts w:ascii="宋体" w:hAnsi="宋体" w:cs="宋体"/>
              </w:rPr>
              <w:lastRenderedPageBreak/>
              <w:t>-</w:t>
            </w:r>
          </w:p>
        </w:tc>
        <w:tc>
          <w:tcPr>
            <w:tcW w:w="1000" w:type="pct"/>
            <w:vAlign w:val="center"/>
          </w:tcPr>
          <w:p w:rsidR="003F72D4" w:rsidRDefault="00F226AF">
            <w:pPr>
              <w:spacing w:line="240" w:lineRule="auto"/>
            </w:pPr>
            <w:r>
              <w:rPr>
                <w:rFonts w:ascii="宋体" w:hAnsi="宋体" w:cs="宋体"/>
              </w:rPr>
              <w:t>-</w:t>
            </w:r>
          </w:p>
        </w:tc>
        <w:tc>
          <w:tcPr>
            <w:tcW w:w="1000" w:type="pct"/>
            <w:vAlign w:val="center"/>
          </w:tcPr>
          <w:p w:rsidR="003F72D4" w:rsidRDefault="00F226AF">
            <w:pPr>
              <w:spacing w:line="240" w:lineRule="auto"/>
            </w:pPr>
            <w:r>
              <w:rPr>
                <w:rFonts w:ascii="宋体" w:hAnsi="宋体" w:cs="宋体"/>
              </w:rPr>
              <w:t>-</w:t>
            </w:r>
          </w:p>
        </w:tc>
      </w:tr>
      <w:tr w:rsidR="003F72D4">
        <w:tc>
          <w:tcPr>
            <w:tcW w:w="0" w:type="auto"/>
            <w:gridSpan w:val="2"/>
            <w:vMerge w:val="restart"/>
            <w:vAlign w:val="center"/>
          </w:tcPr>
          <w:p w:rsidR="003F72D4" w:rsidRDefault="00F226AF">
            <w:pPr>
              <w:spacing w:line="240" w:lineRule="auto"/>
              <w:jc w:val="left"/>
            </w:pPr>
            <w:r>
              <w:rPr>
                <w:rFonts w:ascii="宋体" w:hAnsi="宋体" w:cs="宋体"/>
              </w:rPr>
              <w:lastRenderedPageBreak/>
              <w:t>其中：募集期间基金管理人的从业人员认购本基金情况</w:t>
            </w:r>
          </w:p>
        </w:tc>
        <w:tc>
          <w:tcPr>
            <w:tcW w:w="0" w:type="auto"/>
            <w:vAlign w:val="center"/>
          </w:tcPr>
          <w:p w:rsidR="003F72D4" w:rsidRDefault="00F226AF">
            <w:pPr>
              <w:spacing w:line="240" w:lineRule="auto"/>
            </w:pPr>
            <w:r>
              <w:rPr>
                <w:rFonts w:ascii="宋体" w:hAnsi="宋体" w:cs="宋体"/>
              </w:rPr>
              <w:t>认购的基金份额（单位：份</w:t>
            </w:r>
            <w:r>
              <w:rPr>
                <w:rFonts w:ascii="宋体" w:hAnsi="宋体" w:cs="宋体"/>
              </w:rPr>
              <w:t xml:space="preserve"> </w:t>
            </w:r>
            <w:r>
              <w:rPr>
                <w:rFonts w:ascii="宋体" w:hAnsi="宋体" w:cs="宋体"/>
              </w:rPr>
              <w:t>）</w:t>
            </w:r>
          </w:p>
        </w:tc>
        <w:tc>
          <w:tcPr>
            <w:tcW w:w="1000" w:type="pct"/>
            <w:gridSpan w:val="3"/>
            <w:vAlign w:val="center"/>
          </w:tcPr>
          <w:p w:rsidR="003F72D4" w:rsidRDefault="00F226AF">
            <w:pPr>
              <w:spacing w:line="240" w:lineRule="auto"/>
              <w:jc w:val="right"/>
            </w:pPr>
            <w:r>
              <w:rPr>
                <w:rFonts w:ascii="宋体" w:hAnsi="宋体" w:cs="宋体"/>
              </w:rPr>
              <w:t>26,712.58</w:t>
            </w:r>
          </w:p>
        </w:tc>
        <w:tc>
          <w:tcPr>
            <w:tcW w:w="1000" w:type="pct"/>
            <w:vAlign w:val="center"/>
          </w:tcPr>
          <w:p w:rsidR="003F72D4" w:rsidRDefault="00F226AF">
            <w:pPr>
              <w:spacing w:line="240" w:lineRule="auto"/>
              <w:jc w:val="right"/>
            </w:pPr>
            <w:r>
              <w:rPr>
                <w:rFonts w:ascii="宋体" w:hAnsi="宋体" w:cs="宋体"/>
              </w:rPr>
              <w:t>190.28</w:t>
            </w:r>
          </w:p>
        </w:tc>
        <w:tc>
          <w:tcPr>
            <w:tcW w:w="1000" w:type="pct"/>
            <w:vAlign w:val="center"/>
          </w:tcPr>
          <w:p w:rsidR="003F72D4" w:rsidRDefault="00F226AF">
            <w:pPr>
              <w:spacing w:line="240" w:lineRule="auto"/>
              <w:jc w:val="right"/>
            </w:pPr>
            <w:r>
              <w:rPr>
                <w:rFonts w:ascii="宋体" w:hAnsi="宋体" w:cs="宋体"/>
              </w:rPr>
              <w:t>26,902.86</w:t>
            </w:r>
          </w:p>
        </w:tc>
      </w:tr>
      <w:tr w:rsidR="003F72D4">
        <w:tc>
          <w:tcPr>
            <w:tcW w:w="0" w:type="auto"/>
            <w:gridSpan w:val="2"/>
            <w:vMerge/>
          </w:tcPr>
          <w:p w:rsidR="003F72D4" w:rsidRDefault="003F72D4"/>
        </w:tc>
        <w:tc>
          <w:tcPr>
            <w:tcW w:w="0" w:type="auto"/>
            <w:vAlign w:val="center"/>
          </w:tcPr>
          <w:p w:rsidR="003F72D4" w:rsidRDefault="00F226AF">
            <w:pPr>
              <w:spacing w:line="240" w:lineRule="auto"/>
            </w:pPr>
            <w:r>
              <w:rPr>
                <w:rFonts w:ascii="宋体" w:hAnsi="宋体" w:cs="宋体"/>
              </w:rPr>
              <w:t>占基金总份额比例</w:t>
            </w:r>
          </w:p>
        </w:tc>
        <w:tc>
          <w:tcPr>
            <w:tcW w:w="1000" w:type="pct"/>
            <w:gridSpan w:val="3"/>
            <w:vAlign w:val="center"/>
          </w:tcPr>
          <w:p w:rsidR="003F72D4" w:rsidRDefault="00F226AF">
            <w:pPr>
              <w:spacing w:line="240" w:lineRule="auto"/>
              <w:jc w:val="right"/>
            </w:pPr>
            <w:r>
              <w:rPr>
                <w:rFonts w:ascii="宋体" w:hAnsi="宋体" w:cs="宋体"/>
              </w:rPr>
              <w:t>0.000495%</w:t>
            </w:r>
          </w:p>
        </w:tc>
        <w:tc>
          <w:tcPr>
            <w:tcW w:w="1000" w:type="pct"/>
            <w:vAlign w:val="center"/>
          </w:tcPr>
          <w:p w:rsidR="003F72D4" w:rsidRDefault="00F226AF">
            <w:pPr>
              <w:spacing w:line="240" w:lineRule="auto"/>
              <w:jc w:val="right"/>
            </w:pPr>
            <w:r>
              <w:rPr>
                <w:rFonts w:ascii="宋体" w:hAnsi="宋体" w:cs="宋体"/>
              </w:rPr>
              <w:t>0.000032%</w:t>
            </w:r>
          </w:p>
        </w:tc>
        <w:tc>
          <w:tcPr>
            <w:tcW w:w="1000" w:type="pct"/>
            <w:vAlign w:val="center"/>
          </w:tcPr>
          <w:p w:rsidR="003F72D4" w:rsidRDefault="00F226AF">
            <w:pPr>
              <w:spacing w:line="240" w:lineRule="auto"/>
              <w:jc w:val="right"/>
            </w:pPr>
            <w:r>
              <w:rPr>
                <w:rFonts w:ascii="宋体" w:hAnsi="宋体" w:cs="宋体"/>
              </w:rPr>
              <w:t>0.000448%</w:t>
            </w:r>
          </w:p>
        </w:tc>
      </w:tr>
      <w:tr w:rsidR="003F72D4">
        <w:tc>
          <w:tcPr>
            <w:tcW w:w="0" w:type="auto"/>
            <w:hMerge w:val="restart"/>
            <w:vAlign w:val="center"/>
          </w:tcPr>
          <w:p w:rsidR="003F72D4" w:rsidRDefault="00F226AF">
            <w:pPr>
              <w:spacing w:line="240" w:lineRule="auto"/>
              <w:jc w:val="left"/>
            </w:pPr>
            <w:r>
              <w:rPr>
                <w:rFonts w:ascii="宋体" w:hAnsi="宋体" w:cs="宋体"/>
              </w:rPr>
              <w:t>募集期限届满基金是否符合法律法规规定的办理基金备案手续的条件</w:t>
            </w:r>
          </w:p>
        </w:tc>
        <w:tc>
          <w:tcPr>
            <w:tcW w:w="0" w:type="auto"/>
            <w:gridSpan w:val="2"/>
            <w:hMerge/>
          </w:tcPr>
          <w:p w:rsidR="003F72D4" w:rsidRDefault="003F72D4"/>
        </w:tc>
        <w:tc>
          <w:tcPr>
            <w:tcW w:w="0" w:type="auto"/>
            <w:hMerge w:val="restart"/>
            <w:vAlign w:val="center"/>
          </w:tcPr>
          <w:p w:rsidR="003F72D4" w:rsidRDefault="00F226AF">
            <w:pPr>
              <w:spacing w:line="240" w:lineRule="auto"/>
              <w:jc w:val="right"/>
            </w:pPr>
            <w:r>
              <w:rPr>
                <w:rFonts w:ascii="宋体" w:hAnsi="宋体" w:cs="宋体"/>
              </w:rPr>
              <w:t>是</w:t>
            </w:r>
          </w:p>
        </w:tc>
        <w:tc>
          <w:tcPr>
            <w:tcW w:w="0" w:type="auto"/>
            <w:hMerge/>
          </w:tcPr>
          <w:p w:rsidR="003F72D4" w:rsidRDefault="003F72D4"/>
        </w:tc>
        <w:tc>
          <w:tcPr>
            <w:tcW w:w="0" w:type="auto"/>
            <w:gridSpan w:val="3"/>
            <w:hMerge/>
          </w:tcPr>
          <w:p w:rsidR="003F72D4" w:rsidRDefault="003F72D4"/>
        </w:tc>
      </w:tr>
      <w:tr w:rsidR="003F72D4">
        <w:tc>
          <w:tcPr>
            <w:tcW w:w="0" w:type="auto"/>
            <w:hMerge w:val="restart"/>
            <w:vAlign w:val="center"/>
          </w:tcPr>
          <w:p w:rsidR="003F72D4" w:rsidRDefault="00F226AF">
            <w:pPr>
              <w:spacing w:line="240" w:lineRule="auto"/>
              <w:jc w:val="left"/>
            </w:pPr>
            <w:r>
              <w:rPr>
                <w:rFonts w:ascii="宋体" w:hAnsi="宋体" w:cs="宋体"/>
              </w:rPr>
              <w:t>向中国证监会办理基金备案手续获得书面确认的日期</w:t>
            </w:r>
          </w:p>
        </w:tc>
        <w:tc>
          <w:tcPr>
            <w:tcW w:w="0" w:type="auto"/>
            <w:gridSpan w:val="2"/>
            <w:hMerge/>
          </w:tcPr>
          <w:p w:rsidR="003F72D4" w:rsidRDefault="003F72D4"/>
        </w:tc>
        <w:tc>
          <w:tcPr>
            <w:tcW w:w="0" w:type="auto"/>
            <w:hMerge w:val="restart"/>
            <w:vAlign w:val="center"/>
          </w:tcPr>
          <w:p w:rsidR="003F72D4" w:rsidRDefault="00F226AF">
            <w:pPr>
              <w:spacing w:line="240" w:lineRule="auto"/>
              <w:jc w:val="righ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c>
          <w:tcPr>
            <w:tcW w:w="0" w:type="auto"/>
            <w:hMerge/>
          </w:tcPr>
          <w:p w:rsidR="003F72D4" w:rsidRDefault="003F72D4"/>
        </w:tc>
        <w:tc>
          <w:tcPr>
            <w:tcW w:w="0" w:type="auto"/>
            <w:gridSpan w:val="3"/>
            <w:hMerge/>
          </w:tcPr>
          <w:p w:rsidR="003F72D4" w:rsidRDefault="003F72D4"/>
        </w:tc>
      </w:tr>
    </w:tbl>
    <w:p w:rsidR="003F72D4" w:rsidRDefault="00F226AF">
      <w:r>
        <w:rPr>
          <w:rFonts w:ascii="宋体" w:hAnsi="宋体" w:cs="宋体"/>
        </w:rPr>
        <w:t>注：（</w:t>
      </w:r>
      <w:r>
        <w:rPr>
          <w:rFonts w:ascii="宋体" w:hAnsi="宋体" w:cs="宋体"/>
        </w:rPr>
        <w:t>1</w:t>
      </w:r>
      <w:r>
        <w:rPr>
          <w:rFonts w:ascii="宋体" w:hAnsi="宋体" w:cs="宋体"/>
        </w:rPr>
        <w:t>）按照有关法律规定</w:t>
      </w:r>
      <w:r>
        <w:rPr>
          <w:rFonts w:ascii="宋体" w:hAnsi="宋体" w:cs="宋体"/>
        </w:rPr>
        <w:t>,</w:t>
      </w:r>
      <w:r>
        <w:rPr>
          <w:rFonts w:ascii="宋体" w:hAnsi="宋体" w:cs="宋体"/>
        </w:rPr>
        <w:t>本次基金募集期间所发生的律师费、会计师费、信息披露费等费用由基金管理人承担</w:t>
      </w:r>
      <w:r>
        <w:rPr>
          <w:rFonts w:ascii="宋体" w:hAnsi="宋体" w:cs="宋体"/>
        </w:rPr>
        <w:t>,</w:t>
      </w:r>
      <w:r>
        <w:rPr>
          <w:rFonts w:ascii="宋体" w:hAnsi="宋体" w:cs="宋体"/>
        </w:rPr>
        <w:t>不从基金财产中列支。</w:t>
      </w:r>
      <w:r>
        <w:rPr>
          <w:rFonts w:ascii="宋体" w:hAnsi="宋体" w:cs="宋体"/>
        </w:rPr>
        <w:cr/>
      </w:r>
      <w:r>
        <w:rPr>
          <w:rFonts w:ascii="宋体" w:hAnsi="宋体" w:cs="宋体"/>
        </w:rPr>
        <w:t>（</w:t>
      </w:r>
      <w:r>
        <w:rPr>
          <w:rFonts w:ascii="宋体" w:hAnsi="宋体" w:cs="宋体"/>
        </w:rPr>
        <w:t>2</w:t>
      </w:r>
      <w:r>
        <w:rPr>
          <w:rFonts w:ascii="宋体" w:hAnsi="宋体" w:cs="宋体"/>
        </w:rPr>
        <w:t>）本公司高级管理人员、基金投资和研究部门负责人认购本基金份额总量的数量区间为</w:t>
      </w:r>
      <w:r>
        <w:rPr>
          <w:rFonts w:ascii="宋体" w:hAnsi="宋体" w:cs="宋体"/>
        </w:rPr>
        <w:t>0</w:t>
      </w:r>
      <w:r>
        <w:rPr>
          <w:rFonts w:ascii="宋体" w:hAnsi="宋体" w:cs="宋体"/>
        </w:rPr>
        <w:t>万份</w:t>
      </w:r>
      <w:r>
        <w:rPr>
          <w:rFonts w:ascii="宋体" w:hAnsi="宋体" w:cs="宋体"/>
        </w:rPr>
        <w:t>-10</w:t>
      </w:r>
      <w:r>
        <w:rPr>
          <w:rFonts w:ascii="宋体" w:hAnsi="宋体" w:cs="宋体"/>
        </w:rPr>
        <w:t>万份（含）。</w:t>
      </w:r>
      <w:r>
        <w:rPr>
          <w:rFonts w:ascii="宋体" w:hAnsi="宋体" w:cs="宋体"/>
        </w:rPr>
        <w:cr/>
      </w:r>
      <w:r>
        <w:rPr>
          <w:rFonts w:ascii="宋体" w:hAnsi="宋体" w:cs="宋体"/>
        </w:rPr>
        <w:t>（</w:t>
      </w:r>
      <w:r>
        <w:rPr>
          <w:rFonts w:ascii="宋体" w:hAnsi="宋体" w:cs="宋体"/>
        </w:rPr>
        <w:t>3</w:t>
      </w:r>
      <w:r>
        <w:rPr>
          <w:rFonts w:ascii="宋体" w:hAnsi="宋体" w:cs="宋体"/>
        </w:rPr>
        <w:t>）本基金基金经理认购本基金份额总量的数量区间为</w:t>
      </w:r>
      <w:r>
        <w:rPr>
          <w:rFonts w:ascii="宋体" w:hAnsi="宋体" w:cs="宋体"/>
        </w:rPr>
        <w:t>0</w:t>
      </w:r>
      <w:r>
        <w:rPr>
          <w:rFonts w:ascii="宋体" w:hAnsi="宋体" w:cs="宋体"/>
        </w:rPr>
        <w:t>万份</w:t>
      </w:r>
      <w:r>
        <w:rPr>
          <w:rFonts w:ascii="宋体" w:hAnsi="宋体" w:cs="宋体"/>
        </w:rPr>
        <w:t>-10</w:t>
      </w:r>
      <w:r>
        <w:rPr>
          <w:rFonts w:ascii="宋体" w:hAnsi="宋体" w:cs="宋体"/>
        </w:rPr>
        <w:t>万份（含）。</w:t>
      </w:r>
    </w:p>
    <w:p w:rsidR="003F72D4" w:rsidRDefault="003F72D4"/>
    <w:p w:rsidR="003F72D4" w:rsidRDefault="00F226AF">
      <w:pPr>
        <w:pStyle w:val="2"/>
      </w:pPr>
      <w:r>
        <w:rPr>
          <w:rFonts w:ascii="宋体" w:hAnsi="宋体" w:cs="宋体"/>
        </w:rPr>
        <w:t xml:space="preserve">3 </w:t>
      </w:r>
      <w:r>
        <w:rPr>
          <w:rFonts w:ascii="宋体" w:hAnsi="宋体" w:cs="宋体"/>
        </w:rPr>
        <w:t>其他需要提示的事项</w:t>
      </w:r>
    </w:p>
    <w:p w:rsidR="003F72D4" w:rsidRDefault="00F226AF">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）自《鹏安安泰利率债债券型证券投资基金基金合同》生效之日起，本基金管理人正式开始管理本基金。</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）基金销售机构对认购申请的受理并不代表该申请一定成功，而仅代表销售机构确实接收到认购申请。认购申请的确认以登记机构的确认结果为准。投资者可以到销售机构的网点查询交易确认情况，也可以通过本</w:t>
      </w:r>
      <w:r>
        <w:rPr>
          <w:rFonts w:ascii="宋体" w:hAnsi="宋体" w:cs="宋体"/>
        </w:rPr>
        <w:t>基金管理人的客户服务电话（</w:t>
      </w:r>
      <w:r>
        <w:rPr>
          <w:rFonts w:ascii="宋体" w:hAnsi="宋体" w:cs="宋体"/>
        </w:rPr>
        <w:t>400-814-2888</w:t>
      </w:r>
      <w:r>
        <w:rPr>
          <w:rFonts w:ascii="宋体" w:hAnsi="宋体" w:cs="宋体"/>
        </w:rPr>
        <w:t>）查询交易确认情况。</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根据鹏安安泰利率债债券型证券投资基金招募说明书、基金合同的有关规定，本基金在满足监管要求的情况下，本基金管理人根据本基金运作的需要决定本基金开始办理申购、赎回的具体日期，基金管理人自基金合同生效之日起不超过</w:t>
      </w:r>
      <w:r>
        <w:rPr>
          <w:rFonts w:ascii="宋体" w:hAnsi="宋体" w:cs="宋体"/>
        </w:rPr>
        <w:t>3</w:t>
      </w:r>
      <w:r>
        <w:rPr>
          <w:rFonts w:ascii="宋体" w:hAnsi="宋体" w:cs="宋体"/>
        </w:rPr>
        <w:t>个月开始办理赎回，具体业务办理时间在申购、赎回开始公告中规定。基金管理人应在开始办理申购、赎回的具体日期前依照《公开募集证券投资基金信息披露管理办法》的有关规定在规定媒介上公告。</w:t>
      </w:r>
      <w:r>
        <w:rPr>
          <w:rFonts w:ascii="宋体" w:hAnsi="宋体" w:cs="宋体"/>
        </w:rPr>
        <w:cr/>
        <w:t xml:space="preserve">    </w:t>
      </w:r>
      <w:r>
        <w:rPr>
          <w:rFonts w:ascii="宋体" w:hAnsi="宋体" w:cs="宋体"/>
        </w:rPr>
        <w:tab/>
      </w:r>
      <w:r>
        <w:rPr>
          <w:rFonts w:ascii="宋体" w:hAnsi="宋体" w:cs="宋体"/>
        </w:rPr>
        <w:cr/>
        <w:t xml:space="preserve">    </w:t>
      </w:r>
      <w:r>
        <w:rPr>
          <w:rFonts w:ascii="宋体" w:hAnsi="宋体" w:cs="宋体"/>
        </w:rPr>
        <w:t>风险提示：本公司承</w:t>
      </w:r>
      <w:r>
        <w:rPr>
          <w:rFonts w:ascii="宋体" w:hAnsi="宋体" w:cs="宋体"/>
        </w:rPr>
        <w:t>诺以诚实信用、勤勉尽责的原则管理和运用基金资产，但不保证基金一定盈利，也不保证最低收益。基金的过往业绩并不代表其未来表现。基金管理人管理的其他基金的业绩不构成新基金业绩表现的保证。投资者投资本基金时，应认真阅读基金合同、招募说明书等文件，敬请投资者注意投资风险。</w:t>
      </w:r>
      <w:r>
        <w:rPr>
          <w:rFonts w:ascii="宋体" w:hAnsi="宋体" w:cs="宋体"/>
        </w:rPr>
        <w:cr/>
        <w:t xml:space="preserve">            </w:t>
      </w:r>
      <w:r>
        <w:rPr>
          <w:rFonts w:ascii="宋体" w:hAnsi="宋体" w:cs="宋体"/>
        </w:rPr>
        <w:cr/>
        <w:t xml:space="preserve">    </w:t>
      </w:r>
      <w:r>
        <w:rPr>
          <w:rFonts w:ascii="宋体" w:hAnsi="宋体" w:cs="宋体"/>
        </w:rPr>
        <w:tab/>
      </w:r>
      <w:r>
        <w:rPr>
          <w:rFonts w:ascii="宋体" w:hAnsi="宋体" w:cs="宋体"/>
        </w:rPr>
        <w:t>特此公告。</w:t>
      </w:r>
    </w:p>
    <w:p w:rsidR="003F72D4" w:rsidRDefault="003F72D4"/>
    <w:p w:rsidR="003F72D4" w:rsidRDefault="00F226AF">
      <w:pPr>
        <w:jc w:val="right"/>
      </w:pPr>
      <w:r>
        <w:rPr>
          <w:rFonts w:ascii="宋体" w:hAnsi="宋体" w:cs="宋体"/>
        </w:rPr>
        <w:t>鹏安基金管理有限公司</w:t>
      </w:r>
    </w:p>
    <w:p w:rsidR="003F72D4" w:rsidRDefault="00F226AF">
      <w:pPr>
        <w:jc w:val="righ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11</w:t>
      </w:r>
      <w:r>
        <w:rPr>
          <w:rFonts w:ascii="宋体" w:hAnsi="宋体" w:cs="宋体"/>
        </w:rPr>
        <w:t>日</w:t>
      </w:r>
    </w:p>
    <w:sectPr w:rsidR="003F72D4" w:rsidSect="003F72D4">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F226AF">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3F72D4" w:rsidRPr="003F72D4">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3F72D4" w:rsidRPr="003F72D4">
      <w:rPr>
        <w:rFonts w:ascii="宋体" w:hAnsi="宋体" w:cs="Times New Roman" w:hint="eastAsia"/>
        <w:sz w:val="20"/>
        <w:szCs w:val="20"/>
        <w:lang/>
      </w:rPr>
      <w:fldChar w:fldCharType="separate"/>
    </w:r>
    <w:r w:rsidR="00F226AF">
      <w:rPr>
        <w:rFonts w:ascii="宋体" w:hAnsi="宋体" w:cs="宋体"/>
        <w:noProof/>
        <w:sz w:val="20"/>
        <w:szCs w:val="20"/>
        <w:lang/>
      </w:rPr>
      <w:t>1</w:t>
    </w:r>
    <w:r w:rsidR="003F72D4"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F226AF">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F226AF">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鹏安安泰利率债债券型证券投资基金基金合同生效公告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3F72D4"/>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226AF"/>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4</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2026-02-10T16:01:00Z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