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B0" w:rsidRDefault="001302F7">
      <w:pPr>
        <w:widowControl/>
        <w:shd w:val="clear" w:color="auto" w:fill="FFFFFF"/>
        <w:jc w:val="center"/>
        <w:rPr>
          <w:rFonts w:ascii="宋体" w:eastAsia="宋体" w:hAnsi="宋体" w:cs="Arial"/>
          <w:b/>
          <w:color w:val="000000"/>
          <w:kern w:val="0"/>
          <w:sz w:val="28"/>
          <w:szCs w:val="28"/>
        </w:rPr>
      </w:pPr>
      <w:r>
        <w:rPr>
          <w:rFonts w:ascii="宋体" w:eastAsia="宋体" w:hAnsi="宋体" w:cs="Arial" w:hint="eastAsia"/>
          <w:b/>
          <w:color w:val="000000"/>
          <w:kern w:val="0"/>
          <w:sz w:val="28"/>
          <w:szCs w:val="28"/>
        </w:rPr>
        <w:t>申万菱信</w:t>
      </w:r>
      <w:r>
        <w:rPr>
          <w:rFonts w:ascii="宋体" w:eastAsia="宋体" w:hAnsi="宋体" w:cs="Arial"/>
          <w:b/>
          <w:color w:val="000000"/>
          <w:kern w:val="0"/>
          <w:sz w:val="28"/>
          <w:szCs w:val="28"/>
        </w:rPr>
        <w:t>基金管理有限公司</w:t>
      </w:r>
    </w:p>
    <w:p w:rsidR="000216B0" w:rsidRDefault="001302F7">
      <w:pPr>
        <w:widowControl/>
        <w:shd w:val="clear" w:color="auto" w:fill="FFFFFF"/>
        <w:jc w:val="center"/>
        <w:rPr>
          <w:rFonts w:ascii="宋体" w:eastAsia="宋体" w:hAnsi="宋体" w:cs="Arial"/>
          <w:b/>
          <w:color w:val="000000"/>
          <w:kern w:val="0"/>
          <w:sz w:val="28"/>
          <w:szCs w:val="28"/>
        </w:rPr>
      </w:pPr>
      <w:r>
        <w:rPr>
          <w:rFonts w:ascii="宋体" w:eastAsia="宋体" w:hAnsi="宋体" w:cs="Arial"/>
          <w:b/>
          <w:color w:val="000000"/>
          <w:kern w:val="0"/>
          <w:sz w:val="28"/>
          <w:szCs w:val="28"/>
        </w:rPr>
        <w:t>关于旗下部分基金</w:t>
      </w:r>
      <w:r>
        <w:rPr>
          <w:rFonts w:ascii="宋体" w:eastAsia="宋体" w:hAnsi="宋体" w:cs="Arial"/>
          <w:b/>
          <w:color w:val="000000"/>
          <w:kern w:val="0"/>
          <w:sz w:val="28"/>
          <w:szCs w:val="28"/>
        </w:rPr>
        <w:t>2026</w:t>
      </w:r>
      <w:r>
        <w:rPr>
          <w:rFonts w:ascii="宋体" w:eastAsia="宋体" w:hAnsi="宋体" w:cs="Arial"/>
          <w:b/>
          <w:color w:val="000000"/>
          <w:kern w:val="0"/>
          <w:sz w:val="28"/>
          <w:szCs w:val="28"/>
        </w:rPr>
        <w:t>年非港股通交易日暂停申购、赎回</w:t>
      </w:r>
      <w:r>
        <w:rPr>
          <w:rFonts w:ascii="宋体" w:eastAsia="宋体" w:hAnsi="宋体" w:cs="Arial" w:hint="eastAsia"/>
          <w:b/>
          <w:color w:val="000000"/>
          <w:kern w:val="0"/>
          <w:sz w:val="28"/>
          <w:szCs w:val="28"/>
        </w:rPr>
        <w:t>、转换及</w:t>
      </w:r>
      <w:r>
        <w:rPr>
          <w:rFonts w:ascii="宋体" w:eastAsia="宋体" w:hAnsi="宋体" w:cs="Arial"/>
          <w:b/>
          <w:color w:val="000000"/>
          <w:kern w:val="0"/>
          <w:sz w:val="28"/>
          <w:szCs w:val="28"/>
        </w:rPr>
        <w:t>定期定额投资业务的公告</w:t>
      </w:r>
    </w:p>
    <w:p w:rsidR="000216B0" w:rsidRDefault="000216B0">
      <w:pPr>
        <w:widowControl/>
        <w:shd w:val="clear" w:color="auto" w:fill="FFFFFF"/>
        <w:jc w:val="left"/>
        <w:rPr>
          <w:rFonts w:ascii="Arial" w:eastAsia="微软雅黑" w:hAnsi="Arial" w:cs="Arial"/>
          <w:color w:val="000000"/>
          <w:kern w:val="0"/>
          <w:sz w:val="44"/>
          <w:szCs w:val="44"/>
        </w:rPr>
      </w:pPr>
    </w:p>
    <w:p w:rsidR="000216B0" w:rsidRDefault="001302F7">
      <w:pPr>
        <w:widowControl/>
        <w:shd w:val="clear" w:color="auto" w:fill="FFFFFF"/>
        <w:spacing w:line="360" w:lineRule="auto"/>
        <w:ind w:firstLineChars="200" w:firstLine="480"/>
        <w:jc w:val="left"/>
        <w:rPr>
          <w:rFonts w:ascii="宋体" w:eastAsia="宋体" w:hAnsi="宋体" w:cs="Arial"/>
          <w:color w:val="000000"/>
          <w:kern w:val="0"/>
          <w:sz w:val="24"/>
          <w:szCs w:val="24"/>
        </w:rPr>
      </w:pPr>
      <w:r>
        <w:rPr>
          <w:rFonts w:ascii="宋体" w:eastAsia="宋体" w:hAnsi="宋体" w:cs="Arial"/>
          <w:color w:val="000000"/>
          <w:kern w:val="0"/>
          <w:sz w:val="24"/>
          <w:szCs w:val="24"/>
        </w:rPr>
        <w:t>为了保障基金平稳运作，保护基金份额持有人利益，根据</w:t>
      </w:r>
      <w:r>
        <w:rPr>
          <w:rFonts w:ascii="宋体" w:eastAsia="宋体" w:hAnsi="宋体" w:cs="Arial" w:hint="eastAsia"/>
          <w:color w:val="000000"/>
          <w:kern w:val="0"/>
          <w:sz w:val="24"/>
          <w:szCs w:val="24"/>
        </w:rPr>
        <w:t>旗下部分基金基金合同及招募说明书相关规定</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申万菱信基金管理有限公司（以下简称“本公司”）</w:t>
      </w:r>
      <w:r>
        <w:rPr>
          <w:rFonts w:ascii="宋体" w:eastAsia="宋体" w:hAnsi="宋体" w:cs="Arial"/>
          <w:color w:val="000000"/>
          <w:kern w:val="0"/>
          <w:sz w:val="24"/>
          <w:szCs w:val="24"/>
        </w:rPr>
        <w:t>决定在</w:t>
      </w:r>
      <w:r>
        <w:rPr>
          <w:rFonts w:ascii="宋体" w:eastAsia="宋体" w:hAnsi="宋体" w:cs="Arial"/>
          <w:color w:val="000000"/>
          <w:kern w:val="0"/>
          <w:sz w:val="24"/>
          <w:szCs w:val="24"/>
        </w:rPr>
        <w:t>2026</w:t>
      </w:r>
      <w:r>
        <w:rPr>
          <w:rFonts w:ascii="宋体" w:eastAsia="宋体" w:hAnsi="宋体" w:cs="Arial"/>
          <w:color w:val="000000"/>
          <w:kern w:val="0"/>
          <w:sz w:val="24"/>
          <w:szCs w:val="24"/>
        </w:rPr>
        <w:t>年非港股通交易日暂停办理</w:t>
      </w:r>
      <w:r>
        <w:rPr>
          <w:rFonts w:ascii="宋体" w:eastAsia="宋体" w:hAnsi="宋体" w:cs="Arial" w:hint="eastAsia"/>
          <w:color w:val="000000"/>
          <w:kern w:val="0"/>
          <w:sz w:val="24"/>
          <w:szCs w:val="24"/>
        </w:rPr>
        <w:t>下述基金</w:t>
      </w:r>
      <w:r>
        <w:rPr>
          <w:rFonts w:ascii="宋体" w:eastAsia="宋体" w:hAnsi="宋体" w:cs="Arial"/>
          <w:color w:val="000000"/>
          <w:kern w:val="0"/>
          <w:sz w:val="24"/>
          <w:szCs w:val="24"/>
        </w:rPr>
        <w:t>申购、赎回</w:t>
      </w:r>
      <w:r>
        <w:rPr>
          <w:rFonts w:ascii="宋体" w:eastAsia="宋体" w:hAnsi="宋体" w:cs="Arial" w:hint="eastAsia"/>
          <w:color w:val="000000"/>
          <w:kern w:val="0"/>
          <w:sz w:val="24"/>
          <w:szCs w:val="24"/>
        </w:rPr>
        <w:t>、转换</w:t>
      </w:r>
      <w:r>
        <w:rPr>
          <w:rFonts w:ascii="宋体" w:eastAsia="宋体" w:hAnsi="宋体" w:cs="Arial"/>
          <w:color w:val="000000"/>
          <w:kern w:val="0"/>
          <w:sz w:val="24"/>
          <w:szCs w:val="24"/>
        </w:rPr>
        <w:t>及定期定额投资业务（具体业务类型以各基金实际情况为准），并自</w:t>
      </w:r>
      <w:r>
        <w:rPr>
          <w:rFonts w:ascii="宋体" w:eastAsia="宋体" w:hAnsi="宋体" w:cs="Arial" w:hint="eastAsia"/>
          <w:color w:val="000000"/>
          <w:kern w:val="0"/>
          <w:sz w:val="24"/>
          <w:szCs w:val="24"/>
        </w:rPr>
        <w:t>下列</w:t>
      </w:r>
      <w:r>
        <w:rPr>
          <w:rFonts w:ascii="宋体" w:eastAsia="宋体" w:hAnsi="宋体" w:cs="Arial"/>
          <w:color w:val="000000"/>
          <w:kern w:val="0"/>
          <w:sz w:val="24"/>
          <w:szCs w:val="24"/>
        </w:rPr>
        <w:t>非港股通交易日的下一开放日恢复办理上述业务</w:t>
      </w:r>
      <w:r>
        <w:rPr>
          <w:rFonts w:ascii="宋体" w:eastAsia="宋体" w:hAnsi="宋体" w:cs="Arial" w:hint="eastAsia"/>
          <w:color w:val="000000"/>
          <w:kern w:val="0"/>
          <w:sz w:val="24"/>
          <w:szCs w:val="24"/>
        </w:rPr>
        <w:t>，届时将不再另行公告。具体情况如下：</w:t>
      </w:r>
      <w:bookmarkStart w:id="0" w:name="_GoBack"/>
      <w:bookmarkEnd w:id="0"/>
    </w:p>
    <w:p w:rsidR="000216B0" w:rsidRDefault="001302F7">
      <w:pPr>
        <w:pStyle w:val="a4"/>
        <w:widowControl/>
        <w:numPr>
          <w:ilvl w:val="0"/>
          <w:numId w:val="1"/>
        </w:numPr>
        <w:shd w:val="clear" w:color="auto" w:fill="FFFFFF"/>
        <w:spacing w:line="360" w:lineRule="auto"/>
        <w:ind w:firstLineChars="0"/>
        <w:jc w:val="left"/>
        <w:rPr>
          <w:rFonts w:ascii="宋体" w:eastAsia="宋体" w:hAnsi="宋体" w:cs="Arial"/>
          <w:color w:val="000000"/>
          <w:kern w:val="0"/>
          <w:sz w:val="24"/>
          <w:szCs w:val="24"/>
        </w:rPr>
      </w:pPr>
      <w:r>
        <w:rPr>
          <w:rFonts w:ascii="宋体" w:eastAsia="宋体" w:hAnsi="宋体" w:cs="Arial"/>
          <w:color w:val="000000"/>
          <w:kern w:val="0"/>
          <w:sz w:val="24"/>
          <w:szCs w:val="24"/>
        </w:rPr>
        <w:t>适用基金范围：</w:t>
      </w:r>
    </w:p>
    <w:tbl>
      <w:tblPr>
        <w:tblStyle w:val="a3"/>
        <w:tblW w:w="0" w:type="auto"/>
        <w:tblLook w:val="04A0"/>
      </w:tblPr>
      <w:tblGrid>
        <w:gridCol w:w="988"/>
        <w:gridCol w:w="1275"/>
        <w:gridCol w:w="6033"/>
      </w:tblGrid>
      <w:tr w:rsidR="000216B0">
        <w:tc>
          <w:tcPr>
            <w:tcW w:w="988" w:type="dxa"/>
          </w:tcPr>
          <w:p w:rsidR="000216B0" w:rsidRDefault="001302F7">
            <w:pPr>
              <w:widowControl/>
              <w:spacing w:line="360" w:lineRule="auto"/>
              <w:jc w:val="center"/>
              <w:rPr>
                <w:rFonts w:ascii="宋体" w:eastAsia="宋体" w:hAnsi="宋体" w:cs="Arial"/>
                <w:b/>
                <w:color w:val="000000"/>
                <w:kern w:val="0"/>
                <w:sz w:val="24"/>
                <w:szCs w:val="24"/>
              </w:rPr>
            </w:pPr>
            <w:r>
              <w:rPr>
                <w:rFonts w:ascii="宋体" w:eastAsia="宋体" w:hAnsi="宋体" w:cs="Arial" w:hint="eastAsia"/>
                <w:b/>
                <w:color w:val="000000"/>
                <w:kern w:val="0"/>
                <w:sz w:val="24"/>
                <w:szCs w:val="24"/>
              </w:rPr>
              <w:t>序号</w:t>
            </w:r>
          </w:p>
        </w:tc>
        <w:tc>
          <w:tcPr>
            <w:tcW w:w="1275" w:type="dxa"/>
          </w:tcPr>
          <w:p w:rsidR="000216B0" w:rsidRDefault="001302F7">
            <w:pPr>
              <w:widowControl/>
              <w:spacing w:line="360" w:lineRule="auto"/>
              <w:jc w:val="center"/>
              <w:rPr>
                <w:rFonts w:ascii="宋体" w:eastAsia="宋体" w:hAnsi="宋体" w:cs="Arial"/>
                <w:b/>
                <w:color w:val="000000"/>
                <w:kern w:val="0"/>
                <w:sz w:val="24"/>
                <w:szCs w:val="24"/>
              </w:rPr>
            </w:pPr>
            <w:r>
              <w:rPr>
                <w:rFonts w:ascii="宋体" w:eastAsia="宋体" w:hAnsi="宋体" w:cs="Arial" w:hint="eastAsia"/>
                <w:b/>
                <w:color w:val="000000"/>
                <w:kern w:val="0"/>
                <w:sz w:val="24"/>
                <w:szCs w:val="24"/>
              </w:rPr>
              <w:t>基金代码</w:t>
            </w:r>
          </w:p>
        </w:tc>
        <w:tc>
          <w:tcPr>
            <w:tcW w:w="6033" w:type="dxa"/>
          </w:tcPr>
          <w:p w:rsidR="000216B0" w:rsidRDefault="001302F7">
            <w:pPr>
              <w:widowControl/>
              <w:spacing w:line="360" w:lineRule="auto"/>
              <w:jc w:val="center"/>
              <w:rPr>
                <w:rFonts w:ascii="宋体" w:eastAsia="宋体" w:hAnsi="宋体" w:cs="Arial"/>
                <w:b/>
                <w:color w:val="000000"/>
                <w:kern w:val="0"/>
                <w:sz w:val="24"/>
                <w:szCs w:val="24"/>
              </w:rPr>
            </w:pPr>
            <w:r>
              <w:rPr>
                <w:rFonts w:ascii="宋体" w:eastAsia="宋体" w:hAnsi="宋体" w:cs="Arial" w:hint="eastAsia"/>
                <w:b/>
                <w:color w:val="000000"/>
                <w:kern w:val="0"/>
                <w:sz w:val="24"/>
                <w:szCs w:val="24"/>
              </w:rPr>
              <w:t>基金名称</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011800</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申万菱信价值精选混合型证券投资基金</w:t>
            </w:r>
            <w:r>
              <w:rPr>
                <w:rFonts w:ascii="宋体" w:eastAsia="宋体" w:hAnsi="宋体" w:cs="Arial"/>
                <w:color w:val="000000"/>
                <w:kern w:val="0"/>
                <w:sz w:val="24"/>
                <w:szCs w:val="24"/>
              </w:rPr>
              <w:t>A</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2</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015158</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申万菱信价值精选混合型证券投资基金</w:t>
            </w:r>
            <w:r>
              <w:rPr>
                <w:rFonts w:ascii="宋体" w:eastAsia="宋体" w:hAnsi="宋体" w:cs="Arial"/>
                <w:color w:val="000000"/>
                <w:kern w:val="0"/>
                <w:sz w:val="24"/>
                <w:szCs w:val="24"/>
              </w:rPr>
              <w:t>C</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3</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015630</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申万菱信乐融一年持有期混合型证券投资基金</w:t>
            </w:r>
            <w:r>
              <w:rPr>
                <w:rFonts w:ascii="宋体" w:eastAsia="宋体" w:hAnsi="宋体" w:cs="Arial"/>
                <w:color w:val="000000"/>
                <w:kern w:val="0"/>
                <w:sz w:val="24"/>
                <w:szCs w:val="24"/>
              </w:rPr>
              <w:t>A</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4</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015631</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申万菱信乐融一年持有期混合型证券投资基金</w:t>
            </w:r>
            <w:r>
              <w:rPr>
                <w:rFonts w:ascii="宋体" w:eastAsia="宋体" w:hAnsi="宋体" w:cs="Arial"/>
                <w:color w:val="000000"/>
                <w:kern w:val="0"/>
                <w:sz w:val="24"/>
                <w:szCs w:val="24"/>
              </w:rPr>
              <w:t>C</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5</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013085</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申万菱信乐同混合型证券投资基金</w:t>
            </w:r>
            <w:r>
              <w:rPr>
                <w:rFonts w:ascii="宋体" w:eastAsia="宋体" w:hAnsi="宋体" w:cs="Arial"/>
                <w:color w:val="000000"/>
                <w:kern w:val="0"/>
                <w:sz w:val="24"/>
                <w:szCs w:val="24"/>
              </w:rPr>
              <w:t>A</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6</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013086</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申万菱信乐同混合型证券投资基金</w:t>
            </w:r>
            <w:r>
              <w:rPr>
                <w:rFonts w:ascii="宋体" w:eastAsia="宋体" w:hAnsi="宋体" w:cs="Arial"/>
                <w:color w:val="000000"/>
                <w:kern w:val="0"/>
                <w:sz w:val="24"/>
                <w:szCs w:val="24"/>
              </w:rPr>
              <w:t>C</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7</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310388</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申万菱信消费增长混合型证券投资基金</w:t>
            </w:r>
            <w:r>
              <w:rPr>
                <w:rFonts w:ascii="宋体" w:eastAsia="宋体" w:hAnsi="宋体" w:cs="Arial"/>
                <w:color w:val="000000"/>
                <w:kern w:val="0"/>
                <w:sz w:val="24"/>
                <w:szCs w:val="24"/>
              </w:rPr>
              <w:t>A</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8</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015254</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申万菱信消费增长混合型证券投资基金</w:t>
            </w:r>
            <w:r>
              <w:rPr>
                <w:rFonts w:ascii="宋体" w:eastAsia="宋体" w:hAnsi="宋体" w:cs="Arial"/>
                <w:color w:val="000000"/>
                <w:kern w:val="0"/>
                <w:sz w:val="24"/>
                <w:szCs w:val="24"/>
              </w:rPr>
              <w:t>C</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9</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016105</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申万菱信兴乐优选混合型证券投资基金</w:t>
            </w:r>
            <w:r>
              <w:rPr>
                <w:rFonts w:ascii="宋体" w:eastAsia="宋体" w:hAnsi="宋体" w:cs="Arial"/>
                <w:color w:val="000000"/>
                <w:kern w:val="0"/>
                <w:sz w:val="24"/>
                <w:szCs w:val="24"/>
              </w:rPr>
              <w:t>A</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Pr>
                <w:rFonts w:ascii="宋体" w:eastAsia="宋体" w:hAnsi="宋体" w:cs="Arial"/>
                <w:color w:val="000000"/>
                <w:kern w:val="0"/>
                <w:sz w:val="24"/>
                <w:szCs w:val="24"/>
              </w:rPr>
              <w:t>0</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016106</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申万菱信兴乐优选混合型证券投资基金</w:t>
            </w:r>
            <w:r>
              <w:rPr>
                <w:rFonts w:ascii="宋体" w:eastAsia="宋体" w:hAnsi="宋体" w:cs="Arial"/>
                <w:color w:val="000000"/>
                <w:kern w:val="0"/>
                <w:sz w:val="24"/>
                <w:szCs w:val="24"/>
              </w:rPr>
              <w:t>C</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Pr>
                <w:rFonts w:ascii="宋体" w:eastAsia="宋体" w:hAnsi="宋体" w:cs="Arial"/>
                <w:color w:val="000000"/>
                <w:kern w:val="0"/>
                <w:sz w:val="24"/>
                <w:szCs w:val="24"/>
              </w:rPr>
              <w:t>1</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005433</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申万菱信医药先锋股票型证券投资基金</w:t>
            </w:r>
            <w:r>
              <w:rPr>
                <w:rFonts w:ascii="宋体" w:eastAsia="宋体" w:hAnsi="宋体" w:cs="Arial"/>
                <w:color w:val="000000"/>
                <w:kern w:val="0"/>
                <w:sz w:val="24"/>
                <w:szCs w:val="24"/>
              </w:rPr>
              <w:t>A</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Pr>
                <w:rFonts w:ascii="宋体" w:eastAsia="宋体" w:hAnsi="宋体" w:cs="Arial"/>
                <w:color w:val="000000"/>
                <w:kern w:val="0"/>
                <w:sz w:val="24"/>
                <w:szCs w:val="24"/>
              </w:rPr>
              <w:t>2</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015171</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申万菱信医药先锋股票型证券投资基金</w:t>
            </w:r>
            <w:r>
              <w:rPr>
                <w:rFonts w:ascii="宋体" w:eastAsia="宋体" w:hAnsi="宋体" w:cs="Arial"/>
                <w:color w:val="000000"/>
                <w:kern w:val="0"/>
                <w:sz w:val="24"/>
                <w:szCs w:val="24"/>
              </w:rPr>
              <w:t>C</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Pr>
                <w:rFonts w:ascii="宋体" w:eastAsia="宋体" w:hAnsi="宋体" w:cs="Arial"/>
                <w:color w:val="000000"/>
                <w:kern w:val="0"/>
                <w:sz w:val="24"/>
                <w:szCs w:val="24"/>
              </w:rPr>
              <w:t>3</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012210</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申万菱信智能汽车股票型证券投资基金</w:t>
            </w:r>
            <w:r>
              <w:rPr>
                <w:rFonts w:ascii="宋体" w:eastAsia="宋体" w:hAnsi="宋体" w:cs="Arial"/>
                <w:color w:val="000000"/>
                <w:kern w:val="0"/>
                <w:sz w:val="24"/>
                <w:szCs w:val="24"/>
              </w:rPr>
              <w:t>A</w:t>
            </w:r>
            <w:r>
              <w:rPr>
                <w:rFonts w:ascii="宋体" w:eastAsia="宋体" w:hAnsi="宋体" w:cs="Arial" w:hint="eastAsia"/>
                <w:color w:val="000000"/>
                <w:kern w:val="0"/>
                <w:sz w:val="24"/>
                <w:szCs w:val="24"/>
              </w:rPr>
              <w:t>类份额</w:t>
            </w:r>
          </w:p>
        </w:tc>
      </w:tr>
      <w:tr w:rsidR="000216B0">
        <w:tc>
          <w:tcPr>
            <w:tcW w:w="988" w:type="dxa"/>
          </w:tcPr>
          <w:p w:rsidR="000216B0" w:rsidRDefault="001302F7">
            <w:pPr>
              <w:widowControl/>
              <w:spacing w:line="360" w:lineRule="auto"/>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Pr>
                <w:rFonts w:ascii="宋体" w:eastAsia="宋体" w:hAnsi="宋体" w:cs="Arial"/>
                <w:color w:val="000000"/>
                <w:kern w:val="0"/>
                <w:sz w:val="24"/>
                <w:szCs w:val="24"/>
              </w:rPr>
              <w:t>4</w:t>
            </w:r>
          </w:p>
        </w:tc>
        <w:tc>
          <w:tcPr>
            <w:tcW w:w="1275"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012211</w:t>
            </w:r>
          </w:p>
        </w:tc>
        <w:tc>
          <w:tcPr>
            <w:tcW w:w="6033" w:type="dxa"/>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申万菱信智能汽车股票型证券投资基金</w:t>
            </w:r>
            <w:r>
              <w:rPr>
                <w:rFonts w:ascii="宋体" w:eastAsia="宋体" w:hAnsi="宋体" w:cs="Arial"/>
                <w:color w:val="000000"/>
                <w:kern w:val="0"/>
                <w:sz w:val="24"/>
                <w:szCs w:val="24"/>
              </w:rPr>
              <w:t>C</w:t>
            </w:r>
            <w:r>
              <w:rPr>
                <w:rFonts w:ascii="宋体" w:eastAsia="宋体" w:hAnsi="宋体" w:cs="Arial" w:hint="eastAsia"/>
                <w:color w:val="000000"/>
                <w:kern w:val="0"/>
                <w:sz w:val="24"/>
                <w:szCs w:val="24"/>
              </w:rPr>
              <w:t>类份额</w:t>
            </w:r>
          </w:p>
        </w:tc>
      </w:tr>
    </w:tbl>
    <w:p w:rsidR="000216B0" w:rsidRDefault="000216B0">
      <w:pPr>
        <w:widowControl/>
        <w:shd w:val="clear" w:color="auto" w:fill="FFFFFF"/>
        <w:spacing w:line="360" w:lineRule="auto"/>
        <w:jc w:val="left"/>
        <w:rPr>
          <w:rFonts w:ascii="宋体" w:eastAsia="宋体" w:hAnsi="宋体" w:cs="Arial"/>
          <w:color w:val="000000"/>
          <w:kern w:val="0"/>
          <w:sz w:val="24"/>
          <w:szCs w:val="24"/>
        </w:rPr>
      </w:pPr>
    </w:p>
    <w:p w:rsidR="000216B0" w:rsidRDefault="001302F7">
      <w:pPr>
        <w:widowControl/>
        <w:shd w:val="clear" w:color="auto" w:fill="FFFFFF"/>
        <w:spacing w:line="360" w:lineRule="auto"/>
        <w:ind w:left="48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二、</w:t>
      </w:r>
      <w:r>
        <w:rPr>
          <w:rFonts w:ascii="宋体" w:eastAsia="宋体" w:hAnsi="宋体" w:cs="Arial"/>
          <w:color w:val="000000"/>
          <w:kern w:val="0"/>
          <w:sz w:val="24"/>
          <w:szCs w:val="24"/>
        </w:rPr>
        <w:t>2026</w:t>
      </w:r>
      <w:r>
        <w:rPr>
          <w:rFonts w:ascii="宋体" w:eastAsia="宋体" w:hAnsi="宋体" w:cs="Arial"/>
          <w:color w:val="000000"/>
          <w:kern w:val="0"/>
          <w:sz w:val="24"/>
          <w:szCs w:val="24"/>
        </w:rPr>
        <w:t>年非港股通交易日</w:t>
      </w:r>
      <w:r>
        <w:rPr>
          <w:rFonts w:ascii="宋体" w:eastAsia="宋体" w:hAnsi="宋体" w:cs="Arial" w:hint="eastAsia"/>
          <w:color w:val="000000"/>
          <w:kern w:val="0"/>
          <w:sz w:val="24"/>
          <w:szCs w:val="24"/>
        </w:rPr>
        <w:t>时间安排</w:t>
      </w:r>
    </w:p>
    <w:p w:rsidR="000216B0" w:rsidRDefault="001302F7">
      <w:pPr>
        <w:widowControl/>
        <w:shd w:val="clear" w:color="auto" w:fill="FFFFFF"/>
        <w:spacing w:line="360" w:lineRule="auto"/>
        <w:ind w:firstLineChars="200" w:firstLine="48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lastRenderedPageBreak/>
        <w:t>根据上海证券交易所《关于</w:t>
      </w:r>
      <w:r>
        <w:rPr>
          <w:rFonts w:ascii="宋体" w:eastAsia="宋体" w:hAnsi="宋体" w:cs="Arial"/>
          <w:color w:val="000000"/>
          <w:kern w:val="0"/>
          <w:sz w:val="24"/>
          <w:szCs w:val="24"/>
        </w:rPr>
        <w:t>2026</w:t>
      </w:r>
      <w:r>
        <w:rPr>
          <w:rFonts w:ascii="宋体" w:eastAsia="宋体" w:hAnsi="宋体" w:cs="Arial"/>
          <w:color w:val="000000"/>
          <w:kern w:val="0"/>
          <w:sz w:val="24"/>
          <w:szCs w:val="24"/>
        </w:rPr>
        <w:t>年沪港通下港股通交易日安排的通知》及深圳证券交易所《关于</w:t>
      </w:r>
      <w:r>
        <w:rPr>
          <w:rFonts w:ascii="宋体" w:eastAsia="宋体" w:hAnsi="宋体" w:cs="Arial"/>
          <w:color w:val="000000"/>
          <w:kern w:val="0"/>
          <w:sz w:val="24"/>
          <w:szCs w:val="24"/>
        </w:rPr>
        <w:t>2026</w:t>
      </w:r>
      <w:r>
        <w:rPr>
          <w:rFonts w:ascii="宋体" w:eastAsia="宋体" w:hAnsi="宋体" w:cs="Arial"/>
          <w:color w:val="000000"/>
          <w:kern w:val="0"/>
          <w:sz w:val="24"/>
          <w:szCs w:val="24"/>
        </w:rPr>
        <w:t>年深港通下的港股通交易日有关安排的通知》中对港股通交易日的相关安排，</w:t>
      </w:r>
      <w:r>
        <w:rPr>
          <w:rFonts w:ascii="宋体" w:eastAsia="宋体" w:hAnsi="宋体" w:cs="Arial"/>
          <w:color w:val="000000"/>
          <w:kern w:val="0"/>
          <w:sz w:val="24"/>
          <w:szCs w:val="24"/>
        </w:rPr>
        <w:t>2026</w:t>
      </w:r>
      <w:r>
        <w:rPr>
          <w:rFonts w:ascii="宋体" w:eastAsia="宋体" w:hAnsi="宋体" w:cs="Arial"/>
          <w:color w:val="000000"/>
          <w:kern w:val="0"/>
          <w:sz w:val="24"/>
          <w:szCs w:val="24"/>
        </w:rPr>
        <w:t>年非港股通交易日时间如下：</w:t>
      </w:r>
    </w:p>
    <w:tbl>
      <w:tblPr>
        <w:tblStyle w:val="a3"/>
        <w:tblW w:w="4999" w:type="pct"/>
        <w:tblLook w:val="04A0"/>
      </w:tblPr>
      <w:tblGrid>
        <w:gridCol w:w="2374"/>
        <w:gridCol w:w="6146"/>
      </w:tblGrid>
      <w:tr w:rsidR="000216B0">
        <w:tc>
          <w:tcPr>
            <w:tcW w:w="1393"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类型</w:t>
            </w: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日期</w:t>
            </w:r>
          </w:p>
        </w:tc>
      </w:tr>
      <w:tr w:rsidR="000216B0">
        <w:tc>
          <w:tcPr>
            <w:tcW w:w="1393" w:type="pct"/>
            <w:vMerge w:val="restar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年非港股通交易日</w:t>
            </w: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4</w:t>
            </w:r>
            <w:r>
              <w:rPr>
                <w:rFonts w:ascii="宋体" w:eastAsia="宋体" w:hAnsi="宋体" w:cs="Arial"/>
                <w:color w:val="000000"/>
                <w:kern w:val="0"/>
                <w:sz w:val="24"/>
                <w:szCs w:val="24"/>
              </w:rPr>
              <w:t>月</w:t>
            </w:r>
            <w:r>
              <w:rPr>
                <w:rFonts w:ascii="宋体" w:eastAsia="宋体" w:hAnsi="宋体" w:cs="Arial"/>
                <w:color w:val="000000"/>
                <w:kern w:val="0"/>
                <w:sz w:val="24"/>
                <w:szCs w:val="24"/>
              </w:rPr>
              <w:t>3</w:t>
            </w:r>
            <w:r>
              <w:rPr>
                <w:rFonts w:ascii="宋体" w:eastAsia="宋体" w:hAnsi="宋体" w:cs="Arial"/>
                <w:color w:val="000000"/>
                <w:kern w:val="0"/>
                <w:sz w:val="24"/>
                <w:szCs w:val="24"/>
              </w:rPr>
              <w:t>日</w:t>
            </w:r>
          </w:p>
        </w:tc>
      </w:tr>
      <w:tr w:rsidR="000216B0">
        <w:tc>
          <w:tcPr>
            <w:tcW w:w="1393" w:type="pct"/>
            <w:vMerge/>
          </w:tcPr>
          <w:p w:rsidR="000216B0" w:rsidRDefault="000216B0">
            <w:pPr>
              <w:widowControl/>
              <w:spacing w:line="360" w:lineRule="auto"/>
              <w:jc w:val="left"/>
              <w:rPr>
                <w:rFonts w:ascii="宋体" w:eastAsia="宋体" w:hAnsi="宋体" w:cs="Arial"/>
                <w:color w:val="000000"/>
                <w:kern w:val="0"/>
                <w:sz w:val="24"/>
                <w:szCs w:val="24"/>
              </w:rPr>
            </w:pP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4</w:t>
            </w:r>
            <w:r>
              <w:rPr>
                <w:rFonts w:ascii="宋体" w:eastAsia="宋体" w:hAnsi="宋体" w:cs="Arial"/>
                <w:color w:val="000000"/>
                <w:kern w:val="0"/>
                <w:sz w:val="24"/>
                <w:szCs w:val="24"/>
              </w:rPr>
              <w:t>月</w:t>
            </w:r>
            <w:r>
              <w:rPr>
                <w:rFonts w:ascii="宋体" w:eastAsia="宋体" w:hAnsi="宋体" w:cs="Arial"/>
                <w:color w:val="000000"/>
                <w:kern w:val="0"/>
                <w:sz w:val="24"/>
                <w:szCs w:val="24"/>
              </w:rPr>
              <w:t>7</w:t>
            </w:r>
            <w:r>
              <w:rPr>
                <w:rFonts w:ascii="宋体" w:eastAsia="宋体" w:hAnsi="宋体" w:cs="Arial"/>
                <w:color w:val="000000"/>
                <w:kern w:val="0"/>
                <w:sz w:val="24"/>
                <w:szCs w:val="24"/>
              </w:rPr>
              <w:t>日</w:t>
            </w:r>
          </w:p>
        </w:tc>
      </w:tr>
      <w:tr w:rsidR="000216B0">
        <w:tc>
          <w:tcPr>
            <w:tcW w:w="1393" w:type="pct"/>
            <w:vMerge/>
          </w:tcPr>
          <w:p w:rsidR="000216B0" w:rsidRDefault="000216B0">
            <w:pPr>
              <w:widowControl/>
              <w:spacing w:line="360" w:lineRule="auto"/>
              <w:jc w:val="left"/>
              <w:rPr>
                <w:rFonts w:ascii="宋体" w:eastAsia="宋体" w:hAnsi="宋体" w:cs="Arial"/>
                <w:color w:val="000000"/>
                <w:kern w:val="0"/>
                <w:sz w:val="24"/>
                <w:szCs w:val="24"/>
              </w:rPr>
            </w:pP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5</w:t>
            </w:r>
            <w:r>
              <w:rPr>
                <w:rFonts w:ascii="宋体" w:eastAsia="宋体" w:hAnsi="宋体" w:cs="Arial"/>
                <w:color w:val="000000"/>
                <w:kern w:val="0"/>
                <w:sz w:val="24"/>
                <w:szCs w:val="24"/>
              </w:rPr>
              <w:t>月</w:t>
            </w:r>
            <w:r>
              <w:rPr>
                <w:rFonts w:ascii="宋体" w:eastAsia="宋体" w:hAnsi="宋体" w:cs="Arial"/>
                <w:color w:val="000000"/>
                <w:kern w:val="0"/>
                <w:sz w:val="24"/>
                <w:szCs w:val="24"/>
              </w:rPr>
              <w:t>25</w:t>
            </w:r>
            <w:r>
              <w:rPr>
                <w:rFonts w:ascii="宋体" w:eastAsia="宋体" w:hAnsi="宋体" w:cs="Arial"/>
                <w:color w:val="000000"/>
                <w:kern w:val="0"/>
                <w:sz w:val="24"/>
                <w:szCs w:val="24"/>
              </w:rPr>
              <w:t>日</w:t>
            </w:r>
          </w:p>
        </w:tc>
      </w:tr>
      <w:tr w:rsidR="000216B0">
        <w:tc>
          <w:tcPr>
            <w:tcW w:w="1393" w:type="pct"/>
            <w:vMerge/>
          </w:tcPr>
          <w:p w:rsidR="000216B0" w:rsidRDefault="000216B0">
            <w:pPr>
              <w:widowControl/>
              <w:spacing w:line="360" w:lineRule="auto"/>
              <w:jc w:val="left"/>
              <w:rPr>
                <w:rFonts w:ascii="宋体" w:eastAsia="宋体" w:hAnsi="宋体" w:cs="Arial"/>
                <w:color w:val="000000"/>
                <w:kern w:val="0"/>
                <w:sz w:val="24"/>
                <w:szCs w:val="24"/>
              </w:rPr>
            </w:pP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7</w:t>
            </w:r>
            <w:r>
              <w:rPr>
                <w:rFonts w:ascii="宋体" w:eastAsia="宋体" w:hAnsi="宋体" w:cs="Arial"/>
                <w:color w:val="000000"/>
                <w:kern w:val="0"/>
                <w:sz w:val="24"/>
                <w:szCs w:val="24"/>
              </w:rPr>
              <w:t>月</w:t>
            </w:r>
            <w:r>
              <w:rPr>
                <w:rFonts w:ascii="宋体" w:eastAsia="宋体" w:hAnsi="宋体" w:cs="Arial"/>
                <w:color w:val="000000"/>
                <w:kern w:val="0"/>
                <w:sz w:val="24"/>
                <w:szCs w:val="24"/>
              </w:rPr>
              <w:t>1</w:t>
            </w:r>
            <w:r>
              <w:rPr>
                <w:rFonts w:ascii="宋体" w:eastAsia="宋体" w:hAnsi="宋体" w:cs="Arial"/>
                <w:color w:val="000000"/>
                <w:kern w:val="0"/>
                <w:sz w:val="24"/>
                <w:szCs w:val="24"/>
              </w:rPr>
              <w:t>日</w:t>
            </w:r>
          </w:p>
        </w:tc>
      </w:tr>
      <w:tr w:rsidR="000216B0">
        <w:tc>
          <w:tcPr>
            <w:tcW w:w="1393" w:type="pct"/>
            <w:vMerge/>
          </w:tcPr>
          <w:p w:rsidR="000216B0" w:rsidRDefault="000216B0">
            <w:pPr>
              <w:widowControl/>
              <w:spacing w:line="360" w:lineRule="auto"/>
              <w:jc w:val="left"/>
              <w:rPr>
                <w:rFonts w:ascii="宋体" w:eastAsia="宋体" w:hAnsi="宋体" w:cs="Arial"/>
                <w:color w:val="000000"/>
                <w:kern w:val="0"/>
                <w:sz w:val="24"/>
                <w:szCs w:val="24"/>
              </w:rPr>
            </w:pP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10</w:t>
            </w:r>
            <w:r>
              <w:rPr>
                <w:rFonts w:ascii="宋体" w:eastAsia="宋体" w:hAnsi="宋体" w:cs="Arial"/>
                <w:color w:val="000000"/>
                <w:kern w:val="0"/>
                <w:sz w:val="24"/>
                <w:szCs w:val="24"/>
              </w:rPr>
              <w:t>月</w:t>
            </w:r>
            <w:r>
              <w:rPr>
                <w:rFonts w:ascii="宋体" w:eastAsia="宋体" w:hAnsi="宋体" w:cs="Arial"/>
                <w:color w:val="000000"/>
                <w:kern w:val="0"/>
                <w:sz w:val="24"/>
                <w:szCs w:val="24"/>
              </w:rPr>
              <w:t>19</w:t>
            </w:r>
            <w:r>
              <w:rPr>
                <w:rFonts w:ascii="宋体" w:eastAsia="宋体" w:hAnsi="宋体" w:cs="Arial"/>
                <w:color w:val="000000"/>
                <w:kern w:val="0"/>
                <w:sz w:val="24"/>
                <w:szCs w:val="24"/>
              </w:rPr>
              <w:t>日</w:t>
            </w:r>
          </w:p>
        </w:tc>
      </w:tr>
      <w:tr w:rsidR="000216B0">
        <w:tc>
          <w:tcPr>
            <w:tcW w:w="1393" w:type="pct"/>
            <w:vMerge/>
          </w:tcPr>
          <w:p w:rsidR="000216B0" w:rsidRDefault="000216B0">
            <w:pPr>
              <w:widowControl/>
              <w:spacing w:line="360" w:lineRule="auto"/>
              <w:jc w:val="left"/>
              <w:rPr>
                <w:rFonts w:ascii="宋体" w:eastAsia="宋体" w:hAnsi="宋体" w:cs="Arial"/>
                <w:color w:val="000000"/>
                <w:kern w:val="0"/>
                <w:sz w:val="24"/>
                <w:szCs w:val="24"/>
              </w:rPr>
            </w:pP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12</w:t>
            </w:r>
            <w:r>
              <w:rPr>
                <w:rFonts w:ascii="宋体" w:eastAsia="宋体" w:hAnsi="宋体" w:cs="Arial"/>
                <w:color w:val="000000"/>
                <w:kern w:val="0"/>
                <w:sz w:val="24"/>
                <w:szCs w:val="24"/>
              </w:rPr>
              <w:t>月</w:t>
            </w:r>
            <w:r>
              <w:rPr>
                <w:rFonts w:ascii="宋体" w:eastAsia="宋体" w:hAnsi="宋体" w:cs="Arial"/>
                <w:color w:val="000000"/>
                <w:kern w:val="0"/>
                <w:sz w:val="24"/>
                <w:szCs w:val="24"/>
              </w:rPr>
              <w:t>24</w:t>
            </w:r>
            <w:r>
              <w:rPr>
                <w:rFonts w:ascii="宋体" w:eastAsia="宋体" w:hAnsi="宋体" w:cs="Arial"/>
                <w:color w:val="000000"/>
                <w:kern w:val="0"/>
                <w:sz w:val="24"/>
                <w:szCs w:val="24"/>
              </w:rPr>
              <w:t>日</w:t>
            </w:r>
          </w:p>
        </w:tc>
      </w:tr>
      <w:tr w:rsidR="000216B0">
        <w:tc>
          <w:tcPr>
            <w:tcW w:w="1393" w:type="pct"/>
            <w:vMerge/>
          </w:tcPr>
          <w:p w:rsidR="000216B0" w:rsidRDefault="000216B0">
            <w:pPr>
              <w:widowControl/>
              <w:spacing w:line="360" w:lineRule="auto"/>
              <w:jc w:val="left"/>
              <w:rPr>
                <w:rFonts w:ascii="宋体" w:eastAsia="宋体" w:hAnsi="宋体" w:cs="Arial"/>
                <w:color w:val="000000"/>
                <w:kern w:val="0"/>
                <w:sz w:val="24"/>
                <w:szCs w:val="24"/>
              </w:rPr>
            </w:pP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12</w:t>
            </w:r>
            <w:r>
              <w:rPr>
                <w:rFonts w:ascii="宋体" w:eastAsia="宋体" w:hAnsi="宋体" w:cs="Arial"/>
                <w:color w:val="000000"/>
                <w:kern w:val="0"/>
                <w:sz w:val="24"/>
                <w:szCs w:val="24"/>
              </w:rPr>
              <w:t>月</w:t>
            </w:r>
            <w:r>
              <w:rPr>
                <w:rFonts w:ascii="宋体" w:eastAsia="宋体" w:hAnsi="宋体" w:cs="Arial"/>
                <w:color w:val="000000"/>
                <w:kern w:val="0"/>
                <w:sz w:val="24"/>
                <w:szCs w:val="24"/>
              </w:rPr>
              <w:t>25</w:t>
            </w:r>
            <w:r>
              <w:rPr>
                <w:rFonts w:ascii="宋体" w:eastAsia="宋体" w:hAnsi="宋体" w:cs="Arial"/>
                <w:color w:val="000000"/>
                <w:kern w:val="0"/>
                <w:sz w:val="24"/>
                <w:szCs w:val="24"/>
              </w:rPr>
              <w:t>日</w:t>
            </w:r>
          </w:p>
        </w:tc>
      </w:tr>
      <w:tr w:rsidR="000216B0">
        <w:tc>
          <w:tcPr>
            <w:tcW w:w="1393" w:type="pct"/>
            <w:vMerge/>
          </w:tcPr>
          <w:p w:rsidR="000216B0" w:rsidRDefault="000216B0">
            <w:pPr>
              <w:widowControl/>
              <w:spacing w:line="360" w:lineRule="auto"/>
              <w:jc w:val="left"/>
              <w:rPr>
                <w:rFonts w:ascii="宋体" w:eastAsia="宋体" w:hAnsi="宋体" w:cs="Arial"/>
                <w:color w:val="000000"/>
                <w:kern w:val="0"/>
                <w:sz w:val="24"/>
                <w:szCs w:val="24"/>
              </w:rPr>
            </w:pPr>
          </w:p>
        </w:tc>
        <w:tc>
          <w:tcPr>
            <w:tcW w:w="3606" w:type="pct"/>
          </w:tcPr>
          <w:p w:rsidR="000216B0" w:rsidRDefault="001302F7">
            <w:pPr>
              <w:widowControl/>
              <w:spacing w:line="360" w:lineRule="auto"/>
              <w:jc w:val="left"/>
              <w:rPr>
                <w:rFonts w:ascii="宋体" w:eastAsia="宋体" w:hAnsi="宋体" w:cs="Arial"/>
                <w:color w:val="000000"/>
                <w:kern w:val="0"/>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12</w:t>
            </w:r>
            <w:r>
              <w:rPr>
                <w:rFonts w:ascii="宋体" w:eastAsia="宋体" w:hAnsi="宋体" w:cs="Arial"/>
                <w:color w:val="000000"/>
                <w:kern w:val="0"/>
                <w:sz w:val="24"/>
                <w:szCs w:val="24"/>
              </w:rPr>
              <w:t>月</w:t>
            </w:r>
            <w:r>
              <w:rPr>
                <w:rFonts w:ascii="宋体" w:eastAsia="宋体" w:hAnsi="宋体" w:cs="Arial"/>
                <w:color w:val="000000"/>
                <w:kern w:val="0"/>
                <w:sz w:val="24"/>
                <w:szCs w:val="24"/>
              </w:rPr>
              <w:t>31</w:t>
            </w:r>
            <w:r>
              <w:rPr>
                <w:rFonts w:ascii="宋体" w:eastAsia="宋体" w:hAnsi="宋体" w:cs="Arial"/>
                <w:color w:val="000000"/>
                <w:kern w:val="0"/>
                <w:sz w:val="24"/>
                <w:szCs w:val="24"/>
              </w:rPr>
              <w:t>日</w:t>
            </w:r>
          </w:p>
        </w:tc>
      </w:tr>
    </w:tbl>
    <w:p w:rsidR="000216B0" w:rsidRDefault="001302F7">
      <w:pPr>
        <w:widowControl/>
        <w:shd w:val="clear" w:color="auto" w:fill="FFFFFF"/>
        <w:spacing w:line="360" w:lineRule="auto"/>
        <w:ind w:left="480"/>
        <w:jc w:val="left"/>
        <w:rPr>
          <w:rFonts w:ascii="宋体" w:eastAsia="宋体" w:hAnsi="宋体" w:cs="Arial"/>
          <w:color w:val="000000"/>
          <w:kern w:val="0"/>
          <w:sz w:val="24"/>
          <w:szCs w:val="24"/>
        </w:rPr>
      </w:pPr>
      <w:r>
        <w:rPr>
          <w:rFonts w:ascii="宋体" w:eastAsia="宋体" w:hAnsi="宋体" w:cs="Arial"/>
          <w:color w:val="000000"/>
          <w:kern w:val="0"/>
          <w:sz w:val="24"/>
          <w:szCs w:val="24"/>
        </w:rPr>
        <w:t>注：</w:t>
      </w:r>
      <w:r>
        <w:rPr>
          <w:rFonts w:ascii="宋体" w:eastAsia="宋体" w:hAnsi="宋体" w:cs="Arial"/>
          <w:color w:val="000000"/>
          <w:kern w:val="0"/>
          <w:sz w:val="24"/>
          <w:szCs w:val="24"/>
        </w:rPr>
        <w:t>1</w:t>
      </w:r>
      <w:r>
        <w:rPr>
          <w:rFonts w:ascii="宋体" w:eastAsia="宋体" w:hAnsi="宋体" w:cs="Arial"/>
          <w:color w:val="000000"/>
          <w:kern w:val="0"/>
          <w:sz w:val="24"/>
          <w:szCs w:val="24"/>
        </w:rPr>
        <w:t>、上述非港股通交易日已剔除和上海证券交易所、深圳证券交易所非交易日重合的日期。</w:t>
      </w:r>
    </w:p>
    <w:p w:rsidR="000216B0" w:rsidRDefault="001302F7">
      <w:pPr>
        <w:widowControl/>
        <w:shd w:val="clear" w:color="auto" w:fill="FFFFFF"/>
        <w:spacing w:line="360" w:lineRule="auto"/>
        <w:ind w:left="480"/>
        <w:jc w:val="left"/>
        <w:rPr>
          <w:rFonts w:ascii="宋体" w:eastAsia="宋体" w:hAnsi="宋体" w:cs="Arial"/>
          <w:color w:val="000000"/>
          <w:kern w:val="0"/>
          <w:sz w:val="24"/>
          <w:szCs w:val="24"/>
        </w:rPr>
      </w:pPr>
      <w:r>
        <w:rPr>
          <w:rFonts w:ascii="宋体" w:eastAsia="宋体" w:hAnsi="宋体" w:cs="Arial"/>
          <w:color w:val="000000"/>
          <w:kern w:val="0"/>
          <w:sz w:val="24"/>
          <w:szCs w:val="24"/>
        </w:rPr>
        <w:t>2</w:t>
      </w:r>
      <w:r>
        <w:rPr>
          <w:rFonts w:ascii="宋体" w:eastAsia="宋体" w:hAnsi="宋体" w:cs="Arial"/>
          <w:color w:val="000000"/>
          <w:kern w:val="0"/>
          <w:sz w:val="24"/>
          <w:szCs w:val="24"/>
        </w:rPr>
        <w:t>、若非港股通交易日安排发生变化的，请以上海证券交易所、深圳证券交易所公告为准。本公司有权根据法律法规和基金合同约定以及上海证券交易所和深圳证券交易所关于非港股通交易日的安排调整相关基金交易业务安排。</w:t>
      </w:r>
    </w:p>
    <w:p w:rsidR="000216B0" w:rsidRDefault="001302F7">
      <w:pPr>
        <w:widowControl/>
        <w:shd w:val="clear" w:color="auto" w:fill="FFFFFF"/>
        <w:spacing w:line="360" w:lineRule="auto"/>
        <w:ind w:left="480"/>
        <w:jc w:val="left"/>
        <w:rPr>
          <w:rFonts w:ascii="宋体" w:eastAsia="宋体" w:hAnsi="宋体" w:cs="Arial"/>
          <w:color w:val="000000"/>
          <w:kern w:val="0"/>
          <w:sz w:val="24"/>
          <w:szCs w:val="24"/>
        </w:rPr>
      </w:pPr>
      <w:r>
        <w:rPr>
          <w:rFonts w:ascii="宋体" w:eastAsia="宋体" w:hAnsi="宋体" w:cs="Arial"/>
          <w:color w:val="000000"/>
          <w:kern w:val="0"/>
          <w:sz w:val="24"/>
          <w:szCs w:val="24"/>
        </w:rPr>
        <w:t>3</w:t>
      </w:r>
      <w:r>
        <w:rPr>
          <w:rFonts w:ascii="宋体" w:eastAsia="宋体" w:hAnsi="宋体" w:cs="Arial"/>
          <w:color w:val="000000"/>
          <w:kern w:val="0"/>
          <w:sz w:val="24"/>
          <w:szCs w:val="24"/>
        </w:rPr>
        <w:t>、如遇上述基金因其他原因暂停申购、赎回</w:t>
      </w:r>
      <w:r>
        <w:rPr>
          <w:rFonts w:ascii="宋体" w:eastAsia="宋体" w:hAnsi="宋体" w:cs="Arial" w:hint="eastAsia"/>
          <w:color w:val="000000"/>
          <w:kern w:val="0"/>
          <w:sz w:val="24"/>
          <w:szCs w:val="24"/>
        </w:rPr>
        <w:t>、转换及定期定额投资</w:t>
      </w:r>
      <w:r>
        <w:rPr>
          <w:rFonts w:ascii="宋体" w:eastAsia="宋体" w:hAnsi="宋体" w:cs="Arial"/>
          <w:color w:val="000000"/>
          <w:kern w:val="0"/>
          <w:sz w:val="24"/>
          <w:szCs w:val="24"/>
        </w:rPr>
        <w:t>业务的，具体业务办理以相关公告为准。</w:t>
      </w:r>
    </w:p>
    <w:p w:rsidR="000216B0" w:rsidRDefault="001302F7">
      <w:pPr>
        <w:spacing w:line="360" w:lineRule="auto"/>
        <w:ind w:firstLineChars="200" w:firstLine="480"/>
        <w:rPr>
          <w:rFonts w:ascii="宋体" w:eastAsia="宋体" w:hAnsi="宋体" w:cs="Arial"/>
          <w:color w:val="000000"/>
          <w:kern w:val="0"/>
          <w:sz w:val="24"/>
          <w:szCs w:val="24"/>
        </w:rPr>
      </w:pPr>
      <w:r>
        <w:rPr>
          <w:rFonts w:ascii="宋体" w:eastAsia="宋体" w:hAnsi="宋体" w:cs="Arial" w:hint="eastAsia"/>
          <w:color w:val="000000"/>
          <w:kern w:val="0"/>
          <w:sz w:val="24"/>
          <w:szCs w:val="24"/>
        </w:rPr>
        <w:t>投资者可以拨打公司客户服务电话</w:t>
      </w:r>
      <w:r>
        <w:rPr>
          <w:rFonts w:ascii="宋体" w:eastAsia="宋体" w:hAnsi="宋体" w:cs="Arial"/>
          <w:color w:val="000000"/>
          <w:kern w:val="0"/>
          <w:sz w:val="24"/>
          <w:szCs w:val="24"/>
        </w:rPr>
        <w:t xml:space="preserve"> 400-880-8588</w:t>
      </w:r>
      <w:r>
        <w:rPr>
          <w:rFonts w:ascii="宋体" w:eastAsia="宋体" w:hAnsi="宋体" w:cs="Arial"/>
          <w:color w:val="000000"/>
          <w:kern w:val="0"/>
          <w:sz w:val="24"/>
          <w:szCs w:val="24"/>
        </w:rPr>
        <w:t>（免长途费）或</w:t>
      </w:r>
      <w:r>
        <w:rPr>
          <w:rFonts w:ascii="宋体" w:eastAsia="宋体" w:hAnsi="宋体" w:cs="Arial"/>
          <w:color w:val="000000"/>
          <w:kern w:val="0"/>
          <w:sz w:val="24"/>
          <w:szCs w:val="24"/>
        </w:rPr>
        <w:t xml:space="preserve"> 021-962299</w:t>
      </w:r>
      <w:r>
        <w:rPr>
          <w:rFonts w:ascii="宋体" w:eastAsia="宋体" w:hAnsi="宋体" w:cs="Arial" w:hint="eastAsia"/>
          <w:color w:val="000000"/>
          <w:kern w:val="0"/>
          <w:sz w:val="24"/>
          <w:szCs w:val="24"/>
        </w:rPr>
        <w:t>进行咨询；也可登录官方网站（</w:t>
      </w:r>
      <w:r>
        <w:rPr>
          <w:rFonts w:ascii="宋体" w:eastAsia="宋体" w:hAnsi="宋体" w:cs="Arial"/>
          <w:color w:val="000000"/>
          <w:kern w:val="0"/>
          <w:sz w:val="24"/>
          <w:szCs w:val="24"/>
        </w:rPr>
        <w:t>www.swsmu.com</w:t>
      </w:r>
      <w:r>
        <w:rPr>
          <w:rFonts w:ascii="宋体" w:eastAsia="宋体" w:hAnsi="宋体" w:cs="Arial"/>
          <w:color w:val="000000"/>
          <w:kern w:val="0"/>
          <w:sz w:val="24"/>
          <w:szCs w:val="24"/>
        </w:rPr>
        <w:t>）了解相关情况。敬请投资者及</w:t>
      </w:r>
      <w:r>
        <w:rPr>
          <w:rFonts w:ascii="宋体" w:eastAsia="宋体" w:hAnsi="宋体" w:cs="Arial" w:hint="eastAsia"/>
          <w:color w:val="000000"/>
          <w:kern w:val="0"/>
          <w:sz w:val="24"/>
          <w:szCs w:val="24"/>
        </w:rPr>
        <w:t>早做好交易安排，避免因假期原因带来不便</w:t>
      </w:r>
      <w:r>
        <w:rPr>
          <w:rFonts w:ascii="宋体" w:eastAsia="宋体" w:hAnsi="宋体" w:cs="Arial" w:hint="eastAsia"/>
          <w:color w:val="000000"/>
          <w:kern w:val="0"/>
          <w:sz w:val="24"/>
          <w:szCs w:val="24"/>
        </w:rPr>
        <w:t>。</w:t>
      </w:r>
    </w:p>
    <w:p w:rsidR="000216B0" w:rsidRDefault="001302F7">
      <w:pPr>
        <w:spacing w:line="360" w:lineRule="auto"/>
        <w:ind w:firstLineChars="200" w:firstLine="480"/>
        <w:rPr>
          <w:rFonts w:ascii="宋体" w:eastAsia="宋体" w:hAnsi="宋体" w:cs="Arial"/>
          <w:color w:val="000000"/>
          <w:kern w:val="0"/>
          <w:sz w:val="24"/>
          <w:szCs w:val="24"/>
        </w:rPr>
      </w:pPr>
      <w:r>
        <w:rPr>
          <w:rFonts w:ascii="宋体" w:eastAsia="宋体" w:hAnsi="宋体" w:cs="Arial" w:hint="eastAsia"/>
          <w:color w:val="000000"/>
          <w:kern w:val="0"/>
          <w:sz w:val="24"/>
          <w:szCs w:val="24"/>
        </w:rPr>
        <w:t>风险提示：基金管理人承诺以诚实信用、勤勉尽责的原则管理和运用基金资</w:t>
      </w:r>
    </w:p>
    <w:p w:rsidR="000216B0" w:rsidRDefault="001302F7">
      <w:pPr>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产，但不保证基金一定盈利，也不保证最低收益。投资者投资于本基金前应认真</w:t>
      </w:r>
    </w:p>
    <w:p w:rsidR="000216B0" w:rsidRDefault="001302F7">
      <w:pPr>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阅读本基金的招募说明书。</w:t>
      </w:r>
    </w:p>
    <w:p w:rsidR="000216B0" w:rsidRDefault="000216B0">
      <w:pPr>
        <w:spacing w:line="360" w:lineRule="auto"/>
        <w:rPr>
          <w:rFonts w:ascii="宋体" w:eastAsia="宋体" w:hAnsi="宋体" w:cs="Arial"/>
          <w:color w:val="000000"/>
          <w:kern w:val="0"/>
          <w:sz w:val="24"/>
          <w:szCs w:val="24"/>
        </w:rPr>
      </w:pPr>
    </w:p>
    <w:p w:rsidR="000216B0" w:rsidRDefault="001302F7">
      <w:pPr>
        <w:spacing w:line="360" w:lineRule="auto"/>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申万菱信基金管理有限公司</w:t>
      </w:r>
    </w:p>
    <w:p w:rsidR="000216B0" w:rsidRDefault="001302F7">
      <w:pPr>
        <w:spacing w:line="360" w:lineRule="auto"/>
        <w:jc w:val="right"/>
        <w:rPr>
          <w:rFonts w:ascii="宋体" w:eastAsia="宋体" w:hAnsi="宋体"/>
          <w:sz w:val="24"/>
          <w:szCs w:val="24"/>
        </w:rPr>
      </w:pPr>
      <w:r>
        <w:rPr>
          <w:rFonts w:ascii="宋体" w:eastAsia="宋体" w:hAnsi="宋体" w:cs="Arial"/>
          <w:color w:val="000000"/>
          <w:kern w:val="0"/>
          <w:sz w:val="24"/>
          <w:szCs w:val="24"/>
        </w:rPr>
        <w:t>2026</w:t>
      </w:r>
      <w:r>
        <w:rPr>
          <w:rFonts w:ascii="宋体" w:eastAsia="宋体" w:hAnsi="宋体" w:cs="Arial"/>
          <w:color w:val="000000"/>
          <w:kern w:val="0"/>
          <w:sz w:val="24"/>
          <w:szCs w:val="24"/>
        </w:rPr>
        <w:t>年</w:t>
      </w:r>
      <w:r>
        <w:rPr>
          <w:rFonts w:ascii="宋体" w:eastAsia="宋体" w:hAnsi="宋体" w:cs="Arial"/>
          <w:color w:val="000000"/>
          <w:kern w:val="0"/>
          <w:sz w:val="24"/>
          <w:szCs w:val="24"/>
        </w:rPr>
        <w:t>2</w:t>
      </w:r>
      <w:r>
        <w:rPr>
          <w:rFonts w:ascii="宋体" w:eastAsia="宋体" w:hAnsi="宋体" w:cs="Arial"/>
          <w:color w:val="000000"/>
          <w:kern w:val="0"/>
          <w:sz w:val="24"/>
          <w:szCs w:val="24"/>
        </w:rPr>
        <w:t>月</w:t>
      </w:r>
      <w:r>
        <w:rPr>
          <w:rFonts w:ascii="宋体" w:eastAsia="宋体" w:hAnsi="宋体" w:cs="Arial"/>
          <w:color w:val="000000"/>
          <w:kern w:val="0"/>
          <w:sz w:val="24"/>
          <w:szCs w:val="24"/>
        </w:rPr>
        <w:t>10</w:t>
      </w:r>
      <w:r>
        <w:rPr>
          <w:rFonts w:ascii="宋体" w:eastAsia="宋体" w:hAnsi="宋体" w:cs="Arial"/>
          <w:color w:val="000000"/>
          <w:kern w:val="0"/>
          <w:sz w:val="24"/>
          <w:szCs w:val="24"/>
        </w:rPr>
        <w:t>日</w:t>
      </w:r>
    </w:p>
    <w:sectPr w:rsidR="000216B0" w:rsidSect="000216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B30B5"/>
    <w:multiLevelType w:val="multilevel"/>
    <w:tmpl w:val="797B30B5"/>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7DD9"/>
    <w:rsid w:val="000216B0"/>
    <w:rsid w:val="001302F7"/>
    <w:rsid w:val="00277DD9"/>
    <w:rsid w:val="002E647A"/>
    <w:rsid w:val="00451214"/>
    <w:rsid w:val="00522B9E"/>
    <w:rsid w:val="00985EC2"/>
    <w:rsid w:val="00A922BB"/>
    <w:rsid w:val="04B02DFF"/>
    <w:rsid w:val="498E6BA8"/>
    <w:rsid w:val="4DCD03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6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0216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16B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4</DocSecurity>
  <Lines>9</Lines>
  <Paragraphs>2</Paragraphs>
  <ScaleCrop>false</ScaleCrop>
  <Company>CNSTOCK</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2026-02-09T16:02:00Z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eyJoZGlkIjoiZmE2ZjQ3MzZhYWIzMWM4OWY2ODMyNTljMGY1ZTFiZWQiLCJ1c2VySWQiOiIyODA3NTU1MjIifQ==</vt:lpwstr>
  </property>
  <property fmtid="{D5CDD505-2E9C-101B-9397-08002B2CF9AE}" pid="3" name="KSOProductBuildVer">
    <vt:lpwstr>2052-12.1.0.24657</vt:lpwstr>
  </property>
  <property fmtid="{D5CDD505-2E9C-101B-9397-08002B2CF9AE}" pid="4" name="ICV">
    <vt:lpwstr>8B4B559407B7499381E0025D10989967_12</vt:lpwstr>
  </property>
</Properties>
</file>