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24" w:rsidRDefault="00850437">
      <w:pPr>
        <w:widowControl/>
        <w:shd w:val="clear" w:color="auto" w:fill="FFFFFF"/>
        <w:adjustRightInd w:val="0"/>
        <w:snapToGrid w:val="0"/>
        <w:spacing w:line="360" w:lineRule="auto"/>
        <w:jc w:val="center"/>
        <w:rPr>
          <w:rFonts w:ascii="黑体" w:eastAsia="黑体" w:hAnsi="黑体" w:cs="Arial"/>
          <w:b/>
          <w:color w:val="000000"/>
          <w:kern w:val="0"/>
          <w:sz w:val="30"/>
          <w:szCs w:val="30"/>
        </w:rPr>
      </w:pPr>
      <w:r>
        <w:rPr>
          <w:rFonts w:ascii="黑体" w:eastAsia="黑体" w:hAnsi="黑体" w:cs="Arial" w:hint="eastAsia"/>
          <w:b/>
          <w:color w:val="000000"/>
          <w:kern w:val="0"/>
          <w:sz w:val="30"/>
          <w:szCs w:val="30"/>
        </w:rPr>
        <w:t>关于旗下部分基金增加易方达财富管理基金销售（广州）有限公司为销售机构并参加其费率优惠活动的公告</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根据前海开源基金管理有限公司（以下简称“本公司”）与</w:t>
      </w:r>
      <w:r>
        <w:rPr>
          <w:rFonts w:ascii="宋体" w:hAnsi="宋体" w:cs="Arial" w:hint="eastAsia"/>
          <w:color w:val="000000" w:themeColor="text1"/>
          <w:kern w:val="0"/>
          <w:sz w:val="24"/>
          <w:szCs w:val="24"/>
        </w:rPr>
        <w:t>易方达财富管理基金销售（广州）有限公司</w:t>
      </w:r>
      <w:r>
        <w:rPr>
          <w:rFonts w:ascii="宋体" w:hAnsi="宋体" w:cs="Arial"/>
          <w:color w:val="000000"/>
          <w:kern w:val="0"/>
          <w:sz w:val="24"/>
          <w:szCs w:val="24"/>
        </w:rPr>
        <w:t>（以下简称“</w:t>
      </w:r>
      <w:r>
        <w:rPr>
          <w:rFonts w:ascii="宋体" w:hAnsi="宋体" w:cs="Arial" w:hint="eastAsia"/>
          <w:color w:val="000000" w:themeColor="text1"/>
          <w:kern w:val="0"/>
          <w:sz w:val="24"/>
          <w:szCs w:val="24"/>
        </w:rPr>
        <w:t>易方达财富</w:t>
      </w:r>
      <w:r>
        <w:rPr>
          <w:rFonts w:ascii="宋体" w:hAnsi="宋体" w:cs="Arial"/>
          <w:color w:val="000000"/>
          <w:kern w:val="0"/>
          <w:sz w:val="24"/>
          <w:szCs w:val="24"/>
        </w:rPr>
        <w:t>”）签署的基金销售</w:t>
      </w:r>
      <w:r>
        <w:rPr>
          <w:rFonts w:ascii="宋体" w:hAnsi="宋体" w:cs="Arial" w:hint="eastAsia"/>
          <w:color w:val="000000"/>
          <w:kern w:val="0"/>
          <w:sz w:val="24"/>
          <w:szCs w:val="24"/>
        </w:rPr>
        <w:t>服务</w:t>
      </w:r>
      <w:r>
        <w:rPr>
          <w:rFonts w:ascii="宋体" w:hAnsi="宋体" w:cs="Arial"/>
          <w:color w:val="000000"/>
          <w:kern w:val="0"/>
          <w:sz w:val="24"/>
          <w:szCs w:val="24"/>
        </w:rPr>
        <w:t>协议，</w:t>
      </w:r>
      <w:r>
        <w:rPr>
          <w:rFonts w:ascii="宋体" w:hAnsi="宋体" w:cs="Arial" w:hint="eastAsia"/>
          <w:color w:val="000000"/>
          <w:kern w:val="0"/>
          <w:sz w:val="24"/>
          <w:szCs w:val="24"/>
        </w:rPr>
        <w:t>自</w:t>
      </w:r>
      <w:r>
        <w:rPr>
          <w:rFonts w:ascii="宋体" w:hAnsi="宋体" w:cs="Arial"/>
          <w:color w:val="000000" w:themeColor="text1"/>
          <w:kern w:val="0"/>
          <w:sz w:val="24"/>
          <w:szCs w:val="24"/>
        </w:rPr>
        <w:t>202</w:t>
      </w:r>
      <w:r>
        <w:rPr>
          <w:rFonts w:ascii="宋体" w:hAnsi="宋体" w:cs="Arial" w:hint="eastAsia"/>
          <w:color w:val="000000" w:themeColor="text1"/>
          <w:kern w:val="0"/>
          <w:sz w:val="24"/>
          <w:szCs w:val="24"/>
        </w:rPr>
        <w:t>6</w:t>
      </w:r>
      <w:r>
        <w:rPr>
          <w:rFonts w:ascii="宋体" w:hAnsi="宋体" w:cs="Arial"/>
          <w:color w:val="000000" w:themeColor="text1"/>
          <w:kern w:val="0"/>
          <w:sz w:val="24"/>
          <w:szCs w:val="24"/>
        </w:rPr>
        <w:t>年</w:t>
      </w:r>
      <w:r>
        <w:rPr>
          <w:rFonts w:ascii="宋体" w:hAnsi="宋体" w:cs="Arial" w:hint="eastAsia"/>
          <w:color w:val="000000" w:themeColor="text1"/>
          <w:kern w:val="0"/>
          <w:sz w:val="24"/>
          <w:szCs w:val="24"/>
        </w:rPr>
        <w:t>2</w:t>
      </w:r>
      <w:r>
        <w:rPr>
          <w:rFonts w:ascii="宋体" w:hAnsi="宋体" w:cs="Arial"/>
          <w:color w:val="000000" w:themeColor="text1"/>
          <w:kern w:val="0"/>
          <w:sz w:val="24"/>
          <w:szCs w:val="24"/>
        </w:rPr>
        <w:t>月</w:t>
      </w:r>
      <w:r>
        <w:rPr>
          <w:rFonts w:ascii="宋体" w:hAnsi="宋体" w:cs="Arial" w:hint="eastAsia"/>
          <w:color w:val="000000" w:themeColor="text1"/>
          <w:kern w:val="0"/>
          <w:sz w:val="24"/>
          <w:szCs w:val="24"/>
        </w:rPr>
        <w:t>10</w:t>
      </w:r>
      <w:r>
        <w:rPr>
          <w:rFonts w:ascii="宋体" w:hAnsi="宋体" w:cs="Arial"/>
          <w:color w:val="000000" w:themeColor="text1"/>
          <w:kern w:val="0"/>
          <w:sz w:val="24"/>
          <w:szCs w:val="24"/>
        </w:rPr>
        <w:t>日</w:t>
      </w:r>
      <w:r>
        <w:rPr>
          <w:rFonts w:ascii="宋体" w:hAnsi="宋体" w:cs="Arial" w:hint="eastAsia"/>
          <w:color w:val="000000"/>
          <w:kern w:val="0"/>
          <w:sz w:val="24"/>
          <w:szCs w:val="24"/>
        </w:rPr>
        <w:t>起，</w:t>
      </w:r>
      <w:r>
        <w:rPr>
          <w:rFonts w:ascii="宋体" w:hAnsi="宋体" w:cs="Arial" w:hint="eastAsia"/>
          <w:color w:val="000000" w:themeColor="text1"/>
          <w:kern w:val="0"/>
          <w:sz w:val="24"/>
          <w:szCs w:val="24"/>
        </w:rPr>
        <w:t>易方达财富</w:t>
      </w:r>
      <w:r>
        <w:rPr>
          <w:rFonts w:ascii="宋体" w:hAnsi="宋体" w:cs="Arial" w:hint="eastAsia"/>
          <w:color w:val="000000"/>
          <w:kern w:val="0"/>
          <w:sz w:val="24"/>
          <w:szCs w:val="24"/>
        </w:rPr>
        <w:t>将销售本公司旗下部分开放式证券投资基金。现将有关事项公告如下：</w:t>
      </w:r>
    </w:p>
    <w:p w:rsidR="004A2D24" w:rsidRDefault="00850437" w:rsidP="00292090">
      <w:pPr>
        <w:widowControl/>
        <w:shd w:val="clear" w:color="auto" w:fill="FFFFFF"/>
        <w:adjustRightInd w:val="0"/>
        <w:snapToGrid w:val="0"/>
        <w:spacing w:beforeLines="50" w:line="360" w:lineRule="auto"/>
        <w:ind w:firstLineChars="200" w:firstLine="482"/>
        <w:rPr>
          <w:rFonts w:ascii="宋体" w:hAnsi="宋体" w:cs="Arial"/>
          <w:b/>
          <w:color w:val="000000"/>
          <w:kern w:val="0"/>
          <w:sz w:val="24"/>
          <w:szCs w:val="24"/>
        </w:rPr>
      </w:pPr>
      <w:r>
        <w:rPr>
          <w:rFonts w:ascii="宋体" w:hAnsi="宋体" w:cs="Arial" w:hint="eastAsia"/>
          <w:b/>
          <w:color w:val="000000"/>
          <w:kern w:val="0"/>
          <w:sz w:val="24"/>
          <w:szCs w:val="24"/>
        </w:rPr>
        <w:t>一、适用基金</w:t>
      </w:r>
    </w:p>
    <w:tbl>
      <w:tblPr>
        <w:tblW w:w="5137" w:type="pct"/>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165"/>
        <w:gridCol w:w="6816"/>
      </w:tblGrid>
      <w:tr w:rsidR="004A2D24">
        <w:trPr>
          <w:trHeight w:val="285"/>
        </w:trPr>
        <w:tc>
          <w:tcPr>
            <w:tcW w:w="443" w:type="pct"/>
            <w:shd w:val="clear" w:color="auto" w:fill="auto"/>
            <w:noWrap/>
            <w:vAlign w:val="center"/>
          </w:tcPr>
          <w:p w:rsidR="004A2D24" w:rsidRDefault="00850437">
            <w:pPr>
              <w:widowControl/>
              <w:jc w:val="center"/>
              <w:rPr>
                <w:rFonts w:ascii="宋体" w:hAnsi="宋体" w:cs="宋体"/>
                <w:b/>
                <w:bCs/>
                <w:kern w:val="0"/>
                <w:sz w:val="24"/>
                <w:szCs w:val="24"/>
              </w:rPr>
            </w:pPr>
            <w:r w:rsidRPr="00BF7702">
              <w:rPr>
                <w:rFonts w:ascii="宋体" w:hAnsi="宋体" w:cs="宋体" w:hint="eastAsia"/>
                <w:b/>
                <w:bCs/>
                <w:kern w:val="0"/>
                <w:sz w:val="22"/>
              </w:rPr>
              <w:t>序号</w:t>
            </w:r>
          </w:p>
        </w:tc>
        <w:tc>
          <w:tcPr>
            <w:tcW w:w="665" w:type="pct"/>
            <w:shd w:val="clear" w:color="auto" w:fill="auto"/>
            <w:noWrap/>
            <w:vAlign w:val="center"/>
          </w:tcPr>
          <w:p w:rsidR="004A2D24" w:rsidRDefault="00850437">
            <w:pPr>
              <w:widowControl/>
              <w:jc w:val="center"/>
              <w:rPr>
                <w:rFonts w:ascii="宋体" w:hAnsi="宋体" w:cs="宋体"/>
                <w:b/>
                <w:bCs/>
                <w:kern w:val="0"/>
                <w:sz w:val="22"/>
              </w:rPr>
            </w:pPr>
            <w:r>
              <w:rPr>
                <w:rFonts w:ascii="宋体" w:hAnsi="宋体" w:cs="宋体" w:hint="eastAsia"/>
                <w:b/>
                <w:bCs/>
                <w:kern w:val="0"/>
                <w:sz w:val="22"/>
              </w:rPr>
              <w:t>基金代码</w:t>
            </w:r>
          </w:p>
        </w:tc>
        <w:tc>
          <w:tcPr>
            <w:tcW w:w="3891" w:type="pct"/>
            <w:shd w:val="clear" w:color="auto" w:fill="auto"/>
            <w:noWrap/>
            <w:vAlign w:val="center"/>
          </w:tcPr>
          <w:p w:rsidR="004A2D24" w:rsidRDefault="00850437">
            <w:pPr>
              <w:widowControl/>
              <w:jc w:val="center"/>
              <w:rPr>
                <w:rFonts w:ascii="宋体" w:hAnsi="宋体" w:cs="宋体"/>
                <w:b/>
                <w:bCs/>
                <w:kern w:val="0"/>
                <w:sz w:val="22"/>
              </w:rPr>
            </w:pPr>
            <w:r>
              <w:rPr>
                <w:rFonts w:ascii="宋体" w:hAnsi="宋体" w:cs="宋体" w:hint="eastAsia"/>
                <w:b/>
                <w:bCs/>
                <w:kern w:val="0"/>
                <w:sz w:val="22"/>
              </w:rPr>
              <w:t>基金名称</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lang/>
              </w:rPr>
              <w:t>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007765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前海开源中债1-3年国开行债券指数证券投资基金A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lang/>
              </w:rPr>
              <w:t>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007766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前海开源中债1-3年国开行债券指数证券投资基金C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006712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前海开源MSCI中国A股消费指数型证券投资基金A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006713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前海开源MSCI中国A股消费指数型证券投资基金C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006524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前海开源MSCI中国A股指数型证券投资基金A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006525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前海开源MSCI中国A股指数型证券投资基金C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026097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前海开源安和债券型证券投资基金A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026098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前海开源安和债券型证券投资基金C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023441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前海开源北证50成份指数型发起式证券投资基金A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023442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前海开源北证50成份指数型发起式证券投资基金C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011588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前海开源成份精选混合型证券投资基金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000969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前海开源大安全核心精选灵活配置混合型证券投资基金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000690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前海开源大海洋战略经济灵活配置混合型证券投资基金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002971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前海开源鼎安债券型证券投资基金A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002972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前海开源鼎安债券型证券投资基金C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003167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前海开源鼎瑞债券型证券投资基金A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003168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前海开源鼎瑞债券型证券投资基金C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006145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前海开源鼎欣债券型证券投资基金A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006146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前海开源鼎欣债券型证券投资基金C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20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003254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前海开源鼎裕债券型证券投资基金A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21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003255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前海开源鼎裕债券型证券投资基金C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22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004496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前海开源多元策略灵活配置混合型证券投资基金A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23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004497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前海开源多元策略灵活配置混合型证券投资基金C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24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012774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前海开源丰和债券型证券投资基金A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25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012775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前海开源丰和债券型证券投资基金C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26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004098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前海开源港股通股息率50强股票型证券投资基金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27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023623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前海开源港股通价值领航混合型证券投资基金A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28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023624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前海开源港股通价值领航混合型证券投资基金C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29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001060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前海开源高端装备制造灵活配置混合型证券投资基金A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30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016721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前海开源高端装备制造灵活配置混合型证券投资基金C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lastRenderedPageBreak/>
              <w:t>31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001103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前海开源工业革命4.0灵活配置混合型证券投资基金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32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011601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前海开源公共卫生主题精选股票型证券投资基金A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33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011602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前海开源公共卫生主题精选股票型证券投资基金C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34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005669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前海开源公用事业行业股票型证券投资基金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35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000916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前海开源股息率100强等权重股票型证券投资基金A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36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021784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前海开源股息率100强等权重股票型证券投资基金C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37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001102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前海开源国家比较优势灵活配置混合型证券投资基金A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38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011870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前海开源国家比较优势灵活配置混合型证券投资基金C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39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022414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前海开源国企精选混合型发起式证券投资基金A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022415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前海开源国企精选混合型发起式证券投资基金C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002407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前海开源恒远灵活配置混合型证券投资基金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002690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前海开源恒泽混合型证券投资基金A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002691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前海开源恒泽混合型证券投资基金C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005138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前海开源弘丰债券型发起式证券投资基金A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005139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前海开源弘丰债券型发起式证券投资基金C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005301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前海开源弘泽债券型发起式证券投资基金A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005302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前海开源弘泽债券型发起式证券投资基金C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002666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前海开源沪港深创新成长灵活配置混合型证券投资基金A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49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002667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前海开源沪港深创新成长灵活配置混合型证券投资基金C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002662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前海开源沪港深大消费主题精选灵活配置混合型证券投资基金A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002663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前海开源沪港深大消费主题精选灵活配置混合型证券投资基金C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006923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前海开源沪港深非周期性行业股票型证券投资基金A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006924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前海开源沪港深非周期性行业股票型证券投资基金C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003993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前海开源沪港深核心驱动灵活配置混合型证券投资基金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003304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前海开源沪港深核心资源灵活配置混合型证券投资基金A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003305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前海开源沪港深核心资源灵活配置混合型证券投资基金C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001942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前海开源沪港深汇鑫灵活配置混合型证券投资基金A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001943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前海开源沪港深汇鑫灵活配置混合型证券投资基金C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59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001874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前海开源沪港深价值精选灵活配置混合型证券投资基金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004099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前海开源沪港深景气行业精选灵活配置混合型证券投资基金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007151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前海开源沪港深聚瑞混合型证券投资基金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001837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前海开源沪港深蓝筹精选灵活配置混合型证券投资基金A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012711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前海开源沪港深蓝筹精选灵活配置混合型证券投资基金C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004320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前海开源沪港深乐享生活灵活配置混合型证券投资基金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002443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前海开源沪港深龙头精选灵活配置混合型证券投资基金A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018006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前海开源沪港深龙头精选灵活配置混合型证券投资基金C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001901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前海开源沪港深隆鑫灵活配置混合型证券投资基金A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001902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前海开源沪港深隆鑫灵活配置混合型证券投资基金C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69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164403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前海开源沪港深农业主题精选灵活配置混合型证券投资基金(LOF)A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lastRenderedPageBreak/>
              <w:t>70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015210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前海开源沪港深农业主题精选灵活配置混合型证券投资基金(LOF)C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71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004321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前海开源沪港深强国产业灵活配置混合型证券投资基金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72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002860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前海开源沪港深新机遇灵活配置混合型证券投资基金A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73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017929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前海开源沪港深新机遇灵活配置混合型证券投资基金C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74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004314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前海开源沪港深新硬件主题灵活配置混合型证券投资基金A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75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004315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前海开源沪港深新硬件主题灵活配置混合型证券投资基金C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76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001875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前海开源沪港深优势精选灵活配置混合型证券投资基金A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77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011871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前海开源沪港深优势精选灵活配置混合型证券投资基金C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78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004316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前海开源沪港深裕鑫灵活配置混合型证券投资基金A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79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004317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前海开源沪港深裕鑫灵活配置混合型证券投资基金C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001972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前海开源沪港深智慧生活优选灵活配置混合型证券投资基金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000656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前海开源沪深300指数型证券投资基金A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015671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前海开源沪深300指数型证券投资基金C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009198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前海开源黄金交易型开放式证券投资基金联接基金A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021740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前海开源黄金交易型开放式证券投资基金联接基金C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009894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前海开源惠盈39个月定期开放债券型证券投资基金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001870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前海开源现金增利货币市场基金A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001871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前海开源现金增利货币市场基金B</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004210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前海开源现金增利货币市场基金E</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89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001765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前海开源嘉鑫灵活配置混合型证券投资基金A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001770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前海开源嘉鑫灵活配置混合型证券投资基金C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005328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前海开源价值策略股票型证券投资基金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006216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前海开源价值成长灵活配置混合型证券投资基金A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006217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前海开源价值成长灵活配置混合型证券投资基金C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001302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前海开源金银珠宝主题精选灵活配置混合型证券投资基金A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002207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前海开源金银珠宝主题精选灵活配置混合型证券投资基金C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004368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前海开源聚财宝货币市场基金A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004369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前海开源聚财宝货币市场基金B</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011287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前海开源聚慧三年持有期混合型证券投资基金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99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013270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前海开源聚利一年持有期混合型证券投资基金A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013271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前海开源聚利一年持有期混合型证券投资基金C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007638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前海开源康颐平衡养老目标三年持有期混合型发起式基金中基金(FOF)A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023160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前海开源康悦稳健养老目标一年持有期混合型基金中基金(FOF)A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103</w:t>
            </w:r>
          </w:p>
        </w:tc>
        <w:tc>
          <w:tcPr>
            <w:tcW w:w="665"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000536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前海开源可转债债券型发起式证券投资基金A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023992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前海开源可转债债券型发起式证券投资基金C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002495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前海开源量化优选灵活配置混合型证券投资基金A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002496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前海开源量化优选灵活配置混合型证券投资基金C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011429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前海开源民裕进取混合型证券投资基金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006949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前海开源乾利3个月定期开放债券型发起式证券投资基金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109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005720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前海开源乾盛定期开放债券型发起式证券投资基金A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005721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前海开源乾盛定期开放债券型发起式证券投资基金C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001849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前海开源强势共识100强等权重股票型证券投资基金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001278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前海开源清洁能源主题精选灵活配置混合型证券投资基金A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002360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前海开源清洁能源主题精选灵活配置混合型证券投资基金C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001986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前海开源人工智能主题灵活配置混合型证券投资基金A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023286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前海开源人工智能主题灵活配置混合型证券投资基金C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003360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前海开源瑞和债券型证券投资基金A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003361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前海开源瑞和债券型证券投资基金C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000932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前海开源睿远稳健增利混合型证券投资基金A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119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000933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前海开源睿远稳健增利混合型证券投资基金C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004602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前海开源润和债券型证券投资基金A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004603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前海开源润和债券型证券投资基金C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024605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前海开源上证科创板50成份指数型证券投资基金A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024606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前海开源上证科创板50成份指数型证券投资基金C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011722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前海开源深圳特区精选股票型证券投资基金A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011723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前海开源深圳特区精选股票型证券投资基金C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005541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前海开源盛鑫灵活配置混合型证券投资基金A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005542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前海开源盛鑫灵活配置混合型证券投资基金C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000423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前海开源事件驱动灵活配置混合型发起式证券投资基金A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129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001865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前海开源事件驱动灵活配置混合型发起式证券投资基金C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008188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前海开源稳健增长三年持有期混合型发起式证券投资基金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003218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前海开源祥和债券型证券投资基金A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003219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前海开源祥和债券型证券投资基金C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000689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前海开源新经济灵活配置混合型证券投资基金A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013157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前海开源新经济灵活配置混合型证券投资基金C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008381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前海开源新兴产业混合型证券投资基金A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014729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前海开源新兴产业混合型证券投资基金C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024317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前海开源研究驱动混合型证券投资基金A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024318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前海开源研究驱动混合型证券投资基金C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139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023457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前海开源研究优选混合型证券投资基金A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023458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前海开源研究优选混合型证券投资基金C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001209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前海开源一带一路主题精选灵活配置混合型证券投资基金A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002080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前海开源一带一路主题精选灵活配置混合型证券投资基金C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005453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前海开源医疗健康灵活配置混合型证券投资基金A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005454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前海开源医疗健康灵活配置混合型证券投资基金C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004453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前海开源盈鑫灵活配置混合型证券投资基金A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004454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前海开源盈鑫灵活配置混合型证券投资基金C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001162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前海开源优势蓝筹股票型证券投资基金A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001638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前海开源优势蓝筹股票型证券投资基金C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149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022292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前海开源优选领航股票型发起式证券投资基金A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022293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前海开源优选领航股票型发起式证券投资基金C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006775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前海开源优质成长混合型证券投资基金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012483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前海开源优质龙头6个月持有期混合型证券投资基金A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012484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前海开源优质龙头6个月持有期混合型证券投资基金C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010717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前海开源优质企业6个月持有期混合型证券投资基金A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010718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前海开源优质企业6个月持有期混合型证券投资基金C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004218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前海开源裕和混合型证券投资基金A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007502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前海开源裕和混合型证券投资基金C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004680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前海开源裕瑞混合型证券投资基金A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159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006190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前海开源裕瑞混合型证券投资基金C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005809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前海开源裕源混合型基金中基金(FOF)</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006507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前海开源裕泽定期开放混合型基金中基金(FOF)</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001178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前海开源再融资主题精选股票型证券投资基金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005323</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前海开源泽鑫灵活配置混合型证券投资基金A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005324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前海开源泽鑫灵活配置混合型证券投资基金C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000788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前海开源中国成长灵活配置混合型证券投资基金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001679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前海开源中国稀缺资产灵活配置混合型证券投资基金A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002079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前海开源中国稀缺资产灵活配置混合型证券投资基金C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164402</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前海开源中航军工指数型证券投资基金A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169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015046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前海开源中航军工指数型证券投资基金C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005505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前海开源中药研究精选股票型发起式证券投资基金A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005506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前海开源中药研究精选股票型发起式证券投资基金C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023444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前海开源中证500等权重交易型开放式指数证券投资基金联接基金A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023445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前海开源中证500等权重交易型开放式指数证券投资基金联接基金C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024650</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前海开源中证A500指数增强型证券投资基金A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024651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前海开源中证A500指数增强型证券投资基金C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001027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前海开源中证大农业指数增强型证券投资基金A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177</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015484</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前海开源中证大农业指数增强型证券投资基金C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178</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164401</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前海开源中证健康产业指数型证券投资基金</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179</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000596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前海开源中证军工指数型证券投资基金A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180</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002199</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前海开源中证军工指数型证券投资基金C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181</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026295</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前海开源中证民企300交易型开放式指数证券投资基金发起式联接基金A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182</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026296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前海开源中证民企300交易型开放式指数证券投资基金发起式联接基金C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183</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022446</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前海开源周期精选混合型证券投资基金A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184</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022447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前海开源周期精选混合型证券投资基金C</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185</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003857</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前海开源周期优选灵活配置混合型证券投资基金A</w:t>
            </w:r>
          </w:p>
        </w:tc>
      </w:tr>
      <w:tr w:rsidR="004A2D24" w:rsidTr="00BF7702">
        <w:trPr>
          <w:trHeight w:val="270"/>
        </w:trPr>
        <w:tc>
          <w:tcPr>
            <w:tcW w:w="443" w:type="pct"/>
            <w:shd w:val="clear" w:color="auto" w:fill="auto"/>
            <w:vAlign w:val="center"/>
          </w:tcPr>
          <w:p w:rsidR="004A2D24" w:rsidRDefault="00850437" w:rsidP="00BF7702">
            <w:pPr>
              <w:widowControl/>
              <w:jc w:val="center"/>
              <w:textAlignment w:val="center"/>
              <w:rPr>
                <w:rFonts w:asciiTheme="minorEastAsia" w:eastAsiaTheme="minorEastAsia" w:hAnsiTheme="minorEastAsia" w:cstheme="minorEastAsia"/>
                <w:color w:val="000000"/>
                <w:position w:val="-1"/>
                <w:sz w:val="24"/>
                <w:szCs w:val="24"/>
              </w:rPr>
            </w:pPr>
            <w:r>
              <w:rPr>
                <w:rFonts w:asciiTheme="minorEastAsia" w:eastAsiaTheme="minorEastAsia" w:hAnsiTheme="minorEastAsia" w:cstheme="minorEastAsia" w:hint="eastAsia"/>
                <w:color w:val="000000"/>
                <w:kern w:val="0"/>
                <w:sz w:val="24"/>
                <w:szCs w:val="24"/>
                <w:lang/>
              </w:rPr>
              <w:t>186</w:t>
            </w:r>
          </w:p>
        </w:tc>
        <w:tc>
          <w:tcPr>
            <w:tcW w:w="665" w:type="pct"/>
            <w:shd w:val="clear" w:color="auto" w:fill="auto"/>
            <w:vAlign w:val="center"/>
          </w:tcPr>
          <w:p w:rsidR="004A2D24" w:rsidRDefault="00850437" w:rsidP="00BF7702">
            <w:pPr>
              <w:widowControl/>
              <w:jc w:val="center"/>
              <w:textAlignment w:val="bottom"/>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kern w:val="0"/>
                <w:sz w:val="24"/>
                <w:szCs w:val="24"/>
                <w:lang/>
              </w:rPr>
              <w:t>003858</w:t>
            </w:r>
          </w:p>
        </w:tc>
        <w:tc>
          <w:tcPr>
            <w:tcW w:w="3891" w:type="pct"/>
            <w:shd w:val="clear" w:color="auto" w:fill="auto"/>
            <w:vAlign w:val="bottom"/>
          </w:tcPr>
          <w:p w:rsidR="004A2D24" w:rsidRPr="00BF7702" w:rsidRDefault="00850437">
            <w:pPr>
              <w:widowControl/>
              <w:jc w:val="center"/>
              <w:textAlignment w:val="bottom"/>
              <w:rPr>
                <w:rFonts w:asciiTheme="minorEastAsia" w:eastAsiaTheme="minorEastAsia" w:hAnsiTheme="minorEastAsia" w:cstheme="minorEastAsia"/>
                <w:sz w:val="24"/>
                <w:szCs w:val="24"/>
              </w:rPr>
            </w:pPr>
            <w:r w:rsidRPr="00BF7702">
              <w:rPr>
                <w:rFonts w:asciiTheme="minorEastAsia" w:eastAsiaTheme="minorEastAsia" w:hAnsiTheme="minorEastAsia" w:cstheme="minorEastAsia" w:hint="eastAsia"/>
                <w:color w:val="000000"/>
                <w:kern w:val="0"/>
                <w:sz w:val="24"/>
                <w:szCs w:val="24"/>
                <w:lang/>
              </w:rPr>
              <w:t>前海开源周期优选灵活配置混合型证券投资基金C</w:t>
            </w:r>
          </w:p>
        </w:tc>
      </w:tr>
    </w:tbl>
    <w:p w:rsidR="004A2D24" w:rsidRDefault="00850437" w:rsidP="00292090">
      <w:pPr>
        <w:spacing w:beforeLines="50" w:line="360" w:lineRule="auto"/>
        <w:ind w:firstLine="420"/>
        <w:rPr>
          <w:rFonts w:ascii="宋体" w:hAnsi="宋体" w:cs="Arial"/>
          <w:color w:val="000000"/>
          <w:kern w:val="0"/>
          <w:sz w:val="24"/>
          <w:szCs w:val="24"/>
        </w:rPr>
      </w:pPr>
      <w:r>
        <w:rPr>
          <w:rFonts w:ascii="宋体" w:hAnsi="宋体" w:cs="Arial" w:hint="eastAsia"/>
          <w:color w:val="000000"/>
          <w:kern w:val="0"/>
          <w:sz w:val="24"/>
          <w:szCs w:val="24"/>
        </w:rPr>
        <w:t>自</w:t>
      </w:r>
      <w:r>
        <w:rPr>
          <w:rFonts w:ascii="宋体" w:hAnsi="宋体" w:cs="Arial"/>
          <w:color w:val="000000" w:themeColor="text1"/>
          <w:kern w:val="0"/>
          <w:sz w:val="24"/>
          <w:szCs w:val="24"/>
        </w:rPr>
        <w:t>202</w:t>
      </w:r>
      <w:r>
        <w:rPr>
          <w:rFonts w:ascii="宋体" w:hAnsi="宋体" w:cs="Arial" w:hint="eastAsia"/>
          <w:color w:val="000000" w:themeColor="text1"/>
          <w:kern w:val="0"/>
          <w:sz w:val="24"/>
          <w:szCs w:val="24"/>
        </w:rPr>
        <w:t>6</w:t>
      </w:r>
      <w:r>
        <w:rPr>
          <w:rFonts w:ascii="宋体" w:hAnsi="宋体" w:cs="Arial"/>
          <w:color w:val="000000" w:themeColor="text1"/>
          <w:kern w:val="0"/>
          <w:sz w:val="24"/>
          <w:szCs w:val="24"/>
        </w:rPr>
        <w:t>年</w:t>
      </w:r>
      <w:r>
        <w:rPr>
          <w:rFonts w:ascii="宋体" w:hAnsi="宋体" w:cs="Arial" w:hint="eastAsia"/>
          <w:color w:val="000000" w:themeColor="text1"/>
          <w:kern w:val="0"/>
          <w:sz w:val="24"/>
          <w:szCs w:val="24"/>
        </w:rPr>
        <w:t>2</w:t>
      </w:r>
      <w:r>
        <w:rPr>
          <w:rFonts w:ascii="宋体" w:hAnsi="宋体" w:cs="Arial"/>
          <w:color w:val="000000" w:themeColor="text1"/>
          <w:kern w:val="0"/>
          <w:sz w:val="24"/>
          <w:szCs w:val="24"/>
        </w:rPr>
        <w:t>月</w:t>
      </w:r>
      <w:r>
        <w:rPr>
          <w:rFonts w:ascii="宋体" w:hAnsi="宋体" w:cs="Arial" w:hint="eastAsia"/>
          <w:color w:val="000000" w:themeColor="text1"/>
          <w:kern w:val="0"/>
          <w:sz w:val="24"/>
          <w:szCs w:val="24"/>
        </w:rPr>
        <w:t>10</w:t>
      </w:r>
      <w:r>
        <w:rPr>
          <w:rFonts w:ascii="宋体" w:hAnsi="宋体" w:cs="Arial"/>
          <w:color w:val="000000" w:themeColor="text1"/>
          <w:kern w:val="0"/>
          <w:sz w:val="24"/>
          <w:szCs w:val="24"/>
        </w:rPr>
        <w:t>日</w:t>
      </w:r>
      <w:r>
        <w:rPr>
          <w:rFonts w:ascii="宋体" w:hAnsi="宋体" w:cs="Arial"/>
          <w:color w:val="000000"/>
          <w:kern w:val="0"/>
          <w:sz w:val="24"/>
          <w:szCs w:val="24"/>
        </w:rPr>
        <w:t>起</w:t>
      </w:r>
      <w:r>
        <w:rPr>
          <w:rFonts w:ascii="宋体" w:hAnsi="宋体" w:cs="Arial" w:hint="eastAsia"/>
          <w:color w:val="000000"/>
          <w:kern w:val="0"/>
          <w:sz w:val="24"/>
          <w:szCs w:val="24"/>
        </w:rPr>
        <w:t>，</w:t>
      </w:r>
      <w:r>
        <w:rPr>
          <w:rFonts w:ascii="宋体" w:hAnsi="宋体" w:cs="Arial"/>
          <w:color w:val="000000"/>
          <w:kern w:val="0"/>
          <w:sz w:val="24"/>
          <w:szCs w:val="24"/>
        </w:rPr>
        <w:t>投资者可通过</w:t>
      </w:r>
      <w:r>
        <w:rPr>
          <w:rFonts w:ascii="宋体" w:hAnsi="宋体" w:cs="Arial" w:hint="eastAsia"/>
          <w:color w:val="000000" w:themeColor="text1"/>
          <w:kern w:val="0"/>
          <w:sz w:val="24"/>
          <w:szCs w:val="24"/>
        </w:rPr>
        <w:t>易方达财富</w:t>
      </w:r>
      <w:r>
        <w:rPr>
          <w:rFonts w:ascii="宋体" w:hAnsi="宋体" w:cs="Arial"/>
          <w:color w:val="000000"/>
          <w:kern w:val="0"/>
          <w:sz w:val="24"/>
          <w:szCs w:val="24"/>
        </w:rPr>
        <w:t>办理上述适用基金的申购、</w:t>
      </w:r>
      <w:r>
        <w:rPr>
          <w:rFonts w:ascii="宋体" w:hAnsi="宋体" w:cs="Arial" w:hint="eastAsia"/>
          <w:color w:val="000000"/>
          <w:kern w:val="0"/>
          <w:sz w:val="24"/>
          <w:szCs w:val="24"/>
        </w:rPr>
        <w:t>定期定额投资（</w:t>
      </w:r>
      <w:r>
        <w:rPr>
          <w:rFonts w:ascii="宋体" w:hAnsi="宋体" w:cs="Arial"/>
          <w:color w:val="000000"/>
          <w:kern w:val="0"/>
          <w:sz w:val="24"/>
          <w:szCs w:val="24"/>
        </w:rPr>
        <w:t>以下简称“</w:t>
      </w:r>
      <w:r>
        <w:rPr>
          <w:rFonts w:ascii="宋体" w:hAnsi="宋体" w:cs="Arial" w:hint="eastAsia"/>
          <w:color w:val="000000"/>
          <w:kern w:val="0"/>
          <w:sz w:val="24"/>
          <w:szCs w:val="24"/>
        </w:rPr>
        <w:t>定投</w:t>
      </w:r>
      <w:r>
        <w:rPr>
          <w:rFonts w:ascii="宋体" w:hAnsi="宋体" w:cs="Arial"/>
          <w:color w:val="000000"/>
          <w:kern w:val="0"/>
          <w:sz w:val="24"/>
          <w:szCs w:val="24"/>
        </w:rPr>
        <w:t>”</w:t>
      </w:r>
      <w:r>
        <w:rPr>
          <w:rFonts w:ascii="宋体" w:hAnsi="宋体" w:cs="Arial" w:hint="eastAsia"/>
          <w:color w:val="000000"/>
          <w:kern w:val="0"/>
          <w:sz w:val="24"/>
          <w:szCs w:val="24"/>
        </w:rPr>
        <w:t>）、</w:t>
      </w:r>
      <w:r>
        <w:rPr>
          <w:rFonts w:ascii="宋体" w:hAnsi="宋体" w:cs="Arial"/>
          <w:color w:val="000000"/>
          <w:kern w:val="0"/>
          <w:sz w:val="24"/>
          <w:szCs w:val="24"/>
        </w:rPr>
        <w:t>赎回、</w:t>
      </w:r>
      <w:r>
        <w:rPr>
          <w:rFonts w:ascii="宋体" w:hAnsi="宋体" w:cs="Arial" w:hint="eastAsia"/>
          <w:color w:val="000000"/>
          <w:kern w:val="0"/>
          <w:sz w:val="24"/>
          <w:szCs w:val="24"/>
        </w:rPr>
        <w:t>转换等业务，业务开始或结束办理的具体时间及具体程序、规则以</w:t>
      </w:r>
      <w:r>
        <w:rPr>
          <w:rFonts w:ascii="宋体" w:hAnsi="宋体" w:cs="Arial" w:hint="eastAsia"/>
          <w:color w:val="000000" w:themeColor="text1"/>
          <w:kern w:val="0"/>
          <w:sz w:val="24"/>
          <w:szCs w:val="24"/>
        </w:rPr>
        <w:t>易方达财富</w:t>
      </w:r>
      <w:r>
        <w:rPr>
          <w:rFonts w:ascii="宋体" w:hAnsi="宋体" w:cs="Arial" w:hint="eastAsia"/>
          <w:color w:val="000000"/>
          <w:kern w:val="0"/>
          <w:sz w:val="24"/>
          <w:szCs w:val="24"/>
        </w:rPr>
        <w:t>的有关规定为准。</w:t>
      </w:r>
    </w:p>
    <w:p w:rsidR="004A2D24" w:rsidRDefault="00850437" w:rsidP="00292090">
      <w:pPr>
        <w:widowControl/>
        <w:shd w:val="clear" w:color="auto" w:fill="FFFFFF"/>
        <w:adjustRightInd w:val="0"/>
        <w:snapToGrid w:val="0"/>
        <w:spacing w:beforeLines="50" w:line="360" w:lineRule="auto"/>
        <w:ind w:firstLineChars="200" w:firstLine="482"/>
        <w:rPr>
          <w:rFonts w:ascii="宋体" w:hAnsi="宋体" w:cs="Arial"/>
          <w:b/>
          <w:color w:val="000000"/>
          <w:kern w:val="0"/>
          <w:sz w:val="24"/>
          <w:szCs w:val="24"/>
        </w:rPr>
      </w:pPr>
      <w:r>
        <w:rPr>
          <w:rFonts w:ascii="宋体" w:hAnsi="宋体" w:cs="Arial" w:hint="eastAsia"/>
          <w:b/>
          <w:color w:val="000000"/>
          <w:kern w:val="0"/>
          <w:sz w:val="24"/>
          <w:szCs w:val="24"/>
        </w:rPr>
        <w:t>二、费率优惠及业务办理最低限额</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1、费率优惠</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投资者通过</w:t>
      </w:r>
      <w:r>
        <w:rPr>
          <w:rFonts w:ascii="宋体" w:hAnsi="宋体" w:cs="Arial" w:hint="eastAsia"/>
          <w:color w:val="000000" w:themeColor="text1"/>
          <w:kern w:val="0"/>
          <w:sz w:val="24"/>
          <w:szCs w:val="24"/>
        </w:rPr>
        <w:t>易方达财富</w:t>
      </w:r>
      <w:r>
        <w:rPr>
          <w:rFonts w:ascii="宋体" w:hAnsi="宋体" w:cs="Arial" w:hint="eastAsia"/>
          <w:color w:val="000000"/>
          <w:kern w:val="0"/>
          <w:sz w:val="24"/>
          <w:szCs w:val="24"/>
        </w:rPr>
        <w:t>办理上述适用基金的申购、定投业务，其申购、定投费率</w:t>
      </w:r>
      <w:r>
        <w:rPr>
          <w:rFonts w:ascii="宋体" w:hAnsi="宋体" w:cs="Arial"/>
          <w:color w:val="000000" w:themeColor="text1"/>
          <w:kern w:val="0"/>
          <w:sz w:val="24"/>
          <w:szCs w:val="24"/>
        </w:rPr>
        <w:t>不设折扣限制</w:t>
      </w:r>
      <w:r>
        <w:rPr>
          <w:rFonts w:ascii="宋体" w:hAnsi="宋体" w:cs="Arial" w:hint="eastAsia"/>
          <w:color w:val="000000"/>
          <w:kern w:val="0"/>
          <w:sz w:val="24"/>
          <w:szCs w:val="24"/>
        </w:rPr>
        <w:t>，固定费用</w:t>
      </w:r>
      <w:r>
        <w:rPr>
          <w:rFonts w:ascii="宋体" w:hAnsi="宋体" w:cs="Arial"/>
          <w:color w:val="000000" w:themeColor="text1"/>
          <w:kern w:val="0"/>
          <w:sz w:val="24"/>
          <w:szCs w:val="24"/>
        </w:rPr>
        <w:t>不设折扣限制</w:t>
      </w:r>
      <w:r>
        <w:rPr>
          <w:rFonts w:ascii="宋体" w:hAnsi="宋体" w:cs="Arial" w:hint="eastAsia"/>
          <w:color w:val="000000"/>
          <w:kern w:val="0"/>
          <w:sz w:val="24"/>
          <w:szCs w:val="24"/>
        </w:rPr>
        <w:t>。具体折扣费率以</w:t>
      </w:r>
      <w:r>
        <w:rPr>
          <w:rFonts w:ascii="宋体" w:hAnsi="宋体" w:cs="Arial" w:hint="eastAsia"/>
          <w:color w:val="000000" w:themeColor="text1"/>
          <w:kern w:val="0"/>
          <w:sz w:val="24"/>
          <w:szCs w:val="24"/>
        </w:rPr>
        <w:t>易方达财富</w:t>
      </w:r>
      <w:r>
        <w:rPr>
          <w:rFonts w:ascii="宋体" w:hAnsi="宋体" w:cs="Arial" w:hint="eastAsia"/>
          <w:color w:val="000000"/>
          <w:kern w:val="0"/>
          <w:sz w:val="24"/>
          <w:szCs w:val="24"/>
        </w:rPr>
        <w:t>活动为准。基金原费率请详见基金合同、招募说明书、基金产品资料概要及其更新等法律文件，以及本公司发布的最新业务公告。</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2、业务办理最低限额</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投资者在</w:t>
      </w:r>
      <w:r>
        <w:rPr>
          <w:rFonts w:ascii="宋体" w:hAnsi="宋体" w:cs="Arial" w:hint="eastAsia"/>
          <w:color w:val="000000" w:themeColor="text1"/>
          <w:kern w:val="0"/>
          <w:sz w:val="24"/>
          <w:szCs w:val="24"/>
        </w:rPr>
        <w:t>易方达财富</w:t>
      </w:r>
      <w:r>
        <w:rPr>
          <w:rFonts w:ascii="宋体" w:hAnsi="宋体" w:cs="Arial" w:hint="eastAsia"/>
          <w:color w:val="000000"/>
          <w:kern w:val="0"/>
          <w:sz w:val="24"/>
          <w:szCs w:val="24"/>
        </w:rPr>
        <w:t>办理本公司上述基金的申购业务，最低单笔申购金额为人民币</w:t>
      </w:r>
      <w:r>
        <w:rPr>
          <w:rFonts w:ascii="宋体" w:hAnsi="宋体" w:cs="Arial" w:hint="eastAsia"/>
          <w:color w:val="000000" w:themeColor="text1"/>
          <w:kern w:val="0"/>
          <w:sz w:val="24"/>
          <w:szCs w:val="24"/>
        </w:rPr>
        <w:t>1元（含）；</w:t>
      </w:r>
      <w:r>
        <w:rPr>
          <w:rFonts w:ascii="宋体" w:hAnsi="宋体" w:cs="Arial" w:hint="eastAsia"/>
          <w:color w:val="000000"/>
          <w:kern w:val="0"/>
          <w:sz w:val="24"/>
          <w:szCs w:val="24"/>
        </w:rPr>
        <w:t>投资者在</w:t>
      </w:r>
      <w:r>
        <w:rPr>
          <w:rFonts w:ascii="宋体" w:hAnsi="宋体" w:cs="Arial" w:hint="eastAsia"/>
          <w:color w:val="000000" w:themeColor="text1"/>
          <w:kern w:val="0"/>
          <w:sz w:val="24"/>
          <w:szCs w:val="24"/>
        </w:rPr>
        <w:t>易方达财富</w:t>
      </w:r>
      <w:r>
        <w:rPr>
          <w:rFonts w:ascii="宋体" w:hAnsi="宋体" w:cs="Arial" w:hint="eastAsia"/>
          <w:color w:val="000000"/>
          <w:kern w:val="0"/>
          <w:sz w:val="24"/>
          <w:szCs w:val="24"/>
        </w:rPr>
        <w:t>办理本公司上述基金的定投业务，最低单笔定投金额为人民币</w:t>
      </w:r>
      <w:r>
        <w:rPr>
          <w:rFonts w:ascii="宋体" w:hAnsi="宋体" w:cs="Arial" w:hint="eastAsia"/>
          <w:color w:val="000000" w:themeColor="text1"/>
          <w:kern w:val="0"/>
          <w:sz w:val="24"/>
          <w:szCs w:val="24"/>
        </w:rPr>
        <w:t>1元（含）；</w:t>
      </w:r>
      <w:r>
        <w:rPr>
          <w:rFonts w:ascii="宋体" w:hAnsi="宋体" w:cs="Arial" w:hint="eastAsia"/>
          <w:color w:val="000000"/>
          <w:kern w:val="0"/>
          <w:sz w:val="24"/>
          <w:szCs w:val="24"/>
        </w:rPr>
        <w:t>投资者在</w:t>
      </w:r>
      <w:r>
        <w:rPr>
          <w:rFonts w:ascii="宋体" w:hAnsi="宋体" w:cs="Arial" w:hint="eastAsia"/>
          <w:color w:val="000000" w:themeColor="text1"/>
          <w:kern w:val="0"/>
          <w:sz w:val="24"/>
          <w:szCs w:val="24"/>
        </w:rPr>
        <w:t>易方达财富</w:t>
      </w:r>
      <w:r>
        <w:rPr>
          <w:rFonts w:ascii="宋体" w:hAnsi="宋体" w:cs="Arial" w:hint="eastAsia"/>
          <w:color w:val="000000"/>
          <w:kern w:val="0"/>
          <w:sz w:val="24"/>
          <w:szCs w:val="24"/>
        </w:rPr>
        <w:t>办理本公司上述基金的赎回业务，最低单笔赎回份额为1份(含)。如在相关公告中已约定业务办理最低限额的产品，则按照产品相关公告执行。</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3</w:t>
      </w:r>
      <w:r>
        <w:rPr>
          <w:rFonts w:ascii="宋体" w:hAnsi="宋体" w:cs="Arial" w:hint="eastAsia"/>
          <w:color w:val="000000"/>
          <w:kern w:val="0"/>
          <w:sz w:val="24"/>
          <w:szCs w:val="24"/>
        </w:rPr>
        <w:t>、后续本公司新增通过</w:t>
      </w:r>
      <w:r>
        <w:rPr>
          <w:rFonts w:ascii="宋体" w:hAnsi="宋体" w:cs="Arial" w:hint="eastAsia"/>
          <w:color w:val="000000" w:themeColor="text1"/>
          <w:kern w:val="0"/>
          <w:sz w:val="24"/>
          <w:szCs w:val="24"/>
        </w:rPr>
        <w:t>易方达财富</w:t>
      </w:r>
      <w:r>
        <w:rPr>
          <w:rFonts w:ascii="宋体" w:hAnsi="宋体" w:cs="Arial" w:hint="eastAsia"/>
          <w:color w:val="000000"/>
          <w:kern w:val="0"/>
          <w:sz w:val="24"/>
          <w:szCs w:val="24"/>
        </w:rPr>
        <w:t>销售的基金产品除基金法律文件或产品相关公告有特殊规定外，适用上述费率优惠及业务办理最低限额，本公司不再另行公告。</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4</w:t>
      </w:r>
      <w:r>
        <w:rPr>
          <w:rFonts w:ascii="宋体" w:hAnsi="宋体" w:cs="Arial" w:hint="eastAsia"/>
          <w:color w:val="000000"/>
          <w:kern w:val="0"/>
          <w:sz w:val="24"/>
          <w:szCs w:val="24"/>
        </w:rPr>
        <w:t>、处于封闭期的产品，自开放申购、赎回业务之日起，适用于上述费率优惠及业务办理最低限额，本公司不再另行公告。</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5</w:t>
      </w:r>
      <w:r>
        <w:rPr>
          <w:rFonts w:ascii="宋体" w:hAnsi="宋体" w:cs="Arial" w:hint="eastAsia"/>
          <w:color w:val="000000"/>
          <w:kern w:val="0"/>
          <w:sz w:val="24"/>
          <w:szCs w:val="24"/>
        </w:rPr>
        <w:t>、LOF基金的相关规则以中国证券登记结算有限责任公司的具体业务规定为准。</w:t>
      </w:r>
    </w:p>
    <w:p w:rsidR="004A2D24" w:rsidRDefault="00850437" w:rsidP="00292090">
      <w:pPr>
        <w:widowControl/>
        <w:shd w:val="clear" w:color="auto" w:fill="FFFFFF"/>
        <w:adjustRightInd w:val="0"/>
        <w:snapToGrid w:val="0"/>
        <w:spacing w:beforeLines="50" w:line="360" w:lineRule="auto"/>
        <w:ind w:firstLineChars="200" w:firstLine="482"/>
        <w:rPr>
          <w:rFonts w:ascii="宋体" w:hAnsi="宋体" w:cs="Arial"/>
          <w:b/>
          <w:color w:val="000000"/>
          <w:kern w:val="0"/>
          <w:sz w:val="24"/>
          <w:szCs w:val="24"/>
        </w:rPr>
      </w:pPr>
      <w:r>
        <w:rPr>
          <w:rFonts w:ascii="宋体" w:hAnsi="宋体" w:cs="Arial" w:hint="eastAsia"/>
          <w:b/>
          <w:color w:val="000000"/>
          <w:kern w:val="0"/>
          <w:sz w:val="24"/>
          <w:szCs w:val="24"/>
        </w:rPr>
        <w:t>三、</w:t>
      </w:r>
      <w:r>
        <w:rPr>
          <w:rFonts w:ascii="宋体" w:hAnsi="宋体" w:cs="Arial"/>
          <w:b/>
          <w:color w:val="000000"/>
          <w:kern w:val="0"/>
          <w:sz w:val="24"/>
          <w:szCs w:val="24"/>
        </w:rPr>
        <w:t>重要提示</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1、上述申购</w:t>
      </w:r>
      <w:r>
        <w:rPr>
          <w:rFonts w:ascii="宋体" w:hAnsi="宋体" w:cs="Arial" w:hint="eastAsia"/>
          <w:color w:val="000000"/>
          <w:kern w:val="0"/>
          <w:sz w:val="24"/>
          <w:szCs w:val="24"/>
        </w:rPr>
        <w:t>及</w:t>
      </w:r>
      <w:r>
        <w:rPr>
          <w:rFonts w:ascii="宋体" w:hAnsi="宋体" w:cs="Arial"/>
          <w:color w:val="000000"/>
          <w:kern w:val="0"/>
          <w:sz w:val="24"/>
          <w:szCs w:val="24"/>
        </w:rPr>
        <w:t>赎回业务仅适用于处于正常申购赎回期及处于特定开放日和开放时间的基金。基金</w:t>
      </w:r>
      <w:r>
        <w:rPr>
          <w:rFonts w:ascii="宋体" w:hAnsi="宋体" w:cs="Arial" w:hint="eastAsia"/>
          <w:color w:val="000000"/>
          <w:kern w:val="0"/>
          <w:sz w:val="24"/>
          <w:szCs w:val="24"/>
        </w:rPr>
        <w:t>认购期、</w:t>
      </w:r>
      <w:r>
        <w:rPr>
          <w:rFonts w:ascii="宋体" w:hAnsi="宋体" w:cs="Arial"/>
          <w:color w:val="000000"/>
          <w:kern w:val="0"/>
          <w:sz w:val="24"/>
          <w:szCs w:val="24"/>
        </w:rPr>
        <w:t>封闭期等特殊期间的有关规定详见对应基金的基金合同</w:t>
      </w:r>
      <w:r>
        <w:rPr>
          <w:rFonts w:ascii="宋体" w:hAnsi="宋体" w:cs="Arial" w:hint="eastAsia"/>
          <w:color w:val="000000"/>
          <w:kern w:val="0"/>
          <w:sz w:val="24"/>
          <w:szCs w:val="24"/>
        </w:rPr>
        <w:t>、</w:t>
      </w:r>
      <w:r>
        <w:rPr>
          <w:rFonts w:ascii="宋体" w:hAnsi="宋体" w:cs="Arial"/>
          <w:color w:val="000000"/>
          <w:kern w:val="0"/>
          <w:sz w:val="24"/>
          <w:szCs w:val="24"/>
        </w:rPr>
        <w:t>招募说明书</w:t>
      </w:r>
      <w:r>
        <w:rPr>
          <w:rFonts w:ascii="宋体" w:hAnsi="宋体" w:cs="Arial" w:hint="eastAsia"/>
          <w:color w:val="000000"/>
          <w:kern w:val="0"/>
          <w:sz w:val="24"/>
          <w:szCs w:val="24"/>
        </w:rPr>
        <w:t>、基金产品资料概要及其更新</w:t>
      </w:r>
      <w:r>
        <w:rPr>
          <w:rFonts w:ascii="宋体" w:hAnsi="宋体" w:cs="Arial"/>
          <w:color w:val="000000"/>
          <w:kern w:val="0"/>
          <w:sz w:val="24"/>
          <w:szCs w:val="24"/>
        </w:rPr>
        <w:t>等相关法律文件</w:t>
      </w:r>
      <w:r>
        <w:rPr>
          <w:rFonts w:ascii="宋体" w:hAnsi="宋体" w:cs="Arial" w:hint="eastAsia"/>
          <w:color w:val="000000"/>
          <w:kern w:val="0"/>
          <w:sz w:val="24"/>
          <w:szCs w:val="24"/>
        </w:rPr>
        <w:t>和</w:t>
      </w:r>
      <w:r>
        <w:rPr>
          <w:rFonts w:ascii="宋体" w:hAnsi="宋体" w:cs="Arial"/>
          <w:color w:val="000000"/>
          <w:kern w:val="0"/>
          <w:sz w:val="24"/>
          <w:szCs w:val="24"/>
        </w:rPr>
        <w:t>本公司发布的最新业务公告。</w:t>
      </w:r>
    </w:p>
    <w:p w:rsidR="004A2D24" w:rsidRDefault="00850437" w:rsidP="00292090">
      <w:pPr>
        <w:widowControl/>
        <w:shd w:val="clear" w:color="auto" w:fill="FFFFFF"/>
        <w:adjustRightInd w:val="0"/>
        <w:snapToGrid w:val="0"/>
        <w:spacing w:beforeLines="50"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2、基金转换是指投资者可将其通过销售机构购买并持有的本公司旗下某只开放式基金的全部或部分基金份额转换为本公司管理的其他开放式基金的基金份额。转换的两只基金必须都是由同一销售机构销售、同一基金管理人管理、并在同一登记机构处登记的基金。同一基金不同份额之间暂不开通转换。基金转换费用与转换业务规则可参照本公司发布的《前海开源基金管理有限公司关于旗下基金开通转换业务并在直销机构实行申购补差费率优惠的公告》、《前海开源基金管理有限公司关于调整旗下部分开放式证券投资基金转换业务补差费用计算方法的公告》等相关公告。</w:t>
      </w:r>
    </w:p>
    <w:p w:rsidR="004A2D24" w:rsidRDefault="00850437" w:rsidP="00292090">
      <w:pPr>
        <w:widowControl/>
        <w:shd w:val="clear" w:color="auto" w:fill="FFFFFF"/>
        <w:adjustRightInd w:val="0"/>
        <w:snapToGrid w:val="0"/>
        <w:spacing w:beforeLines="50"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3、</w:t>
      </w:r>
      <w:r>
        <w:rPr>
          <w:rFonts w:ascii="宋体" w:hAnsi="宋体" w:cs="Arial" w:hint="eastAsia"/>
          <w:color w:val="000000"/>
          <w:kern w:val="0"/>
          <w:sz w:val="24"/>
          <w:szCs w:val="24"/>
        </w:rPr>
        <w:t>本公告解释权归本公司所有。</w:t>
      </w:r>
    </w:p>
    <w:p w:rsidR="004A2D24" w:rsidRDefault="00850437" w:rsidP="00292090">
      <w:pPr>
        <w:widowControl/>
        <w:shd w:val="clear" w:color="auto" w:fill="FFFFFF"/>
        <w:adjustRightInd w:val="0"/>
        <w:snapToGrid w:val="0"/>
        <w:spacing w:beforeLines="50" w:line="360" w:lineRule="auto"/>
        <w:ind w:firstLineChars="200" w:firstLine="482"/>
        <w:rPr>
          <w:rFonts w:ascii="宋体" w:hAnsi="宋体" w:cs="Arial"/>
          <w:b/>
          <w:color w:val="000000"/>
          <w:kern w:val="0"/>
          <w:sz w:val="24"/>
          <w:szCs w:val="24"/>
        </w:rPr>
      </w:pPr>
      <w:r>
        <w:rPr>
          <w:rFonts w:ascii="宋体" w:hAnsi="宋体" w:cs="Arial" w:hint="eastAsia"/>
          <w:b/>
          <w:color w:val="000000"/>
          <w:kern w:val="0"/>
          <w:sz w:val="24"/>
          <w:szCs w:val="24"/>
        </w:rPr>
        <w:t>四、</w:t>
      </w:r>
      <w:r>
        <w:rPr>
          <w:rFonts w:ascii="宋体" w:hAnsi="宋体" w:cs="Arial"/>
          <w:b/>
          <w:color w:val="000000"/>
          <w:kern w:val="0"/>
          <w:sz w:val="24"/>
          <w:szCs w:val="24"/>
        </w:rPr>
        <w:t>投资者可通过以下途径咨询有关详情</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1、</w:t>
      </w:r>
      <w:r>
        <w:rPr>
          <w:rFonts w:ascii="宋体" w:hAnsi="宋体" w:cs="Arial" w:hint="eastAsia"/>
          <w:color w:val="000000" w:themeColor="text1"/>
          <w:kern w:val="0"/>
          <w:sz w:val="24"/>
          <w:szCs w:val="24"/>
        </w:rPr>
        <w:t>易方达财富管理基金销售（广州）有限公司</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客服电话：</w:t>
      </w:r>
      <w:r>
        <w:rPr>
          <w:rFonts w:ascii="宋体" w:hAnsi="宋体" w:cs="Arial" w:hint="eastAsia"/>
          <w:color w:val="000000" w:themeColor="text1"/>
          <w:kern w:val="0"/>
          <w:sz w:val="24"/>
          <w:szCs w:val="24"/>
        </w:rPr>
        <w:t>400-160-8888</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网址：</w:t>
      </w:r>
      <w:r>
        <w:rPr>
          <w:rFonts w:ascii="宋体" w:hAnsi="宋体" w:cs="Arial" w:hint="eastAsia"/>
          <w:color w:val="000000" w:themeColor="text1"/>
          <w:kern w:val="0"/>
          <w:sz w:val="24"/>
          <w:szCs w:val="24"/>
        </w:rPr>
        <w:t>www.efundcf.com.cn</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2、</w:t>
      </w:r>
      <w:r>
        <w:rPr>
          <w:rFonts w:ascii="宋体" w:hAnsi="宋体" w:cs="Arial"/>
          <w:color w:val="000000"/>
          <w:kern w:val="0"/>
          <w:sz w:val="24"/>
          <w:szCs w:val="24"/>
        </w:rPr>
        <w:t>前海开源基金管理有限公司</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客服电话：4001-666-998</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网址：www.qhkyfund.com</w:t>
      </w:r>
    </w:p>
    <w:p w:rsidR="004A2D24" w:rsidRDefault="00850437" w:rsidP="00292090">
      <w:pPr>
        <w:widowControl/>
        <w:shd w:val="clear" w:color="auto" w:fill="FFFFFF"/>
        <w:adjustRightInd w:val="0"/>
        <w:snapToGrid w:val="0"/>
        <w:spacing w:beforeLines="50" w:line="360" w:lineRule="auto"/>
        <w:ind w:firstLineChars="200" w:firstLine="482"/>
        <w:rPr>
          <w:rFonts w:ascii="宋体" w:hAnsi="宋体" w:cs="Arial"/>
          <w:b/>
          <w:color w:val="000000"/>
          <w:kern w:val="0"/>
          <w:sz w:val="24"/>
          <w:szCs w:val="24"/>
        </w:rPr>
      </w:pPr>
      <w:r>
        <w:rPr>
          <w:rFonts w:ascii="宋体" w:hAnsi="宋体" w:cs="Arial" w:hint="eastAsia"/>
          <w:b/>
          <w:color w:val="000000"/>
          <w:kern w:val="0"/>
          <w:sz w:val="24"/>
          <w:szCs w:val="24"/>
        </w:rPr>
        <w:t>五</w:t>
      </w:r>
      <w:r>
        <w:rPr>
          <w:rFonts w:ascii="宋体" w:hAnsi="宋体" w:cs="Arial"/>
          <w:b/>
          <w:color w:val="000000"/>
          <w:kern w:val="0"/>
          <w:sz w:val="24"/>
          <w:szCs w:val="24"/>
        </w:rPr>
        <w:t>、风险提示</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基金管理人承诺以诚实信用、勤勉尽责的原则管理和运用基金资产，但不保证基金一定盈利，也不保证最低收益。投资者投资于本公司旗下基金前应认真阅读各基金的基金合同、招募说明书、基金产品资料概要及其更新等文件，了解所投资基金的风险收益特征，并根据自身风险承受能力选择适合自己的基金产品。敬请投资者注意投资风险。</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养老目标基金的名称中包含“养老目标”字样，不代表基金收益保障或其他任何形式的收益承诺，基金管理人在此特别提示投资者：投资者投资于养老目标基金不保本，可能发生亏损。</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沪港深系列基金的基金名称仅表明基金可以通过港股通机制投资港股，基金资产对港股标的投资比例会根据市场情况、投资策略等发生较大的调整，存在不对港股进行投资的可能。</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投资者投资于货币市场基金并不等于将资金作为存款存放在银行或存款类金融机构，基金的过往业绩并不预示其未来表现，基金管理人管理的其他基金的业绩并不构成对货币市场基金表现的保证。</w:t>
      </w: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hint="eastAsia"/>
          <w:color w:val="000000"/>
          <w:kern w:val="0"/>
          <w:sz w:val="24"/>
          <w:szCs w:val="24"/>
        </w:rPr>
        <w:t>对于设定最短持有期的基金的每份基金份额，在最短持有期到期日（含该日）前，基金份额持有人不能对该基金份额提出</w:t>
      </w:r>
      <w:bookmarkStart w:id="0" w:name="_GoBack"/>
      <w:bookmarkEnd w:id="0"/>
      <w:r>
        <w:rPr>
          <w:rFonts w:ascii="宋体" w:hAnsi="宋体" w:cs="Arial" w:hint="eastAsia"/>
          <w:color w:val="000000"/>
          <w:kern w:val="0"/>
          <w:sz w:val="24"/>
          <w:szCs w:val="24"/>
        </w:rPr>
        <w:t>赎回或转换转出申请；自最短持有期到期日的下一工作日（含该日）起，基金份额持有人可对该基金份额提出赎回或转换转出申请；基金份额持有人将面临在最短持有期到期前不能赎回基金份额的风险。</w:t>
      </w:r>
    </w:p>
    <w:p w:rsidR="004A2D24" w:rsidRDefault="004A2D2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p>
    <w:p w:rsidR="004A2D24" w:rsidRDefault="004A2D24">
      <w:pPr>
        <w:widowControl/>
        <w:shd w:val="clear" w:color="auto" w:fill="FFFFFF"/>
        <w:adjustRightInd w:val="0"/>
        <w:snapToGrid w:val="0"/>
        <w:spacing w:line="360" w:lineRule="auto"/>
        <w:rPr>
          <w:rFonts w:ascii="宋体" w:hAnsi="宋体" w:cs="Arial"/>
          <w:color w:val="000000"/>
          <w:kern w:val="0"/>
          <w:sz w:val="24"/>
          <w:szCs w:val="24"/>
        </w:rPr>
      </w:pPr>
    </w:p>
    <w:p w:rsidR="004A2D24" w:rsidRDefault="004A2D24">
      <w:pPr>
        <w:widowControl/>
        <w:shd w:val="clear" w:color="auto" w:fill="FFFFFF"/>
        <w:adjustRightInd w:val="0"/>
        <w:snapToGrid w:val="0"/>
        <w:spacing w:line="360" w:lineRule="auto"/>
        <w:rPr>
          <w:rFonts w:ascii="宋体" w:hAnsi="宋体" w:cs="Arial"/>
          <w:color w:val="000000"/>
          <w:kern w:val="0"/>
          <w:sz w:val="24"/>
          <w:szCs w:val="24"/>
        </w:rPr>
      </w:pPr>
    </w:p>
    <w:p w:rsidR="004A2D24" w:rsidRDefault="00850437">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r>
        <w:rPr>
          <w:rFonts w:ascii="宋体" w:hAnsi="宋体" w:cs="Arial"/>
          <w:color w:val="000000"/>
          <w:kern w:val="0"/>
          <w:sz w:val="24"/>
          <w:szCs w:val="24"/>
        </w:rPr>
        <w:t>特此公告</w:t>
      </w:r>
    </w:p>
    <w:p w:rsidR="004A2D24" w:rsidRDefault="004A2D2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p>
    <w:p w:rsidR="004A2D24" w:rsidRDefault="004A2D24">
      <w:pPr>
        <w:widowControl/>
        <w:shd w:val="clear" w:color="auto" w:fill="FFFFFF"/>
        <w:adjustRightInd w:val="0"/>
        <w:snapToGrid w:val="0"/>
        <w:spacing w:line="360" w:lineRule="auto"/>
        <w:ind w:firstLineChars="200" w:firstLine="480"/>
        <w:rPr>
          <w:rFonts w:ascii="宋体" w:hAnsi="宋体" w:cs="Arial"/>
          <w:color w:val="000000"/>
          <w:kern w:val="0"/>
          <w:sz w:val="24"/>
          <w:szCs w:val="24"/>
        </w:rPr>
      </w:pPr>
    </w:p>
    <w:p w:rsidR="004A2D24" w:rsidRDefault="00850437">
      <w:pPr>
        <w:widowControl/>
        <w:shd w:val="clear" w:color="auto" w:fill="FFFFFF"/>
        <w:adjustRightInd w:val="0"/>
        <w:snapToGrid w:val="0"/>
        <w:spacing w:line="360" w:lineRule="auto"/>
        <w:ind w:firstLineChars="200" w:firstLine="480"/>
        <w:jc w:val="right"/>
        <w:rPr>
          <w:rFonts w:ascii="宋体" w:hAnsi="宋体" w:cs="Arial"/>
          <w:color w:val="000000"/>
          <w:kern w:val="0"/>
          <w:sz w:val="24"/>
          <w:szCs w:val="24"/>
        </w:rPr>
      </w:pPr>
      <w:r>
        <w:rPr>
          <w:rFonts w:ascii="宋体" w:hAnsi="宋体" w:cs="Arial"/>
          <w:color w:val="000000"/>
          <w:kern w:val="0"/>
          <w:sz w:val="24"/>
          <w:szCs w:val="24"/>
        </w:rPr>
        <w:t>前海开源基金管理有限公司</w:t>
      </w:r>
    </w:p>
    <w:p w:rsidR="004A2D24" w:rsidRDefault="00850437">
      <w:pPr>
        <w:widowControl/>
        <w:shd w:val="clear" w:color="auto" w:fill="FFFFFF"/>
        <w:adjustRightInd w:val="0"/>
        <w:snapToGrid w:val="0"/>
        <w:spacing w:line="360" w:lineRule="auto"/>
        <w:ind w:firstLineChars="200" w:firstLine="480"/>
        <w:jc w:val="right"/>
        <w:rPr>
          <w:color w:val="FF0000"/>
        </w:rPr>
      </w:pPr>
      <w:r>
        <w:rPr>
          <w:rFonts w:ascii="宋体" w:hAnsi="宋体" w:cs="Arial"/>
          <w:color w:val="000000"/>
          <w:kern w:val="0"/>
          <w:sz w:val="24"/>
          <w:szCs w:val="24"/>
        </w:rPr>
        <w:t>202</w:t>
      </w:r>
      <w:r>
        <w:rPr>
          <w:rFonts w:ascii="宋体" w:hAnsi="宋体" w:cs="Arial" w:hint="eastAsia"/>
          <w:color w:val="000000"/>
          <w:kern w:val="0"/>
          <w:sz w:val="24"/>
          <w:szCs w:val="24"/>
        </w:rPr>
        <w:t>6</w:t>
      </w:r>
      <w:r>
        <w:rPr>
          <w:rFonts w:ascii="宋体" w:hAnsi="宋体" w:cs="Arial"/>
          <w:color w:val="000000"/>
          <w:kern w:val="0"/>
          <w:sz w:val="24"/>
          <w:szCs w:val="24"/>
        </w:rPr>
        <w:t>年</w:t>
      </w:r>
      <w:r>
        <w:rPr>
          <w:rFonts w:ascii="宋体" w:hAnsi="宋体" w:cs="Arial" w:hint="eastAsia"/>
          <w:color w:val="000000"/>
          <w:kern w:val="0"/>
          <w:sz w:val="24"/>
          <w:szCs w:val="24"/>
        </w:rPr>
        <w:t>2</w:t>
      </w:r>
      <w:r>
        <w:rPr>
          <w:rFonts w:ascii="宋体" w:hAnsi="宋体" w:cs="Arial"/>
          <w:color w:val="000000"/>
          <w:kern w:val="0"/>
          <w:sz w:val="24"/>
          <w:szCs w:val="24"/>
        </w:rPr>
        <w:t>月</w:t>
      </w:r>
      <w:r>
        <w:rPr>
          <w:rFonts w:ascii="宋体" w:hAnsi="宋体" w:cs="Arial" w:hint="eastAsia"/>
          <w:color w:val="000000"/>
          <w:kern w:val="0"/>
          <w:sz w:val="24"/>
          <w:szCs w:val="24"/>
        </w:rPr>
        <w:t>10</w:t>
      </w:r>
      <w:r>
        <w:rPr>
          <w:rFonts w:ascii="宋体" w:hAnsi="宋体" w:cs="Arial"/>
          <w:color w:val="000000"/>
          <w:kern w:val="0"/>
          <w:sz w:val="24"/>
          <w:szCs w:val="24"/>
        </w:rPr>
        <w:t>日</w:t>
      </w:r>
    </w:p>
    <w:sectPr w:rsidR="004A2D24" w:rsidSect="0099013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437" w:rsidRDefault="00850437">
      <w:r>
        <w:separator/>
      </w:r>
    </w:p>
  </w:endnote>
  <w:endnote w:type="continuationSeparator" w:id="0">
    <w:p w:rsidR="00850437" w:rsidRDefault="00850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437" w:rsidRDefault="00850437">
      <w:r>
        <w:separator/>
      </w:r>
    </w:p>
  </w:footnote>
  <w:footnote w:type="continuationSeparator" w:id="0">
    <w:p w:rsidR="00850437" w:rsidRDefault="00850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24" w:rsidRDefault="00850437">
    <w:pPr>
      <w:pStyle w:val="a6"/>
      <w:jc w:val="left"/>
    </w:pPr>
    <w:r>
      <w:rPr>
        <w:noProof/>
      </w:rPr>
      <w:drawing>
        <wp:inline distT="0" distB="0" distL="0" distR="0">
          <wp:extent cx="1129030" cy="278130"/>
          <wp:effectExtent l="0" t="0" r="0"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29030" cy="278130"/>
                  </a:xfrm>
                  <a:prstGeom prst="rect">
                    <a:avLst/>
                  </a:prstGeom>
                  <a:noFill/>
                  <a:ln>
                    <a:noFill/>
                  </a:ln>
                </pic:spPr>
              </pic:pic>
            </a:graphicData>
          </a:graphic>
        </wp:inline>
      </w:drawing>
    </w:r>
    <w:r>
      <w:rPr>
        <w:rFonts w:hint="eastAsia"/>
      </w:rPr>
      <w:tab/>
    </w:r>
    <w:r>
      <w:rPr>
        <w:rFonts w:hint="eastAsia"/>
      </w:rPr>
      <w:tab/>
    </w:r>
    <w:r>
      <w:rPr>
        <w:rFonts w:hint="eastAsia"/>
      </w:rPr>
      <w:t>临时公告</w:t>
    </w:r>
  </w:p>
  <w:p w:rsidR="004A2D24" w:rsidRDefault="004A2D2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RiZmVmMzFjYzU4NTNkNmYxNWI3NDdmMGI1MmIxMmEifQ=="/>
  </w:docVars>
  <w:rsids>
    <w:rsidRoot w:val="00D934B3"/>
    <w:rsid w:val="00002698"/>
    <w:rsid w:val="00022584"/>
    <w:rsid w:val="00044F7B"/>
    <w:rsid w:val="00052A23"/>
    <w:rsid w:val="000539B9"/>
    <w:rsid w:val="00054FD3"/>
    <w:rsid w:val="00060C4F"/>
    <w:rsid w:val="00061ED4"/>
    <w:rsid w:val="000641E8"/>
    <w:rsid w:val="00064A4A"/>
    <w:rsid w:val="00066B51"/>
    <w:rsid w:val="000709A2"/>
    <w:rsid w:val="0007546E"/>
    <w:rsid w:val="00076CB4"/>
    <w:rsid w:val="000865AE"/>
    <w:rsid w:val="00094A1B"/>
    <w:rsid w:val="000C0F62"/>
    <w:rsid w:val="000C3565"/>
    <w:rsid w:val="000D052F"/>
    <w:rsid w:val="000D7634"/>
    <w:rsid w:val="000E3C6B"/>
    <w:rsid w:val="000F6002"/>
    <w:rsid w:val="0010344B"/>
    <w:rsid w:val="0010386A"/>
    <w:rsid w:val="00111219"/>
    <w:rsid w:val="0011704F"/>
    <w:rsid w:val="00133541"/>
    <w:rsid w:val="00134461"/>
    <w:rsid w:val="0013797C"/>
    <w:rsid w:val="00145A86"/>
    <w:rsid w:val="001524EF"/>
    <w:rsid w:val="0016423F"/>
    <w:rsid w:val="00164F2D"/>
    <w:rsid w:val="00165B09"/>
    <w:rsid w:val="001724E1"/>
    <w:rsid w:val="0018732B"/>
    <w:rsid w:val="00192CEF"/>
    <w:rsid w:val="00193408"/>
    <w:rsid w:val="00194C79"/>
    <w:rsid w:val="001A3F03"/>
    <w:rsid w:val="001D19F8"/>
    <w:rsid w:val="001E508F"/>
    <w:rsid w:val="001E60F3"/>
    <w:rsid w:val="00220AE5"/>
    <w:rsid w:val="00223811"/>
    <w:rsid w:val="00230F4C"/>
    <w:rsid w:val="0023169F"/>
    <w:rsid w:val="002351B7"/>
    <w:rsid w:val="00244B57"/>
    <w:rsid w:val="00246411"/>
    <w:rsid w:val="002507A7"/>
    <w:rsid w:val="00251B16"/>
    <w:rsid w:val="00252FA3"/>
    <w:rsid w:val="0025317B"/>
    <w:rsid w:val="002631CC"/>
    <w:rsid w:val="00264431"/>
    <w:rsid w:val="002654C8"/>
    <w:rsid w:val="00275BCF"/>
    <w:rsid w:val="00276DA4"/>
    <w:rsid w:val="0027790A"/>
    <w:rsid w:val="00277F66"/>
    <w:rsid w:val="00287A3A"/>
    <w:rsid w:val="00292090"/>
    <w:rsid w:val="002A0758"/>
    <w:rsid w:val="002A2122"/>
    <w:rsid w:val="002A4AB8"/>
    <w:rsid w:val="002A689C"/>
    <w:rsid w:val="002A7C4B"/>
    <w:rsid w:val="002D0661"/>
    <w:rsid w:val="002E44D1"/>
    <w:rsid w:val="002F2F12"/>
    <w:rsid w:val="00315AE9"/>
    <w:rsid w:val="00316026"/>
    <w:rsid w:val="00317AAF"/>
    <w:rsid w:val="00324AA8"/>
    <w:rsid w:val="00331565"/>
    <w:rsid w:val="00332F1A"/>
    <w:rsid w:val="00333522"/>
    <w:rsid w:val="003359E5"/>
    <w:rsid w:val="0034459C"/>
    <w:rsid w:val="0035640E"/>
    <w:rsid w:val="003623A8"/>
    <w:rsid w:val="00364202"/>
    <w:rsid w:val="00370FF9"/>
    <w:rsid w:val="00374625"/>
    <w:rsid w:val="00377EBD"/>
    <w:rsid w:val="00382BE7"/>
    <w:rsid w:val="00391168"/>
    <w:rsid w:val="00394297"/>
    <w:rsid w:val="003973E8"/>
    <w:rsid w:val="003A1DE1"/>
    <w:rsid w:val="003A3E4F"/>
    <w:rsid w:val="003A7615"/>
    <w:rsid w:val="003B6C01"/>
    <w:rsid w:val="003C07C7"/>
    <w:rsid w:val="003C5684"/>
    <w:rsid w:val="003C6164"/>
    <w:rsid w:val="003C6B15"/>
    <w:rsid w:val="003C6CAC"/>
    <w:rsid w:val="003E0C9F"/>
    <w:rsid w:val="003E4F67"/>
    <w:rsid w:val="003E61C3"/>
    <w:rsid w:val="003E643B"/>
    <w:rsid w:val="003F1E78"/>
    <w:rsid w:val="003F3CB7"/>
    <w:rsid w:val="004008CA"/>
    <w:rsid w:val="00400FE1"/>
    <w:rsid w:val="00411C1D"/>
    <w:rsid w:val="00415C1E"/>
    <w:rsid w:val="00417B47"/>
    <w:rsid w:val="0042669A"/>
    <w:rsid w:val="0042703D"/>
    <w:rsid w:val="00437F1E"/>
    <w:rsid w:val="00450E23"/>
    <w:rsid w:val="0045209F"/>
    <w:rsid w:val="00472375"/>
    <w:rsid w:val="00476140"/>
    <w:rsid w:val="00481ADC"/>
    <w:rsid w:val="00481B4F"/>
    <w:rsid w:val="00486B91"/>
    <w:rsid w:val="0048736C"/>
    <w:rsid w:val="00495BA6"/>
    <w:rsid w:val="00495E06"/>
    <w:rsid w:val="004A0555"/>
    <w:rsid w:val="004A2D24"/>
    <w:rsid w:val="004A5152"/>
    <w:rsid w:val="004B185A"/>
    <w:rsid w:val="004B5811"/>
    <w:rsid w:val="004B65CB"/>
    <w:rsid w:val="004C5705"/>
    <w:rsid w:val="004D60B4"/>
    <w:rsid w:val="004E1667"/>
    <w:rsid w:val="004F1566"/>
    <w:rsid w:val="00510964"/>
    <w:rsid w:val="00514512"/>
    <w:rsid w:val="00534E48"/>
    <w:rsid w:val="005405A9"/>
    <w:rsid w:val="00546F39"/>
    <w:rsid w:val="00556031"/>
    <w:rsid w:val="00561A24"/>
    <w:rsid w:val="005623FC"/>
    <w:rsid w:val="00563288"/>
    <w:rsid w:val="0057602C"/>
    <w:rsid w:val="005766B6"/>
    <w:rsid w:val="0058162C"/>
    <w:rsid w:val="0058355D"/>
    <w:rsid w:val="00583B13"/>
    <w:rsid w:val="00590F6B"/>
    <w:rsid w:val="00594DC3"/>
    <w:rsid w:val="0059581A"/>
    <w:rsid w:val="00596990"/>
    <w:rsid w:val="005A2EAF"/>
    <w:rsid w:val="005A45B3"/>
    <w:rsid w:val="005A5B42"/>
    <w:rsid w:val="005B3735"/>
    <w:rsid w:val="005D703A"/>
    <w:rsid w:val="005E6727"/>
    <w:rsid w:val="005F0A1F"/>
    <w:rsid w:val="005F6D69"/>
    <w:rsid w:val="005F6E56"/>
    <w:rsid w:val="00602E55"/>
    <w:rsid w:val="00611081"/>
    <w:rsid w:val="00613F45"/>
    <w:rsid w:val="00632D12"/>
    <w:rsid w:val="00633137"/>
    <w:rsid w:val="00634868"/>
    <w:rsid w:val="00642546"/>
    <w:rsid w:val="00642777"/>
    <w:rsid w:val="00653AC9"/>
    <w:rsid w:val="00655CBA"/>
    <w:rsid w:val="00661079"/>
    <w:rsid w:val="006642FC"/>
    <w:rsid w:val="00673C1B"/>
    <w:rsid w:val="00673F4A"/>
    <w:rsid w:val="006768EF"/>
    <w:rsid w:val="0067712A"/>
    <w:rsid w:val="0068271D"/>
    <w:rsid w:val="00686A5B"/>
    <w:rsid w:val="00686EC9"/>
    <w:rsid w:val="006942D8"/>
    <w:rsid w:val="006A112B"/>
    <w:rsid w:val="006A58C4"/>
    <w:rsid w:val="006B17C8"/>
    <w:rsid w:val="006B5AB5"/>
    <w:rsid w:val="006B782F"/>
    <w:rsid w:val="006B7D76"/>
    <w:rsid w:val="006C0D45"/>
    <w:rsid w:val="006C3340"/>
    <w:rsid w:val="006C3DC5"/>
    <w:rsid w:val="006C6C3B"/>
    <w:rsid w:val="006C7121"/>
    <w:rsid w:val="006D5682"/>
    <w:rsid w:val="006D771F"/>
    <w:rsid w:val="006E00F9"/>
    <w:rsid w:val="006E1994"/>
    <w:rsid w:val="006E340B"/>
    <w:rsid w:val="006F3AD5"/>
    <w:rsid w:val="00700DC4"/>
    <w:rsid w:val="00713F26"/>
    <w:rsid w:val="00715251"/>
    <w:rsid w:val="00725D1D"/>
    <w:rsid w:val="00725D59"/>
    <w:rsid w:val="00731185"/>
    <w:rsid w:val="00732AFC"/>
    <w:rsid w:val="00734075"/>
    <w:rsid w:val="00734C29"/>
    <w:rsid w:val="00735F1E"/>
    <w:rsid w:val="00736252"/>
    <w:rsid w:val="0074395D"/>
    <w:rsid w:val="00743987"/>
    <w:rsid w:val="0075461B"/>
    <w:rsid w:val="007604AF"/>
    <w:rsid w:val="007634EF"/>
    <w:rsid w:val="00763A7B"/>
    <w:rsid w:val="00782A1C"/>
    <w:rsid w:val="00782DF4"/>
    <w:rsid w:val="00783DF8"/>
    <w:rsid w:val="007A03B7"/>
    <w:rsid w:val="007A53B4"/>
    <w:rsid w:val="007A5BAB"/>
    <w:rsid w:val="007B7714"/>
    <w:rsid w:val="007D0D95"/>
    <w:rsid w:val="007E42E4"/>
    <w:rsid w:val="007E4357"/>
    <w:rsid w:val="007E5E75"/>
    <w:rsid w:val="00800130"/>
    <w:rsid w:val="00802CD7"/>
    <w:rsid w:val="008058B2"/>
    <w:rsid w:val="008059F6"/>
    <w:rsid w:val="00813BCB"/>
    <w:rsid w:val="008164FD"/>
    <w:rsid w:val="00835FBF"/>
    <w:rsid w:val="00843FAC"/>
    <w:rsid w:val="008448A8"/>
    <w:rsid w:val="00850437"/>
    <w:rsid w:val="00853D84"/>
    <w:rsid w:val="0085488E"/>
    <w:rsid w:val="00864A5B"/>
    <w:rsid w:val="008677FD"/>
    <w:rsid w:val="00872AEE"/>
    <w:rsid w:val="008747AC"/>
    <w:rsid w:val="00881592"/>
    <w:rsid w:val="00885D35"/>
    <w:rsid w:val="00886478"/>
    <w:rsid w:val="00894FF6"/>
    <w:rsid w:val="00896E04"/>
    <w:rsid w:val="008A42AA"/>
    <w:rsid w:val="008A5539"/>
    <w:rsid w:val="008B7A92"/>
    <w:rsid w:val="008B7AAC"/>
    <w:rsid w:val="008C0A1F"/>
    <w:rsid w:val="008C50E4"/>
    <w:rsid w:val="008C736A"/>
    <w:rsid w:val="008D08DC"/>
    <w:rsid w:val="008D48DC"/>
    <w:rsid w:val="008E2115"/>
    <w:rsid w:val="008E5164"/>
    <w:rsid w:val="008F2B6D"/>
    <w:rsid w:val="008F619D"/>
    <w:rsid w:val="008F6C7D"/>
    <w:rsid w:val="008F6F2E"/>
    <w:rsid w:val="00900648"/>
    <w:rsid w:val="00905C70"/>
    <w:rsid w:val="00907F19"/>
    <w:rsid w:val="00913012"/>
    <w:rsid w:val="0091779F"/>
    <w:rsid w:val="00923D64"/>
    <w:rsid w:val="009417D4"/>
    <w:rsid w:val="00947A68"/>
    <w:rsid w:val="00964DE5"/>
    <w:rsid w:val="00966456"/>
    <w:rsid w:val="00970BC8"/>
    <w:rsid w:val="00980236"/>
    <w:rsid w:val="0098596F"/>
    <w:rsid w:val="00990134"/>
    <w:rsid w:val="00990D58"/>
    <w:rsid w:val="0099744D"/>
    <w:rsid w:val="009A1C2A"/>
    <w:rsid w:val="009B0C50"/>
    <w:rsid w:val="009B1E7A"/>
    <w:rsid w:val="009B32A9"/>
    <w:rsid w:val="009C17EC"/>
    <w:rsid w:val="009C614A"/>
    <w:rsid w:val="009D2854"/>
    <w:rsid w:val="009D4CF3"/>
    <w:rsid w:val="009D7041"/>
    <w:rsid w:val="009E2862"/>
    <w:rsid w:val="009E40F3"/>
    <w:rsid w:val="009F4195"/>
    <w:rsid w:val="00A05C9D"/>
    <w:rsid w:val="00A05F48"/>
    <w:rsid w:val="00A15244"/>
    <w:rsid w:val="00A229FB"/>
    <w:rsid w:val="00A2591A"/>
    <w:rsid w:val="00A30ADD"/>
    <w:rsid w:val="00A32256"/>
    <w:rsid w:val="00A337A9"/>
    <w:rsid w:val="00A33A50"/>
    <w:rsid w:val="00A35000"/>
    <w:rsid w:val="00A375AA"/>
    <w:rsid w:val="00A40C14"/>
    <w:rsid w:val="00A40D20"/>
    <w:rsid w:val="00A44C24"/>
    <w:rsid w:val="00A47686"/>
    <w:rsid w:val="00A5268D"/>
    <w:rsid w:val="00A54D88"/>
    <w:rsid w:val="00A625F9"/>
    <w:rsid w:val="00A6429A"/>
    <w:rsid w:val="00A713B3"/>
    <w:rsid w:val="00A718C2"/>
    <w:rsid w:val="00A7435E"/>
    <w:rsid w:val="00A838AA"/>
    <w:rsid w:val="00A85258"/>
    <w:rsid w:val="00A90BFC"/>
    <w:rsid w:val="00A97198"/>
    <w:rsid w:val="00A97E8E"/>
    <w:rsid w:val="00AA0810"/>
    <w:rsid w:val="00AA16C7"/>
    <w:rsid w:val="00AA30D0"/>
    <w:rsid w:val="00AA570C"/>
    <w:rsid w:val="00AA69BD"/>
    <w:rsid w:val="00AA79CF"/>
    <w:rsid w:val="00AB76B4"/>
    <w:rsid w:val="00AC156B"/>
    <w:rsid w:val="00AD542E"/>
    <w:rsid w:val="00AE49C7"/>
    <w:rsid w:val="00AE711A"/>
    <w:rsid w:val="00AF4FBA"/>
    <w:rsid w:val="00B06B60"/>
    <w:rsid w:val="00B1348E"/>
    <w:rsid w:val="00B22243"/>
    <w:rsid w:val="00B23D5B"/>
    <w:rsid w:val="00B25CB2"/>
    <w:rsid w:val="00B42CF7"/>
    <w:rsid w:val="00B5208C"/>
    <w:rsid w:val="00B52B67"/>
    <w:rsid w:val="00B65D19"/>
    <w:rsid w:val="00B71624"/>
    <w:rsid w:val="00B738DD"/>
    <w:rsid w:val="00B81897"/>
    <w:rsid w:val="00B82604"/>
    <w:rsid w:val="00B83136"/>
    <w:rsid w:val="00B90161"/>
    <w:rsid w:val="00B90609"/>
    <w:rsid w:val="00B92782"/>
    <w:rsid w:val="00B97ABE"/>
    <w:rsid w:val="00BA0C0A"/>
    <w:rsid w:val="00BA4E3E"/>
    <w:rsid w:val="00BA5F5B"/>
    <w:rsid w:val="00BB1288"/>
    <w:rsid w:val="00BB287E"/>
    <w:rsid w:val="00BC1132"/>
    <w:rsid w:val="00BC39F3"/>
    <w:rsid w:val="00BD5248"/>
    <w:rsid w:val="00BE05F5"/>
    <w:rsid w:val="00BE0E90"/>
    <w:rsid w:val="00BE66E9"/>
    <w:rsid w:val="00BE7C68"/>
    <w:rsid w:val="00BF5482"/>
    <w:rsid w:val="00BF7702"/>
    <w:rsid w:val="00C025A7"/>
    <w:rsid w:val="00C052D3"/>
    <w:rsid w:val="00C12883"/>
    <w:rsid w:val="00C227BF"/>
    <w:rsid w:val="00C24838"/>
    <w:rsid w:val="00C32923"/>
    <w:rsid w:val="00C378D0"/>
    <w:rsid w:val="00C50F93"/>
    <w:rsid w:val="00C573F5"/>
    <w:rsid w:val="00C66731"/>
    <w:rsid w:val="00C7148E"/>
    <w:rsid w:val="00C74AC7"/>
    <w:rsid w:val="00C77D88"/>
    <w:rsid w:val="00C81D4E"/>
    <w:rsid w:val="00C86CBA"/>
    <w:rsid w:val="00C87070"/>
    <w:rsid w:val="00CA1DDD"/>
    <w:rsid w:val="00CA66D8"/>
    <w:rsid w:val="00CA762E"/>
    <w:rsid w:val="00CB3BC8"/>
    <w:rsid w:val="00CC03CF"/>
    <w:rsid w:val="00CC738F"/>
    <w:rsid w:val="00CD59FC"/>
    <w:rsid w:val="00CE08B1"/>
    <w:rsid w:val="00CE13EA"/>
    <w:rsid w:val="00CE3BEA"/>
    <w:rsid w:val="00CF6A30"/>
    <w:rsid w:val="00D04615"/>
    <w:rsid w:val="00D12686"/>
    <w:rsid w:val="00D13312"/>
    <w:rsid w:val="00D16BB1"/>
    <w:rsid w:val="00D16DF3"/>
    <w:rsid w:val="00D20EE5"/>
    <w:rsid w:val="00D22912"/>
    <w:rsid w:val="00D27127"/>
    <w:rsid w:val="00D35109"/>
    <w:rsid w:val="00D37251"/>
    <w:rsid w:val="00D3777B"/>
    <w:rsid w:val="00D41492"/>
    <w:rsid w:val="00D41900"/>
    <w:rsid w:val="00D41D86"/>
    <w:rsid w:val="00D445E3"/>
    <w:rsid w:val="00D47FC4"/>
    <w:rsid w:val="00D5610B"/>
    <w:rsid w:val="00D65A1E"/>
    <w:rsid w:val="00D66112"/>
    <w:rsid w:val="00D72850"/>
    <w:rsid w:val="00D72B0E"/>
    <w:rsid w:val="00D7489D"/>
    <w:rsid w:val="00D74B5E"/>
    <w:rsid w:val="00D934B3"/>
    <w:rsid w:val="00DB09E6"/>
    <w:rsid w:val="00DB2986"/>
    <w:rsid w:val="00DB399F"/>
    <w:rsid w:val="00DB558F"/>
    <w:rsid w:val="00DB7254"/>
    <w:rsid w:val="00DC2B13"/>
    <w:rsid w:val="00DD3AB3"/>
    <w:rsid w:val="00DD5705"/>
    <w:rsid w:val="00DE2BF2"/>
    <w:rsid w:val="00DE6B99"/>
    <w:rsid w:val="00DF2143"/>
    <w:rsid w:val="00DF48FA"/>
    <w:rsid w:val="00E061F2"/>
    <w:rsid w:val="00E14F4A"/>
    <w:rsid w:val="00E22214"/>
    <w:rsid w:val="00E23AC4"/>
    <w:rsid w:val="00E242D6"/>
    <w:rsid w:val="00E2727F"/>
    <w:rsid w:val="00E32857"/>
    <w:rsid w:val="00E37E87"/>
    <w:rsid w:val="00E41286"/>
    <w:rsid w:val="00E46108"/>
    <w:rsid w:val="00E477E6"/>
    <w:rsid w:val="00E5745E"/>
    <w:rsid w:val="00E62DD7"/>
    <w:rsid w:val="00E6625E"/>
    <w:rsid w:val="00E6688A"/>
    <w:rsid w:val="00E70629"/>
    <w:rsid w:val="00E739EE"/>
    <w:rsid w:val="00E74F00"/>
    <w:rsid w:val="00E755BE"/>
    <w:rsid w:val="00E857FC"/>
    <w:rsid w:val="00E87068"/>
    <w:rsid w:val="00E941D7"/>
    <w:rsid w:val="00EA5AC5"/>
    <w:rsid w:val="00EB7957"/>
    <w:rsid w:val="00EC1D60"/>
    <w:rsid w:val="00EC50FF"/>
    <w:rsid w:val="00EC6506"/>
    <w:rsid w:val="00EE0C05"/>
    <w:rsid w:val="00EE6288"/>
    <w:rsid w:val="00EF3B08"/>
    <w:rsid w:val="00F01D0B"/>
    <w:rsid w:val="00F056E0"/>
    <w:rsid w:val="00F1335E"/>
    <w:rsid w:val="00F15AED"/>
    <w:rsid w:val="00F15E6D"/>
    <w:rsid w:val="00F16D58"/>
    <w:rsid w:val="00F176E8"/>
    <w:rsid w:val="00F17E42"/>
    <w:rsid w:val="00F20554"/>
    <w:rsid w:val="00F23429"/>
    <w:rsid w:val="00F26CC7"/>
    <w:rsid w:val="00F30D08"/>
    <w:rsid w:val="00F3349F"/>
    <w:rsid w:val="00F356D9"/>
    <w:rsid w:val="00F40494"/>
    <w:rsid w:val="00F4108E"/>
    <w:rsid w:val="00F415D5"/>
    <w:rsid w:val="00F41FCE"/>
    <w:rsid w:val="00F44155"/>
    <w:rsid w:val="00F519EF"/>
    <w:rsid w:val="00F57090"/>
    <w:rsid w:val="00F61419"/>
    <w:rsid w:val="00F66659"/>
    <w:rsid w:val="00F70345"/>
    <w:rsid w:val="00F81557"/>
    <w:rsid w:val="00F83C33"/>
    <w:rsid w:val="00FB2C5E"/>
    <w:rsid w:val="00FB55C5"/>
    <w:rsid w:val="00FC244C"/>
    <w:rsid w:val="00FD160D"/>
    <w:rsid w:val="00FD245D"/>
    <w:rsid w:val="00FD3787"/>
    <w:rsid w:val="00FF0A80"/>
    <w:rsid w:val="00FF787E"/>
    <w:rsid w:val="0119388B"/>
    <w:rsid w:val="0D295F98"/>
    <w:rsid w:val="12614426"/>
    <w:rsid w:val="16133D64"/>
    <w:rsid w:val="1BD66E7B"/>
    <w:rsid w:val="27FE7DCC"/>
    <w:rsid w:val="345B262C"/>
    <w:rsid w:val="65864107"/>
    <w:rsid w:val="6D197966"/>
    <w:rsid w:val="76EB70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134"/>
    <w:pPr>
      <w:widowControl w:val="0"/>
      <w:jc w:val="both"/>
    </w:pPr>
    <w:rPr>
      <w:rFonts w:ascii="Calibri" w:hAnsi="Calibri"/>
      <w:kern w:val="2"/>
      <w:sz w:val="21"/>
      <w:szCs w:val="22"/>
    </w:rPr>
  </w:style>
  <w:style w:type="paragraph" w:styleId="2">
    <w:name w:val="heading 2"/>
    <w:basedOn w:val="a"/>
    <w:next w:val="a"/>
    <w:link w:val="2Char"/>
    <w:uiPriority w:val="9"/>
    <w:qFormat/>
    <w:rsid w:val="00990134"/>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90134"/>
    <w:pPr>
      <w:jc w:val="left"/>
    </w:pPr>
  </w:style>
  <w:style w:type="paragraph" w:styleId="a4">
    <w:name w:val="Balloon Text"/>
    <w:basedOn w:val="a"/>
    <w:link w:val="Char0"/>
    <w:uiPriority w:val="99"/>
    <w:semiHidden/>
    <w:unhideWhenUsed/>
    <w:qFormat/>
    <w:rsid w:val="00990134"/>
    <w:rPr>
      <w:sz w:val="18"/>
      <w:szCs w:val="18"/>
    </w:rPr>
  </w:style>
  <w:style w:type="paragraph" w:styleId="a5">
    <w:name w:val="footer"/>
    <w:basedOn w:val="a"/>
    <w:link w:val="Char1"/>
    <w:uiPriority w:val="99"/>
    <w:unhideWhenUsed/>
    <w:qFormat/>
    <w:rsid w:val="0099013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9013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990134"/>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sid w:val="00990134"/>
    <w:rPr>
      <w:b/>
      <w:bCs/>
    </w:rPr>
  </w:style>
  <w:style w:type="table" w:styleId="a9">
    <w:name w:val="Table Grid"/>
    <w:basedOn w:val="a1"/>
    <w:uiPriority w:val="59"/>
    <w:qFormat/>
    <w:rsid w:val="00990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sid w:val="00990134"/>
    <w:rPr>
      <w:color w:val="0000FF"/>
      <w:u w:val="single"/>
    </w:rPr>
  </w:style>
  <w:style w:type="character" w:styleId="ab">
    <w:name w:val="annotation reference"/>
    <w:uiPriority w:val="99"/>
    <w:semiHidden/>
    <w:unhideWhenUsed/>
    <w:qFormat/>
    <w:rsid w:val="00990134"/>
    <w:rPr>
      <w:sz w:val="21"/>
      <w:szCs w:val="21"/>
    </w:rPr>
  </w:style>
  <w:style w:type="character" w:customStyle="1" w:styleId="Char2">
    <w:name w:val="页眉 Char"/>
    <w:link w:val="a6"/>
    <w:uiPriority w:val="99"/>
    <w:qFormat/>
    <w:rsid w:val="00990134"/>
    <w:rPr>
      <w:rFonts w:ascii="Calibri" w:eastAsia="宋体" w:hAnsi="Calibri" w:cs="Times New Roman"/>
      <w:sz w:val="18"/>
      <w:szCs w:val="18"/>
    </w:rPr>
  </w:style>
  <w:style w:type="character" w:customStyle="1" w:styleId="Char0">
    <w:name w:val="批注框文本 Char"/>
    <w:link w:val="a4"/>
    <w:uiPriority w:val="99"/>
    <w:semiHidden/>
    <w:qFormat/>
    <w:rsid w:val="00990134"/>
    <w:rPr>
      <w:sz w:val="18"/>
      <w:szCs w:val="18"/>
    </w:rPr>
  </w:style>
  <w:style w:type="character" w:customStyle="1" w:styleId="Char1">
    <w:name w:val="页脚 Char"/>
    <w:link w:val="a5"/>
    <w:uiPriority w:val="99"/>
    <w:qFormat/>
    <w:rsid w:val="00990134"/>
    <w:rPr>
      <w:kern w:val="2"/>
      <w:sz w:val="18"/>
      <w:szCs w:val="18"/>
    </w:rPr>
  </w:style>
  <w:style w:type="character" w:customStyle="1" w:styleId="Char">
    <w:name w:val="批注文字 Char"/>
    <w:link w:val="a3"/>
    <w:uiPriority w:val="99"/>
    <w:semiHidden/>
    <w:qFormat/>
    <w:rsid w:val="00990134"/>
    <w:rPr>
      <w:kern w:val="2"/>
      <w:sz w:val="21"/>
      <w:szCs w:val="22"/>
    </w:rPr>
  </w:style>
  <w:style w:type="character" w:customStyle="1" w:styleId="Char3">
    <w:name w:val="批注主题 Char"/>
    <w:link w:val="a8"/>
    <w:uiPriority w:val="99"/>
    <w:semiHidden/>
    <w:qFormat/>
    <w:rsid w:val="00990134"/>
    <w:rPr>
      <w:b/>
      <w:bCs/>
      <w:kern w:val="2"/>
      <w:sz w:val="21"/>
      <w:szCs w:val="22"/>
    </w:rPr>
  </w:style>
  <w:style w:type="character" w:customStyle="1" w:styleId="2Char">
    <w:name w:val="标题 2 Char"/>
    <w:link w:val="2"/>
    <w:uiPriority w:val="9"/>
    <w:qFormat/>
    <w:rsid w:val="00990134"/>
    <w:rPr>
      <w:rFonts w:ascii="宋体" w:hAnsi="宋体" w:cs="宋体"/>
      <w:b/>
      <w:bCs/>
      <w:sz w:val="36"/>
      <w:szCs w:val="36"/>
    </w:rPr>
  </w:style>
  <w:style w:type="paragraph" w:styleId="ac">
    <w:name w:val="List Paragraph"/>
    <w:basedOn w:val="a"/>
    <w:uiPriority w:val="34"/>
    <w:qFormat/>
    <w:rsid w:val="00990134"/>
    <w:pPr>
      <w:ind w:firstLineChars="200" w:firstLine="420"/>
    </w:pPr>
  </w:style>
  <w:style w:type="paragraph" w:customStyle="1" w:styleId="1">
    <w:name w:val="修订1"/>
    <w:hidden/>
    <w:uiPriority w:val="99"/>
    <w:semiHidden/>
    <w:qFormat/>
    <w:rsid w:val="00990134"/>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2FD3816-522D-4695-BE0D-7C47B3B4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7073</Characters>
  <Application>Microsoft Office Word</Application>
  <DocSecurity>4</DocSecurity>
  <Lines>58</Lines>
  <Paragraphs>16</Paragraphs>
  <ScaleCrop>false</ScaleCrop>
  <Company>Lenovo</Company>
  <LinksUpToDate>false</LinksUpToDate>
  <CharactersWithSpaces>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唐研然</dc:creator>
  <cp:lastModifiedBy>ZHONGM</cp:lastModifiedBy>
  <cp:revision>2</cp:revision>
  <dcterms:created xsi:type="dcterms:W3CDTF">2026-02-09T16:02:00Z</dcterms:created>
  <dcterms:modified xsi:type="dcterms:W3CDTF">2026-02-09T16:02:00Z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D05C7B1B84B845CFA7CD39D8A430A2DA_13</vt:lpwstr>
  </property>
  <property fmtid="{D5CDD505-2E9C-101B-9397-08002B2CF9AE}" pid="4" name="KSOTemplateDocerSaveRecord">
    <vt:lpwstr>eyJoZGlkIjoiN2UzNTdkMGVlYjZkYTFkNGNjZTcyMTIzMzc5MWVlYTMiLCJ1c2VySWQiOiI2NDg2NTcyNjEifQ==</vt:lpwstr>
  </property>
</Properties>
</file>