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B9" w:rsidRDefault="00464F49">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易方达中证港股通高股息投资交易型开放式指数证券投资基金分红公告</w:t>
      </w:r>
    </w:p>
    <w:p w:rsidR="008E67B9" w:rsidRDefault="00464F49">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asciiTheme="minorEastAsia" w:eastAsiaTheme="minorEastAsia" w:hAnsiTheme="minorEastAsia"/>
          <w:b/>
          <w:color w:val="000000"/>
          <w:sz w:val="24"/>
          <w:szCs w:val="24"/>
        </w:rPr>
        <w:t>2026</w:t>
      </w:r>
      <w:r>
        <w:rPr>
          <w:rFonts w:asciiTheme="minorEastAsia" w:eastAsiaTheme="minorEastAsia" w:hAnsiTheme="minorEastAsia"/>
          <w:b/>
          <w:color w:val="000000"/>
          <w:sz w:val="24"/>
          <w:szCs w:val="24"/>
        </w:rPr>
        <w:t>年</w:t>
      </w:r>
      <w:r>
        <w:rPr>
          <w:rFonts w:asciiTheme="minorEastAsia" w:eastAsiaTheme="minorEastAsia" w:hAnsiTheme="minorEastAsia"/>
          <w:b/>
          <w:color w:val="000000"/>
          <w:sz w:val="24"/>
          <w:szCs w:val="24"/>
        </w:rPr>
        <w:t>2</w:t>
      </w:r>
      <w:r>
        <w:rPr>
          <w:rFonts w:asciiTheme="minorEastAsia" w:eastAsiaTheme="minorEastAsia" w:hAnsiTheme="minorEastAsia"/>
          <w:b/>
          <w:color w:val="000000"/>
          <w:sz w:val="24"/>
          <w:szCs w:val="24"/>
        </w:rPr>
        <w:t>月</w:t>
      </w:r>
      <w:r>
        <w:rPr>
          <w:rFonts w:asciiTheme="minorEastAsia" w:eastAsiaTheme="minorEastAsia" w:hAnsiTheme="minorEastAsia"/>
          <w:b/>
          <w:color w:val="000000"/>
          <w:sz w:val="24"/>
          <w:szCs w:val="24"/>
        </w:rPr>
        <w:t>10</w:t>
      </w:r>
      <w:r>
        <w:rPr>
          <w:rFonts w:asciiTheme="minorEastAsia" w:eastAsiaTheme="minorEastAsia" w:hAnsiTheme="minorEastAsia"/>
          <w:b/>
          <w:color w:val="000000"/>
          <w:sz w:val="24"/>
          <w:szCs w:val="24"/>
        </w:rPr>
        <w:t>日</w:t>
      </w:r>
    </w:p>
    <w:p w:rsidR="008E67B9" w:rsidRDefault="008E67B9">
      <w:pPr>
        <w:spacing w:line="360" w:lineRule="auto"/>
        <w:jc w:val="center"/>
        <w:rPr>
          <w:color w:val="000000"/>
          <w:sz w:val="24"/>
        </w:rPr>
      </w:pPr>
    </w:p>
    <w:p w:rsidR="008E67B9" w:rsidRDefault="00464F49">
      <w:pPr>
        <w:pStyle w:val="3"/>
        <w:keepNext w:val="0"/>
        <w:keepLines w:val="0"/>
        <w:spacing w:before="0" w:after="0" w:line="360" w:lineRule="auto"/>
        <w:rPr>
          <w:rFonts w:ascii="宋体" w:hAnsi="宋体"/>
          <w:bCs w:val="0"/>
          <w:sz w:val="24"/>
          <w:szCs w:val="24"/>
        </w:rPr>
      </w:pPr>
      <w:bookmarkStart w:id="0" w:name="_Toc275961418"/>
      <w:r>
        <w:rPr>
          <w:rFonts w:ascii="宋体" w:hAnsi="宋体" w:hint="eastAsia"/>
          <w:bCs w:val="0"/>
          <w:sz w:val="24"/>
          <w:szCs w:val="24"/>
        </w:rPr>
        <w:t>1.</w:t>
      </w:r>
      <w:r>
        <w:rPr>
          <w:rFonts w:ascii="宋体" w:hAnsi="宋体"/>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1"/>
        <w:gridCol w:w="3685"/>
        <w:gridCol w:w="4420"/>
      </w:tblGrid>
      <w:tr w:rsidR="006F0F7B">
        <w:trPr>
          <w:jc w:val="center"/>
        </w:trPr>
        <w:tc>
          <w:tcPr>
            <w:tcW w:w="5186" w:type="dxa"/>
            <w:gridSpan w:val="2"/>
          </w:tcPr>
          <w:p w:rsidR="008E67B9" w:rsidRDefault="00464F49">
            <w:pPr>
              <w:rPr>
                <w:rFonts w:eastAsia="宋体"/>
                <w:sz w:val="24"/>
                <w:szCs w:val="24"/>
              </w:rPr>
            </w:pPr>
            <w:r>
              <w:rPr>
                <w:rFonts w:eastAsia="宋体"/>
                <w:sz w:val="24"/>
                <w:szCs w:val="24"/>
              </w:rPr>
              <w:t>基金名称</w:t>
            </w:r>
          </w:p>
        </w:tc>
        <w:tc>
          <w:tcPr>
            <w:tcW w:w="4420" w:type="dxa"/>
            <w:vAlign w:val="center"/>
          </w:tcPr>
          <w:p w:rsidR="008E67B9" w:rsidRDefault="00464F49">
            <w:pPr>
              <w:rPr>
                <w:rFonts w:eastAsia="宋体"/>
                <w:sz w:val="24"/>
                <w:szCs w:val="24"/>
              </w:rPr>
            </w:pPr>
            <w:r>
              <w:rPr>
                <w:rFonts w:eastAsia="宋体"/>
                <w:sz w:val="24"/>
                <w:szCs w:val="24"/>
              </w:rPr>
              <w:t>易方达中证港股通高股息投资交易型开放式指数证券投资基金</w:t>
            </w:r>
          </w:p>
        </w:tc>
      </w:tr>
      <w:tr w:rsidR="006F0F7B">
        <w:trPr>
          <w:jc w:val="center"/>
        </w:trPr>
        <w:tc>
          <w:tcPr>
            <w:tcW w:w="5186" w:type="dxa"/>
            <w:gridSpan w:val="2"/>
          </w:tcPr>
          <w:p w:rsidR="008E67B9" w:rsidRDefault="00464F49">
            <w:pPr>
              <w:rPr>
                <w:rFonts w:eastAsia="宋体"/>
                <w:sz w:val="24"/>
                <w:szCs w:val="24"/>
              </w:rPr>
            </w:pPr>
            <w:r>
              <w:rPr>
                <w:rFonts w:eastAsia="宋体"/>
                <w:sz w:val="24"/>
                <w:szCs w:val="24"/>
              </w:rPr>
              <w:t>基金简称</w:t>
            </w:r>
          </w:p>
        </w:tc>
        <w:tc>
          <w:tcPr>
            <w:tcW w:w="4420" w:type="dxa"/>
            <w:vAlign w:val="center"/>
          </w:tcPr>
          <w:p w:rsidR="008E67B9" w:rsidRDefault="00464F49">
            <w:pPr>
              <w:rPr>
                <w:rFonts w:eastAsia="宋体"/>
                <w:sz w:val="24"/>
                <w:szCs w:val="24"/>
              </w:rPr>
            </w:pPr>
            <w:r>
              <w:rPr>
                <w:rFonts w:eastAsia="宋体"/>
                <w:sz w:val="24"/>
                <w:szCs w:val="24"/>
              </w:rPr>
              <w:t>易方达中证港股通高股息投资</w:t>
            </w:r>
            <w:r>
              <w:rPr>
                <w:rFonts w:eastAsia="宋体"/>
                <w:sz w:val="24"/>
                <w:szCs w:val="24"/>
              </w:rPr>
              <w:t>ETF</w:t>
            </w:r>
          </w:p>
        </w:tc>
      </w:tr>
      <w:tr w:rsidR="006F0F7B">
        <w:trPr>
          <w:jc w:val="center"/>
        </w:trPr>
        <w:tc>
          <w:tcPr>
            <w:tcW w:w="5186" w:type="dxa"/>
            <w:gridSpan w:val="2"/>
          </w:tcPr>
          <w:p w:rsidR="008E67B9" w:rsidRDefault="00464F49">
            <w:pPr>
              <w:rPr>
                <w:rFonts w:eastAsia="宋体"/>
                <w:sz w:val="24"/>
                <w:szCs w:val="24"/>
              </w:rPr>
            </w:pPr>
            <w:r>
              <w:rPr>
                <w:rFonts w:eastAsia="宋体"/>
                <w:sz w:val="24"/>
                <w:szCs w:val="24"/>
              </w:rPr>
              <w:t>基金主代码</w:t>
            </w:r>
          </w:p>
        </w:tc>
        <w:tc>
          <w:tcPr>
            <w:tcW w:w="4420" w:type="dxa"/>
            <w:vAlign w:val="center"/>
          </w:tcPr>
          <w:p w:rsidR="008E67B9" w:rsidRDefault="00464F49">
            <w:pPr>
              <w:rPr>
                <w:rFonts w:eastAsia="宋体"/>
                <w:sz w:val="24"/>
                <w:szCs w:val="24"/>
              </w:rPr>
            </w:pPr>
            <w:r>
              <w:rPr>
                <w:rFonts w:eastAsia="宋体"/>
                <w:sz w:val="24"/>
                <w:szCs w:val="24"/>
              </w:rPr>
              <w:t>520810</w:t>
            </w:r>
          </w:p>
        </w:tc>
      </w:tr>
      <w:tr w:rsidR="006F0F7B">
        <w:trPr>
          <w:jc w:val="center"/>
        </w:trPr>
        <w:tc>
          <w:tcPr>
            <w:tcW w:w="5186" w:type="dxa"/>
            <w:gridSpan w:val="2"/>
            <w:vAlign w:val="center"/>
          </w:tcPr>
          <w:p w:rsidR="008E67B9" w:rsidRDefault="00464F49">
            <w:pPr>
              <w:rPr>
                <w:rFonts w:eastAsia="宋体"/>
                <w:sz w:val="24"/>
                <w:szCs w:val="24"/>
              </w:rPr>
            </w:pPr>
            <w:r>
              <w:rPr>
                <w:rFonts w:eastAsia="宋体"/>
                <w:sz w:val="24"/>
                <w:szCs w:val="24"/>
              </w:rPr>
              <w:t>基金合同生效日</w:t>
            </w:r>
          </w:p>
        </w:tc>
        <w:tc>
          <w:tcPr>
            <w:tcW w:w="4420" w:type="dxa"/>
            <w:vAlign w:val="center"/>
          </w:tcPr>
          <w:p w:rsidR="008E67B9" w:rsidRDefault="00464F49">
            <w:pPr>
              <w:rPr>
                <w:rFonts w:eastAsia="宋体"/>
                <w:sz w:val="24"/>
                <w:szCs w:val="24"/>
              </w:rPr>
            </w:pPr>
            <w:r>
              <w:rPr>
                <w:rFonts w:eastAsia="宋体"/>
                <w:sz w:val="24"/>
                <w:szCs w:val="24"/>
              </w:rPr>
              <w:t>2025</w:t>
            </w:r>
            <w:r>
              <w:rPr>
                <w:rFonts w:eastAsia="宋体"/>
                <w:sz w:val="24"/>
                <w:szCs w:val="24"/>
              </w:rPr>
              <w:t>年</w:t>
            </w:r>
            <w:r>
              <w:rPr>
                <w:rFonts w:eastAsia="宋体"/>
                <w:sz w:val="24"/>
                <w:szCs w:val="24"/>
              </w:rPr>
              <w:t>12</w:t>
            </w:r>
            <w:r>
              <w:rPr>
                <w:rFonts w:eastAsia="宋体"/>
                <w:sz w:val="24"/>
                <w:szCs w:val="24"/>
              </w:rPr>
              <w:t>月</w:t>
            </w:r>
            <w:r>
              <w:rPr>
                <w:rFonts w:eastAsia="宋体"/>
                <w:sz w:val="24"/>
                <w:szCs w:val="24"/>
              </w:rPr>
              <w:t>22</w:t>
            </w:r>
            <w:r>
              <w:rPr>
                <w:rFonts w:eastAsia="宋体"/>
                <w:sz w:val="24"/>
                <w:szCs w:val="24"/>
              </w:rPr>
              <w:t>日</w:t>
            </w:r>
          </w:p>
        </w:tc>
      </w:tr>
      <w:tr w:rsidR="006F0F7B">
        <w:trPr>
          <w:jc w:val="center"/>
        </w:trPr>
        <w:tc>
          <w:tcPr>
            <w:tcW w:w="5186" w:type="dxa"/>
            <w:gridSpan w:val="2"/>
          </w:tcPr>
          <w:p w:rsidR="008E67B9" w:rsidRDefault="00464F49">
            <w:pPr>
              <w:rPr>
                <w:rFonts w:eastAsia="宋体"/>
                <w:sz w:val="24"/>
                <w:szCs w:val="24"/>
              </w:rPr>
            </w:pPr>
            <w:r>
              <w:rPr>
                <w:rFonts w:eastAsia="宋体"/>
                <w:sz w:val="24"/>
                <w:szCs w:val="24"/>
              </w:rPr>
              <w:t>基金管理人名称</w:t>
            </w:r>
          </w:p>
        </w:tc>
        <w:tc>
          <w:tcPr>
            <w:tcW w:w="4420" w:type="dxa"/>
            <w:vAlign w:val="center"/>
          </w:tcPr>
          <w:p w:rsidR="008E67B9" w:rsidRDefault="00464F49">
            <w:pPr>
              <w:rPr>
                <w:rFonts w:eastAsia="宋体"/>
                <w:sz w:val="24"/>
                <w:szCs w:val="24"/>
              </w:rPr>
            </w:pPr>
            <w:r>
              <w:rPr>
                <w:rFonts w:eastAsia="宋体"/>
                <w:sz w:val="24"/>
                <w:szCs w:val="24"/>
              </w:rPr>
              <w:t>易方达基金管理有限公司</w:t>
            </w:r>
          </w:p>
        </w:tc>
      </w:tr>
      <w:tr w:rsidR="006F0F7B">
        <w:trPr>
          <w:jc w:val="center"/>
        </w:trPr>
        <w:tc>
          <w:tcPr>
            <w:tcW w:w="5186" w:type="dxa"/>
            <w:gridSpan w:val="2"/>
          </w:tcPr>
          <w:p w:rsidR="008E67B9" w:rsidRDefault="00464F49">
            <w:pPr>
              <w:rPr>
                <w:rFonts w:eastAsia="宋体"/>
                <w:sz w:val="24"/>
                <w:szCs w:val="24"/>
              </w:rPr>
            </w:pPr>
            <w:r>
              <w:rPr>
                <w:rFonts w:eastAsia="宋体"/>
                <w:sz w:val="24"/>
                <w:szCs w:val="24"/>
              </w:rPr>
              <w:t>基金托管人名称</w:t>
            </w:r>
          </w:p>
        </w:tc>
        <w:tc>
          <w:tcPr>
            <w:tcW w:w="4420" w:type="dxa"/>
            <w:vAlign w:val="center"/>
          </w:tcPr>
          <w:p w:rsidR="008E67B9" w:rsidRDefault="00464F49">
            <w:pPr>
              <w:rPr>
                <w:rFonts w:eastAsia="宋体"/>
                <w:sz w:val="24"/>
                <w:szCs w:val="24"/>
              </w:rPr>
            </w:pPr>
            <w:r>
              <w:rPr>
                <w:rFonts w:eastAsia="宋体"/>
                <w:sz w:val="24"/>
                <w:szCs w:val="24"/>
              </w:rPr>
              <w:t>招商银行股份有限公司</w:t>
            </w:r>
          </w:p>
        </w:tc>
      </w:tr>
      <w:tr w:rsidR="006F0F7B">
        <w:trPr>
          <w:jc w:val="center"/>
        </w:trPr>
        <w:tc>
          <w:tcPr>
            <w:tcW w:w="5186" w:type="dxa"/>
            <w:gridSpan w:val="2"/>
          </w:tcPr>
          <w:p w:rsidR="008E67B9" w:rsidRDefault="00464F49">
            <w:pPr>
              <w:rPr>
                <w:rFonts w:eastAsia="宋体"/>
                <w:sz w:val="24"/>
                <w:szCs w:val="24"/>
              </w:rPr>
            </w:pPr>
            <w:r>
              <w:rPr>
                <w:rFonts w:eastAsia="宋体"/>
                <w:sz w:val="24"/>
                <w:szCs w:val="24"/>
              </w:rPr>
              <w:t>公告依据</w:t>
            </w:r>
          </w:p>
        </w:tc>
        <w:tc>
          <w:tcPr>
            <w:tcW w:w="4420" w:type="dxa"/>
            <w:vAlign w:val="center"/>
          </w:tcPr>
          <w:p w:rsidR="008E67B9" w:rsidRDefault="00464F49">
            <w:pPr>
              <w:rPr>
                <w:rFonts w:eastAsia="宋体"/>
                <w:sz w:val="24"/>
                <w:szCs w:val="24"/>
              </w:rPr>
            </w:pPr>
            <w:r>
              <w:rPr>
                <w:rFonts w:eastAsia="宋体"/>
                <w:sz w:val="24"/>
                <w:szCs w:val="24"/>
              </w:rPr>
              <w:t>《公开募集证券投资基金信息披露管理办法》《易方达中证港股通高股息投资交易型开放式指数证券投资基金基金合同》《易方达中证港股通高股息投资交易型开放式指数证券投资基金招募说明书》</w:t>
            </w:r>
          </w:p>
        </w:tc>
      </w:tr>
      <w:tr w:rsidR="006F0F7B">
        <w:trPr>
          <w:jc w:val="center"/>
        </w:trPr>
        <w:tc>
          <w:tcPr>
            <w:tcW w:w="5186" w:type="dxa"/>
            <w:gridSpan w:val="2"/>
          </w:tcPr>
          <w:p w:rsidR="008E67B9" w:rsidRDefault="00464F49">
            <w:pPr>
              <w:rPr>
                <w:rFonts w:eastAsia="宋体"/>
                <w:sz w:val="24"/>
                <w:szCs w:val="24"/>
              </w:rPr>
            </w:pPr>
            <w:r>
              <w:rPr>
                <w:rFonts w:eastAsia="宋体"/>
                <w:sz w:val="24"/>
                <w:szCs w:val="24"/>
              </w:rPr>
              <w:t>收益分配基准日</w:t>
            </w:r>
          </w:p>
        </w:tc>
        <w:tc>
          <w:tcPr>
            <w:tcW w:w="4420" w:type="dxa"/>
          </w:tcPr>
          <w:p w:rsidR="008E67B9" w:rsidRDefault="00464F49">
            <w:pPr>
              <w:rPr>
                <w:rFonts w:eastAsia="宋体"/>
                <w:sz w:val="24"/>
                <w:szCs w:val="24"/>
              </w:rPr>
            </w:pP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30</w:t>
            </w:r>
            <w:r>
              <w:rPr>
                <w:rFonts w:eastAsia="宋体"/>
                <w:sz w:val="24"/>
                <w:szCs w:val="24"/>
              </w:rPr>
              <w:t>日</w:t>
            </w:r>
          </w:p>
        </w:tc>
      </w:tr>
      <w:tr w:rsidR="006F0F7B">
        <w:trPr>
          <w:jc w:val="center"/>
        </w:trPr>
        <w:tc>
          <w:tcPr>
            <w:tcW w:w="1501" w:type="dxa"/>
            <w:vMerge w:val="restart"/>
            <w:vAlign w:val="center"/>
          </w:tcPr>
          <w:p w:rsidR="008E67B9" w:rsidRDefault="00464F49">
            <w:pPr>
              <w:rPr>
                <w:rFonts w:eastAsia="宋体"/>
                <w:sz w:val="24"/>
                <w:szCs w:val="24"/>
              </w:rPr>
            </w:pPr>
            <w:r>
              <w:rPr>
                <w:rFonts w:eastAsia="宋体"/>
                <w:sz w:val="24"/>
                <w:szCs w:val="24"/>
              </w:rPr>
              <w:t>截止收益分配基准日的相关指标</w:t>
            </w:r>
          </w:p>
        </w:tc>
        <w:tc>
          <w:tcPr>
            <w:tcW w:w="3685" w:type="dxa"/>
          </w:tcPr>
          <w:p w:rsidR="008E67B9" w:rsidRDefault="00464F49">
            <w:pPr>
              <w:rPr>
                <w:rFonts w:eastAsia="宋体"/>
                <w:sz w:val="24"/>
                <w:szCs w:val="24"/>
              </w:rPr>
            </w:pPr>
            <w:r>
              <w:rPr>
                <w:rFonts w:eastAsia="宋体"/>
                <w:sz w:val="24"/>
                <w:szCs w:val="24"/>
              </w:rPr>
              <w:t>基准日基金份额净值</w:t>
            </w:r>
            <w:r>
              <w:rPr>
                <w:rFonts w:eastAsia="宋体" w:hint="eastAsia"/>
                <w:sz w:val="24"/>
                <w:szCs w:val="24"/>
              </w:rPr>
              <w:t>（单位：人民币元）</w:t>
            </w:r>
          </w:p>
        </w:tc>
        <w:tc>
          <w:tcPr>
            <w:tcW w:w="4420" w:type="dxa"/>
          </w:tcPr>
          <w:p w:rsidR="008E67B9" w:rsidRDefault="00464F49">
            <w:pPr>
              <w:rPr>
                <w:rFonts w:eastAsia="宋体"/>
                <w:sz w:val="24"/>
                <w:szCs w:val="24"/>
              </w:rPr>
            </w:pPr>
            <w:r>
              <w:rPr>
                <w:rFonts w:eastAsia="宋体"/>
                <w:sz w:val="24"/>
                <w:szCs w:val="24"/>
              </w:rPr>
              <w:t>1.0456</w:t>
            </w:r>
          </w:p>
        </w:tc>
      </w:tr>
      <w:tr w:rsidR="006F0F7B">
        <w:trPr>
          <w:jc w:val="center"/>
        </w:trPr>
        <w:tc>
          <w:tcPr>
            <w:tcW w:w="1501" w:type="dxa"/>
            <w:vMerge/>
          </w:tcPr>
          <w:p w:rsidR="008E67B9" w:rsidRDefault="008E67B9">
            <w:pPr>
              <w:rPr>
                <w:rFonts w:eastAsia="宋体"/>
                <w:sz w:val="24"/>
                <w:szCs w:val="24"/>
              </w:rPr>
            </w:pPr>
          </w:p>
        </w:tc>
        <w:tc>
          <w:tcPr>
            <w:tcW w:w="3685" w:type="dxa"/>
          </w:tcPr>
          <w:p w:rsidR="008E67B9" w:rsidRDefault="00464F49">
            <w:pPr>
              <w:rPr>
                <w:rFonts w:eastAsia="宋体"/>
                <w:sz w:val="24"/>
                <w:szCs w:val="24"/>
              </w:rPr>
            </w:pPr>
            <w:r>
              <w:rPr>
                <w:rFonts w:eastAsia="宋体"/>
                <w:sz w:val="24"/>
                <w:szCs w:val="24"/>
              </w:rPr>
              <w:t>基准日基金可供分配利润</w:t>
            </w:r>
            <w:r>
              <w:rPr>
                <w:rFonts w:eastAsia="宋体" w:hint="eastAsia"/>
                <w:sz w:val="24"/>
                <w:szCs w:val="24"/>
              </w:rPr>
              <w:t>（单位：人民币元）</w:t>
            </w:r>
          </w:p>
        </w:tc>
        <w:tc>
          <w:tcPr>
            <w:tcW w:w="4420" w:type="dxa"/>
          </w:tcPr>
          <w:p w:rsidR="008E67B9" w:rsidRDefault="00464F49">
            <w:pPr>
              <w:rPr>
                <w:rFonts w:eastAsia="宋体"/>
                <w:sz w:val="24"/>
                <w:szCs w:val="24"/>
              </w:rPr>
            </w:pPr>
            <w:r>
              <w:rPr>
                <w:rFonts w:eastAsia="宋体"/>
                <w:sz w:val="24"/>
                <w:szCs w:val="24"/>
              </w:rPr>
              <w:t>1,160,852.05</w:t>
            </w:r>
          </w:p>
        </w:tc>
      </w:tr>
      <w:tr w:rsidR="006F0F7B">
        <w:trPr>
          <w:jc w:val="center"/>
        </w:trPr>
        <w:tc>
          <w:tcPr>
            <w:tcW w:w="1501" w:type="dxa"/>
            <w:vMerge/>
          </w:tcPr>
          <w:p w:rsidR="008E67B9" w:rsidRDefault="008E67B9">
            <w:pPr>
              <w:rPr>
                <w:rFonts w:eastAsia="宋体"/>
                <w:sz w:val="24"/>
                <w:szCs w:val="24"/>
              </w:rPr>
            </w:pPr>
          </w:p>
        </w:tc>
        <w:tc>
          <w:tcPr>
            <w:tcW w:w="3685" w:type="dxa"/>
          </w:tcPr>
          <w:p w:rsidR="008E67B9" w:rsidRDefault="00464F49">
            <w:pPr>
              <w:rPr>
                <w:rFonts w:eastAsia="宋体"/>
                <w:sz w:val="24"/>
                <w:szCs w:val="24"/>
              </w:rPr>
            </w:pPr>
            <w:r>
              <w:rPr>
                <w:rFonts w:eastAsia="宋体"/>
                <w:sz w:val="24"/>
                <w:szCs w:val="24"/>
              </w:rPr>
              <w:t>截止基准日按照基金合同约定的分红比例计算的应分配金额</w:t>
            </w:r>
            <w:r>
              <w:rPr>
                <w:rFonts w:eastAsia="宋体" w:hint="eastAsia"/>
                <w:sz w:val="24"/>
                <w:szCs w:val="24"/>
              </w:rPr>
              <w:t>（单位：人民币元）</w:t>
            </w:r>
          </w:p>
        </w:tc>
        <w:tc>
          <w:tcPr>
            <w:tcW w:w="4420" w:type="dxa"/>
          </w:tcPr>
          <w:p w:rsidR="008E67B9" w:rsidRDefault="00464F49">
            <w:pPr>
              <w:rPr>
                <w:rFonts w:eastAsia="宋体"/>
                <w:sz w:val="24"/>
                <w:szCs w:val="24"/>
              </w:rPr>
            </w:pPr>
            <w:r>
              <w:rPr>
                <w:rFonts w:eastAsia="宋体"/>
                <w:sz w:val="24"/>
                <w:szCs w:val="24"/>
              </w:rPr>
              <w:t>-</w:t>
            </w:r>
          </w:p>
        </w:tc>
      </w:tr>
      <w:tr w:rsidR="006F0F7B">
        <w:trPr>
          <w:jc w:val="center"/>
        </w:trPr>
        <w:tc>
          <w:tcPr>
            <w:tcW w:w="5186" w:type="dxa"/>
            <w:gridSpan w:val="2"/>
          </w:tcPr>
          <w:p w:rsidR="008E67B9" w:rsidRDefault="00464F49">
            <w:pPr>
              <w:rPr>
                <w:rFonts w:eastAsia="宋体"/>
                <w:sz w:val="24"/>
                <w:szCs w:val="24"/>
              </w:rPr>
            </w:pPr>
            <w:r>
              <w:rPr>
                <w:rFonts w:eastAsia="宋体"/>
                <w:sz w:val="24"/>
                <w:szCs w:val="24"/>
              </w:rPr>
              <w:t>本次分红方案（单位：</w:t>
            </w:r>
            <w:r>
              <w:rPr>
                <w:rFonts w:eastAsia="宋体" w:hint="eastAsia"/>
                <w:sz w:val="24"/>
                <w:szCs w:val="24"/>
              </w:rPr>
              <w:t>人民币</w:t>
            </w:r>
            <w:r>
              <w:rPr>
                <w:rFonts w:eastAsia="宋体"/>
                <w:sz w:val="24"/>
                <w:szCs w:val="24"/>
              </w:rPr>
              <w:t>元</w:t>
            </w:r>
            <w:r>
              <w:rPr>
                <w:rFonts w:eastAsia="宋体"/>
                <w:sz w:val="24"/>
                <w:szCs w:val="24"/>
              </w:rPr>
              <w:t>/10</w:t>
            </w:r>
            <w:r>
              <w:rPr>
                <w:rFonts w:eastAsia="宋体"/>
                <w:sz w:val="24"/>
                <w:szCs w:val="24"/>
              </w:rPr>
              <w:t>份基金份额）</w:t>
            </w:r>
          </w:p>
        </w:tc>
        <w:tc>
          <w:tcPr>
            <w:tcW w:w="4420" w:type="dxa"/>
          </w:tcPr>
          <w:p w:rsidR="008E67B9" w:rsidRDefault="00464F49">
            <w:pPr>
              <w:rPr>
                <w:rFonts w:eastAsia="宋体"/>
                <w:sz w:val="24"/>
                <w:szCs w:val="24"/>
              </w:rPr>
            </w:pPr>
            <w:r>
              <w:rPr>
                <w:rFonts w:eastAsia="宋体"/>
                <w:sz w:val="24"/>
                <w:szCs w:val="24"/>
              </w:rPr>
              <w:t>0.020</w:t>
            </w:r>
          </w:p>
        </w:tc>
      </w:tr>
      <w:tr w:rsidR="006F0F7B">
        <w:trPr>
          <w:jc w:val="center"/>
        </w:trPr>
        <w:tc>
          <w:tcPr>
            <w:tcW w:w="5186" w:type="dxa"/>
            <w:gridSpan w:val="2"/>
            <w:vAlign w:val="center"/>
          </w:tcPr>
          <w:p w:rsidR="008E67B9" w:rsidRDefault="00464F49">
            <w:pPr>
              <w:rPr>
                <w:rFonts w:eastAsia="宋体"/>
                <w:sz w:val="24"/>
                <w:szCs w:val="24"/>
              </w:rPr>
            </w:pPr>
            <w:r>
              <w:rPr>
                <w:rFonts w:eastAsia="宋体"/>
                <w:sz w:val="24"/>
                <w:szCs w:val="24"/>
              </w:rPr>
              <w:t>有关年度分红次数的说明</w:t>
            </w:r>
          </w:p>
        </w:tc>
        <w:tc>
          <w:tcPr>
            <w:tcW w:w="4420" w:type="dxa"/>
            <w:vAlign w:val="center"/>
          </w:tcPr>
          <w:p w:rsidR="008E67B9" w:rsidRDefault="00464F49">
            <w:pPr>
              <w:rPr>
                <w:rFonts w:eastAsia="宋体"/>
                <w:sz w:val="24"/>
                <w:szCs w:val="24"/>
              </w:rPr>
            </w:pPr>
            <w:r>
              <w:rPr>
                <w:rFonts w:eastAsia="宋体"/>
                <w:sz w:val="24"/>
                <w:szCs w:val="24"/>
              </w:rPr>
              <w:t>本次分红为</w:t>
            </w:r>
            <w:r>
              <w:rPr>
                <w:rFonts w:eastAsia="宋体"/>
                <w:sz w:val="24"/>
                <w:szCs w:val="24"/>
              </w:rPr>
              <w:t>2026</w:t>
            </w:r>
            <w:r>
              <w:rPr>
                <w:rFonts w:eastAsia="宋体"/>
                <w:sz w:val="24"/>
                <w:szCs w:val="24"/>
              </w:rPr>
              <w:t>年度的第</w:t>
            </w:r>
            <w:r>
              <w:rPr>
                <w:rFonts w:eastAsia="宋体"/>
                <w:sz w:val="24"/>
                <w:szCs w:val="24"/>
              </w:rPr>
              <w:t>1</w:t>
            </w:r>
            <w:r>
              <w:rPr>
                <w:rFonts w:eastAsia="宋体"/>
                <w:sz w:val="24"/>
                <w:szCs w:val="24"/>
              </w:rPr>
              <w:t>次分红</w:t>
            </w:r>
          </w:p>
        </w:tc>
      </w:tr>
    </w:tbl>
    <w:p w:rsidR="008E67B9" w:rsidRDefault="00464F4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注：本基金场内简称为</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港高股息</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，扩位证券简称为</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港股通红利</w:t>
      </w:r>
      <w:r>
        <w:rPr>
          <w:rFonts w:asciiTheme="minorEastAsia" w:eastAsiaTheme="minorEastAsia" w:hAnsiTheme="minorEastAsia"/>
          <w:color w:val="000000"/>
          <w:sz w:val="24"/>
          <w:szCs w:val="24"/>
        </w:rPr>
        <w:t>ETF</w:t>
      </w:r>
      <w:r>
        <w:rPr>
          <w:rFonts w:asciiTheme="minorEastAsia" w:eastAsiaTheme="minorEastAsia" w:hAnsiTheme="minorEastAsia"/>
          <w:color w:val="000000"/>
          <w:sz w:val="24"/>
          <w:szCs w:val="24"/>
        </w:rPr>
        <w:t>易方达</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w:t>
      </w:r>
    </w:p>
    <w:p w:rsidR="008E67B9" w:rsidRDefault="008E67B9">
      <w:pPr>
        <w:spacing w:line="360" w:lineRule="auto"/>
        <w:rPr>
          <w:rFonts w:asciiTheme="minorEastAsia" w:eastAsiaTheme="minorEastAsia" w:hAnsiTheme="minorEastAsia"/>
          <w:sz w:val="24"/>
          <w:szCs w:val="24"/>
        </w:rPr>
      </w:pPr>
    </w:p>
    <w:p w:rsidR="008E67B9" w:rsidRDefault="00464F49">
      <w:pPr>
        <w:pStyle w:val="3"/>
        <w:keepNext w:val="0"/>
        <w:keepLines w:val="0"/>
        <w:spacing w:before="0" w:after="0" w:line="360" w:lineRule="auto"/>
        <w:rPr>
          <w:rFonts w:ascii="宋体" w:hAnsi="宋体"/>
          <w:bCs w:val="0"/>
          <w:sz w:val="24"/>
          <w:szCs w:val="24"/>
        </w:rPr>
      </w:pPr>
      <w:bookmarkStart w:id="1" w:name="_Toc275961419"/>
      <w:r>
        <w:rPr>
          <w:rFonts w:ascii="宋体" w:hAnsi="宋体"/>
          <w:bCs w:val="0"/>
          <w:sz w:val="24"/>
          <w:szCs w:val="24"/>
        </w:rPr>
        <w:t>2</w:t>
      </w:r>
      <w:r>
        <w:rPr>
          <w:rFonts w:ascii="宋体" w:hAnsi="宋体" w:hint="eastAsia"/>
          <w:bCs w:val="0"/>
          <w:sz w:val="24"/>
          <w:szCs w:val="24"/>
        </w:rPr>
        <w:t>.</w:t>
      </w:r>
      <w:r>
        <w:rPr>
          <w:rFonts w:ascii="宋体" w:hAnsi="宋体"/>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1"/>
        <w:gridCol w:w="6119"/>
      </w:tblGrid>
      <w:tr w:rsidR="006F0F7B">
        <w:trPr>
          <w:jc w:val="center"/>
        </w:trPr>
        <w:tc>
          <w:tcPr>
            <w:tcW w:w="3201" w:type="dxa"/>
          </w:tcPr>
          <w:p w:rsidR="008E67B9" w:rsidRDefault="00464F49">
            <w:pPr>
              <w:rPr>
                <w:rFonts w:eastAsia="宋体"/>
                <w:sz w:val="24"/>
                <w:szCs w:val="24"/>
              </w:rPr>
            </w:pPr>
            <w:r>
              <w:rPr>
                <w:rFonts w:eastAsia="宋体"/>
                <w:sz w:val="24"/>
                <w:szCs w:val="24"/>
              </w:rPr>
              <w:t>权益登记日</w:t>
            </w:r>
          </w:p>
        </w:tc>
        <w:tc>
          <w:tcPr>
            <w:tcW w:w="6119" w:type="dxa"/>
          </w:tcPr>
          <w:p w:rsidR="008E67B9" w:rsidRDefault="00464F49">
            <w:pPr>
              <w:rPr>
                <w:rFonts w:eastAsia="宋体"/>
                <w:sz w:val="24"/>
                <w:szCs w:val="24"/>
              </w:rPr>
            </w:pPr>
            <w:r>
              <w:rPr>
                <w:rFonts w:eastAsia="宋体"/>
                <w:sz w:val="24"/>
                <w:szCs w:val="24"/>
              </w:rPr>
              <w:t>2026</w:t>
            </w:r>
            <w:r>
              <w:rPr>
                <w:rFonts w:eastAsia="宋体"/>
                <w:sz w:val="24"/>
                <w:szCs w:val="24"/>
              </w:rPr>
              <w:t>年</w:t>
            </w:r>
            <w:r>
              <w:rPr>
                <w:rFonts w:eastAsia="宋体"/>
                <w:sz w:val="24"/>
                <w:szCs w:val="24"/>
              </w:rPr>
              <w:t>2</w:t>
            </w:r>
            <w:r>
              <w:rPr>
                <w:rFonts w:eastAsia="宋体"/>
                <w:sz w:val="24"/>
                <w:szCs w:val="24"/>
              </w:rPr>
              <w:t>月</w:t>
            </w:r>
            <w:r>
              <w:rPr>
                <w:rFonts w:eastAsia="宋体"/>
                <w:sz w:val="24"/>
                <w:szCs w:val="24"/>
              </w:rPr>
              <w:t>11</w:t>
            </w:r>
            <w:r>
              <w:rPr>
                <w:rFonts w:eastAsia="宋体"/>
                <w:sz w:val="24"/>
                <w:szCs w:val="24"/>
              </w:rPr>
              <w:t>日</w:t>
            </w:r>
          </w:p>
        </w:tc>
      </w:tr>
      <w:tr w:rsidR="006F0F7B">
        <w:trPr>
          <w:jc w:val="center"/>
        </w:trPr>
        <w:tc>
          <w:tcPr>
            <w:tcW w:w="3201" w:type="dxa"/>
          </w:tcPr>
          <w:p w:rsidR="008E67B9" w:rsidRDefault="00464F49">
            <w:pPr>
              <w:rPr>
                <w:rFonts w:eastAsia="宋体"/>
                <w:sz w:val="24"/>
                <w:szCs w:val="24"/>
              </w:rPr>
            </w:pPr>
            <w:r>
              <w:rPr>
                <w:rFonts w:eastAsia="宋体"/>
                <w:sz w:val="24"/>
                <w:szCs w:val="24"/>
              </w:rPr>
              <w:t>除息日</w:t>
            </w:r>
          </w:p>
        </w:tc>
        <w:tc>
          <w:tcPr>
            <w:tcW w:w="6119" w:type="dxa"/>
          </w:tcPr>
          <w:p w:rsidR="008E67B9" w:rsidRDefault="00464F49">
            <w:pPr>
              <w:rPr>
                <w:rFonts w:eastAsia="宋体"/>
                <w:sz w:val="24"/>
                <w:szCs w:val="24"/>
              </w:rPr>
            </w:pPr>
            <w:r>
              <w:rPr>
                <w:rFonts w:eastAsia="宋体"/>
                <w:sz w:val="24"/>
                <w:szCs w:val="24"/>
              </w:rPr>
              <w:t>2026</w:t>
            </w:r>
            <w:r>
              <w:rPr>
                <w:rFonts w:eastAsia="宋体"/>
                <w:sz w:val="24"/>
                <w:szCs w:val="24"/>
              </w:rPr>
              <w:t>年</w:t>
            </w:r>
            <w:r>
              <w:rPr>
                <w:rFonts w:eastAsia="宋体"/>
                <w:sz w:val="24"/>
                <w:szCs w:val="24"/>
              </w:rPr>
              <w:t>2</w:t>
            </w:r>
            <w:r>
              <w:rPr>
                <w:rFonts w:eastAsia="宋体"/>
                <w:sz w:val="24"/>
                <w:szCs w:val="24"/>
              </w:rPr>
              <w:t>月</w:t>
            </w:r>
            <w:r>
              <w:rPr>
                <w:rFonts w:eastAsia="宋体"/>
                <w:sz w:val="24"/>
                <w:szCs w:val="24"/>
              </w:rPr>
              <w:t>12</w:t>
            </w:r>
            <w:r>
              <w:rPr>
                <w:rFonts w:eastAsia="宋体"/>
                <w:sz w:val="24"/>
                <w:szCs w:val="24"/>
              </w:rPr>
              <w:t>日</w:t>
            </w:r>
          </w:p>
        </w:tc>
        <w:bookmarkStart w:id="2" w:name="_GoBack"/>
        <w:bookmarkEnd w:id="2"/>
      </w:tr>
      <w:tr w:rsidR="006F0F7B">
        <w:trPr>
          <w:jc w:val="center"/>
        </w:trPr>
        <w:tc>
          <w:tcPr>
            <w:tcW w:w="3201" w:type="dxa"/>
          </w:tcPr>
          <w:p w:rsidR="008E67B9" w:rsidRDefault="00464F49">
            <w:pPr>
              <w:rPr>
                <w:rFonts w:eastAsia="宋体"/>
                <w:sz w:val="24"/>
                <w:szCs w:val="24"/>
              </w:rPr>
            </w:pPr>
            <w:r>
              <w:rPr>
                <w:rFonts w:eastAsia="宋体"/>
                <w:sz w:val="24"/>
                <w:szCs w:val="24"/>
              </w:rPr>
              <w:t>现金红利发放日</w:t>
            </w:r>
          </w:p>
        </w:tc>
        <w:tc>
          <w:tcPr>
            <w:tcW w:w="6119" w:type="dxa"/>
          </w:tcPr>
          <w:p w:rsidR="008E67B9" w:rsidRDefault="00464F49">
            <w:pPr>
              <w:rPr>
                <w:rFonts w:eastAsia="宋体"/>
                <w:sz w:val="24"/>
                <w:szCs w:val="24"/>
              </w:rPr>
            </w:pPr>
            <w:r>
              <w:rPr>
                <w:rFonts w:eastAsia="宋体"/>
                <w:sz w:val="24"/>
                <w:szCs w:val="24"/>
              </w:rPr>
              <w:t>2026</w:t>
            </w:r>
            <w:r>
              <w:rPr>
                <w:rFonts w:eastAsia="宋体"/>
                <w:sz w:val="24"/>
                <w:szCs w:val="24"/>
              </w:rPr>
              <w:t>年</w:t>
            </w:r>
            <w:r>
              <w:rPr>
                <w:rFonts w:eastAsia="宋体"/>
                <w:sz w:val="24"/>
                <w:szCs w:val="24"/>
              </w:rPr>
              <w:t>2</w:t>
            </w:r>
            <w:r>
              <w:rPr>
                <w:rFonts w:eastAsia="宋体"/>
                <w:sz w:val="24"/>
                <w:szCs w:val="24"/>
              </w:rPr>
              <w:t>月</w:t>
            </w:r>
            <w:r>
              <w:rPr>
                <w:rFonts w:eastAsia="宋体"/>
                <w:sz w:val="24"/>
                <w:szCs w:val="24"/>
              </w:rPr>
              <w:t>25</w:t>
            </w:r>
            <w:r>
              <w:rPr>
                <w:rFonts w:eastAsia="宋体"/>
                <w:sz w:val="24"/>
                <w:szCs w:val="24"/>
              </w:rPr>
              <w:t>日</w:t>
            </w:r>
          </w:p>
        </w:tc>
      </w:tr>
      <w:tr w:rsidR="006F0F7B">
        <w:trPr>
          <w:jc w:val="center"/>
        </w:trPr>
        <w:tc>
          <w:tcPr>
            <w:tcW w:w="3201" w:type="dxa"/>
          </w:tcPr>
          <w:p w:rsidR="008E67B9" w:rsidRDefault="00464F49">
            <w:pPr>
              <w:rPr>
                <w:rFonts w:eastAsia="宋体"/>
                <w:sz w:val="24"/>
                <w:szCs w:val="24"/>
              </w:rPr>
            </w:pPr>
            <w:r>
              <w:rPr>
                <w:rFonts w:eastAsia="宋体"/>
                <w:sz w:val="24"/>
                <w:szCs w:val="24"/>
              </w:rPr>
              <w:t>分红对象</w:t>
            </w:r>
          </w:p>
        </w:tc>
        <w:tc>
          <w:tcPr>
            <w:tcW w:w="6119" w:type="dxa"/>
            <w:shd w:val="clear" w:color="auto" w:fill="auto"/>
          </w:tcPr>
          <w:p w:rsidR="008E67B9" w:rsidRDefault="00464F49">
            <w:pPr>
              <w:rPr>
                <w:rFonts w:eastAsia="宋体"/>
                <w:sz w:val="24"/>
                <w:szCs w:val="24"/>
              </w:rPr>
            </w:pPr>
            <w:r>
              <w:rPr>
                <w:rFonts w:eastAsia="宋体"/>
                <w:sz w:val="24"/>
                <w:szCs w:val="24"/>
              </w:rPr>
              <w:t>权益登记日下午上海证券交易所交易结束后，登记在册的本基金全体持有人。</w:t>
            </w:r>
          </w:p>
        </w:tc>
      </w:tr>
      <w:tr w:rsidR="006F0F7B">
        <w:trPr>
          <w:jc w:val="center"/>
        </w:trPr>
        <w:tc>
          <w:tcPr>
            <w:tcW w:w="3201" w:type="dxa"/>
            <w:shd w:val="clear" w:color="auto" w:fill="auto"/>
            <w:vAlign w:val="center"/>
          </w:tcPr>
          <w:p w:rsidR="008E67B9" w:rsidRDefault="00464F49">
            <w:pPr>
              <w:rPr>
                <w:rFonts w:eastAsia="宋体"/>
                <w:sz w:val="24"/>
                <w:szCs w:val="24"/>
              </w:rPr>
            </w:pPr>
            <w:r>
              <w:rPr>
                <w:rFonts w:eastAsia="宋体"/>
                <w:sz w:val="24"/>
                <w:szCs w:val="24"/>
              </w:rPr>
              <w:t>红利再投资相关事项的说明</w:t>
            </w:r>
          </w:p>
        </w:tc>
        <w:tc>
          <w:tcPr>
            <w:tcW w:w="6119" w:type="dxa"/>
            <w:shd w:val="clear" w:color="auto" w:fill="auto"/>
          </w:tcPr>
          <w:p w:rsidR="008E67B9" w:rsidRDefault="00464F49">
            <w:pPr>
              <w:rPr>
                <w:rFonts w:eastAsia="宋体"/>
                <w:sz w:val="24"/>
                <w:szCs w:val="24"/>
              </w:rPr>
            </w:pPr>
            <w:r>
              <w:rPr>
                <w:rFonts w:eastAsia="宋体"/>
                <w:sz w:val="24"/>
                <w:szCs w:val="24"/>
              </w:rPr>
              <w:t>本基金收益分配方式采用现金分红。</w:t>
            </w:r>
          </w:p>
        </w:tc>
      </w:tr>
      <w:tr w:rsidR="006F0F7B">
        <w:trPr>
          <w:jc w:val="center"/>
        </w:trPr>
        <w:tc>
          <w:tcPr>
            <w:tcW w:w="3201" w:type="dxa"/>
          </w:tcPr>
          <w:p w:rsidR="008E67B9" w:rsidRDefault="00464F49">
            <w:pPr>
              <w:rPr>
                <w:rFonts w:eastAsia="宋体"/>
                <w:sz w:val="24"/>
                <w:szCs w:val="24"/>
              </w:rPr>
            </w:pPr>
            <w:r>
              <w:rPr>
                <w:rFonts w:eastAsia="宋体"/>
                <w:sz w:val="24"/>
                <w:szCs w:val="24"/>
              </w:rPr>
              <w:t>税收相关事项的说明</w:t>
            </w:r>
          </w:p>
        </w:tc>
        <w:tc>
          <w:tcPr>
            <w:tcW w:w="6119" w:type="dxa"/>
            <w:shd w:val="clear" w:color="auto" w:fill="auto"/>
          </w:tcPr>
          <w:p w:rsidR="008E67B9" w:rsidRDefault="00464F49">
            <w:pPr>
              <w:rPr>
                <w:rFonts w:eastAsia="宋体"/>
                <w:sz w:val="24"/>
                <w:szCs w:val="24"/>
              </w:rPr>
            </w:pPr>
            <w:r>
              <w:rPr>
                <w:rFonts w:eastAsia="宋体"/>
                <w:sz w:val="24"/>
                <w:szCs w:val="24"/>
              </w:rPr>
              <w:t>根据相关法律法规规定，基金向投资者分配的基金收益，</w:t>
            </w:r>
            <w:r>
              <w:rPr>
                <w:rFonts w:eastAsia="宋体"/>
                <w:sz w:val="24"/>
                <w:szCs w:val="24"/>
              </w:rPr>
              <w:lastRenderedPageBreak/>
              <w:t>暂不征收所得税。</w:t>
            </w:r>
          </w:p>
        </w:tc>
      </w:tr>
      <w:tr w:rsidR="006F0F7B">
        <w:trPr>
          <w:jc w:val="center"/>
        </w:trPr>
        <w:tc>
          <w:tcPr>
            <w:tcW w:w="3201" w:type="dxa"/>
          </w:tcPr>
          <w:p w:rsidR="008E67B9" w:rsidRDefault="00464F49">
            <w:pPr>
              <w:rPr>
                <w:rFonts w:eastAsia="宋体"/>
                <w:sz w:val="24"/>
                <w:szCs w:val="24"/>
              </w:rPr>
            </w:pPr>
            <w:r>
              <w:rPr>
                <w:rFonts w:eastAsia="宋体"/>
                <w:sz w:val="24"/>
                <w:szCs w:val="24"/>
              </w:rPr>
              <w:lastRenderedPageBreak/>
              <w:t>费用相关事项的说明</w:t>
            </w:r>
          </w:p>
        </w:tc>
        <w:tc>
          <w:tcPr>
            <w:tcW w:w="6119" w:type="dxa"/>
            <w:shd w:val="clear" w:color="auto" w:fill="auto"/>
          </w:tcPr>
          <w:p w:rsidR="008E67B9" w:rsidRDefault="00464F49">
            <w:pPr>
              <w:rPr>
                <w:rFonts w:eastAsia="宋体"/>
                <w:sz w:val="24"/>
                <w:szCs w:val="24"/>
              </w:rPr>
            </w:pPr>
            <w:r>
              <w:rPr>
                <w:rFonts w:eastAsia="宋体"/>
                <w:sz w:val="24"/>
                <w:szCs w:val="24"/>
              </w:rPr>
              <w:t>本基金本次分红免收分红手续费。</w:t>
            </w:r>
          </w:p>
        </w:tc>
      </w:tr>
    </w:tbl>
    <w:p w:rsidR="008E67B9" w:rsidRDefault="00464F4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注：本次向场内基金份额派发的现金红利于</w:t>
      </w: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13</w:t>
      </w:r>
      <w:r>
        <w:rPr>
          <w:rFonts w:asciiTheme="minorEastAsia" w:eastAsiaTheme="minorEastAsia" w:hAnsiTheme="minorEastAsia"/>
          <w:color w:val="000000"/>
          <w:sz w:val="24"/>
          <w:szCs w:val="24"/>
        </w:rPr>
        <w:t>日自基金托管账户划出，场内基金份额现金红利发放日为</w:t>
      </w: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25</w:t>
      </w:r>
      <w:r>
        <w:rPr>
          <w:rFonts w:asciiTheme="minorEastAsia" w:eastAsiaTheme="minorEastAsia" w:hAnsiTheme="minorEastAsia"/>
          <w:color w:val="000000"/>
          <w:sz w:val="24"/>
          <w:szCs w:val="24"/>
        </w:rPr>
        <w:t>日。</w:t>
      </w:r>
    </w:p>
    <w:p w:rsidR="008E67B9" w:rsidRDefault="008E67B9">
      <w:pPr>
        <w:spacing w:line="360" w:lineRule="auto"/>
        <w:rPr>
          <w:color w:val="000000"/>
          <w:sz w:val="24"/>
          <w:szCs w:val="24"/>
        </w:rPr>
      </w:pPr>
    </w:p>
    <w:p w:rsidR="008E67B9" w:rsidRDefault="00464F49">
      <w:pPr>
        <w:pStyle w:val="3"/>
        <w:keepNext w:val="0"/>
        <w:keepLines w:val="0"/>
        <w:spacing w:before="0" w:after="0" w:line="360" w:lineRule="auto"/>
        <w:rPr>
          <w:rFonts w:ascii="宋体" w:hAnsi="宋体"/>
          <w:bCs w:val="0"/>
          <w:sz w:val="24"/>
          <w:szCs w:val="24"/>
        </w:rPr>
      </w:pPr>
      <w:bookmarkStart w:id="3" w:name="_Toc275961420"/>
      <w:r>
        <w:rPr>
          <w:rFonts w:ascii="宋体" w:hAnsi="宋体"/>
          <w:bCs w:val="0"/>
          <w:sz w:val="24"/>
          <w:szCs w:val="24"/>
        </w:rPr>
        <w:t>3</w:t>
      </w:r>
      <w:r>
        <w:rPr>
          <w:rFonts w:ascii="宋体" w:hAnsi="宋体" w:hint="eastAsia"/>
          <w:bCs w:val="0"/>
          <w:sz w:val="24"/>
          <w:szCs w:val="24"/>
        </w:rPr>
        <w:t>.</w:t>
      </w:r>
      <w:r>
        <w:rPr>
          <w:rFonts w:ascii="宋体" w:hAnsi="宋体"/>
          <w:bCs w:val="0"/>
          <w:sz w:val="24"/>
          <w:szCs w:val="24"/>
        </w:rPr>
        <w:t>其他需要提示的事项</w:t>
      </w:r>
      <w:bookmarkEnd w:id="3"/>
    </w:p>
    <w:p w:rsidR="006F0F7B" w:rsidRDefault="00464F4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未办理指定交易的投资者，其持有的现金红利暂由中国证券登记结算有限责任公司上海分公司保管，不计息。一旦投资者办理指定交易，中国证券登记结算有限责任公司上海分公司结算系统自动将尚未领取的现金红利划付给指定的证券公司。</w:t>
      </w:r>
    </w:p>
    <w:p w:rsidR="006F0F7B" w:rsidRDefault="00464F4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）根据本基金基金合同规定，本次收益分配方式为现金分红。</w:t>
      </w:r>
    </w:p>
    <w:p w:rsidR="006F0F7B" w:rsidRDefault="00464F4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3</w:t>
      </w:r>
      <w:r>
        <w:rPr>
          <w:rFonts w:asciiTheme="minorEastAsia" w:eastAsiaTheme="minorEastAsia" w:hAnsiTheme="minorEastAsia"/>
          <w:color w:val="000000"/>
          <w:sz w:val="24"/>
          <w:szCs w:val="24"/>
        </w:rPr>
        <w:t>）咨询办法</w:t>
      </w:r>
    </w:p>
    <w:p w:rsidR="006F0F7B" w:rsidRDefault="00464F4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①</w:t>
      </w:r>
      <w:r>
        <w:rPr>
          <w:rFonts w:asciiTheme="minorEastAsia" w:eastAsiaTheme="minorEastAsia" w:hAnsiTheme="minorEastAsia"/>
          <w:color w:val="000000"/>
          <w:sz w:val="24"/>
          <w:szCs w:val="24"/>
        </w:rPr>
        <w:t>易方达基金管理有限公司客户服务热线：</w:t>
      </w:r>
      <w:r>
        <w:rPr>
          <w:rFonts w:asciiTheme="minorEastAsia" w:eastAsiaTheme="minorEastAsia" w:hAnsiTheme="minorEastAsia"/>
          <w:color w:val="000000"/>
          <w:sz w:val="24"/>
          <w:szCs w:val="24"/>
        </w:rPr>
        <w:t>40088-18088</w:t>
      </w:r>
      <w:r>
        <w:rPr>
          <w:rFonts w:asciiTheme="minorEastAsia" w:eastAsiaTheme="minorEastAsia" w:hAnsiTheme="minorEastAsia"/>
          <w:color w:val="000000"/>
          <w:sz w:val="24"/>
          <w:szCs w:val="24"/>
        </w:rPr>
        <w:t>。</w:t>
      </w:r>
    </w:p>
    <w:p w:rsidR="006F0F7B" w:rsidRDefault="00464F4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②</w:t>
      </w:r>
      <w:r>
        <w:rPr>
          <w:rFonts w:asciiTheme="minorEastAsia" w:eastAsiaTheme="minorEastAsia" w:hAnsiTheme="minorEastAsia"/>
          <w:color w:val="000000"/>
          <w:sz w:val="24"/>
          <w:szCs w:val="24"/>
        </w:rPr>
        <w:t>易方达基金管理有限公司网站：</w:t>
      </w:r>
      <w:r>
        <w:rPr>
          <w:rFonts w:asciiTheme="minorEastAsia" w:eastAsiaTheme="minorEastAsia" w:hAnsiTheme="minorEastAsia"/>
          <w:color w:val="000000"/>
          <w:sz w:val="24"/>
          <w:szCs w:val="24"/>
        </w:rPr>
        <w:t>www.efunds.com.cn</w:t>
      </w:r>
      <w:r>
        <w:rPr>
          <w:rFonts w:asciiTheme="minorEastAsia" w:eastAsiaTheme="minorEastAsia" w:hAnsiTheme="minorEastAsia"/>
          <w:color w:val="000000"/>
          <w:sz w:val="24"/>
          <w:szCs w:val="24"/>
        </w:rPr>
        <w:t>。</w:t>
      </w:r>
    </w:p>
    <w:p w:rsidR="008E67B9" w:rsidRDefault="00464F4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特此公告。</w:t>
      </w:r>
    </w:p>
    <w:p w:rsidR="008E67B9" w:rsidRDefault="008E67B9">
      <w:pPr>
        <w:spacing w:line="360" w:lineRule="auto"/>
        <w:ind w:firstLineChars="200" w:firstLine="480"/>
        <w:rPr>
          <w:rFonts w:asciiTheme="minorEastAsia" w:eastAsiaTheme="minorEastAsia" w:hAnsiTheme="minorEastAsia"/>
          <w:color w:val="000000"/>
          <w:sz w:val="24"/>
          <w:szCs w:val="24"/>
        </w:rPr>
      </w:pPr>
    </w:p>
    <w:p w:rsidR="008E67B9" w:rsidRDefault="008E67B9">
      <w:pPr>
        <w:spacing w:line="360" w:lineRule="auto"/>
        <w:ind w:firstLineChars="200" w:firstLine="480"/>
        <w:rPr>
          <w:rFonts w:asciiTheme="minorEastAsia" w:eastAsiaTheme="minorEastAsia" w:hAnsiTheme="minorEastAsia"/>
          <w:color w:val="000000"/>
          <w:sz w:val="24"/>
          <w:szCs w:val="24"/>
        </w:rPr>
      </w:pPr>
    </w:p>
    <w:p w:rsidR="008E67B9" w:rsidRDefault="008E67B9">
      <w:pPr>
        <w:spacing w:line="360" w:lineRule="auto"/>
        <w:ind w:firstLineChars="200" w:firstLine="480"/>
        <w:jc w:val="right"/>
        <w:rPr>
          <w:rFonts w:asciiTheme="minorEastAsia" w:eastAsiaTheme="minorEastAsia" w:hAnsiTheme="minorEastAsia"/>
          <w:color w:val="000000"/>
          <w:sz w:val="24"/>
          <w:szCs w:val="24"/>
        </w:rPr>
      </w:pPr>
    </w:p>
    <w:p w:rsidR="008E67B9" w:rsidRDefault="00464F49">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8E67B9" w:rsidRDefault="00464F49">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10</w:t>
      </w:r>
      <w:r>
        <w:rPr>
          <w:rFonts w:asciiTheme="minorEastAsia" w:eastAsiaTheme="minorEastAsia" w:hAnsiTheme="minorEastAsia"/>
          <w:color w:val="000000"/>
          <w:sz w:val="24"/>
          <w:szCs w:val="24"/>
        </w:rPr>
        <w:t>日</w:t>
      </w:r>
    </w:p>
    <w:sectPr w:rsidR="008E67B9" w:rsidSect="006F0F7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JhZTk1MWY4NzMzYjcxOGVmMzMxMmE4MGEzYWZmOTIifQ=="/>
  </w:docVars>
  <w:rsids>
    <w:rsidRoot w:val="00893436"/>
    <w:rsid w:val="00041353"/>
    <w:rsid w:val="00057AC1"/>
    <w:rsid w:val="00085F5C"/>
    <w:rsid w:val="0009778C"/>
    <w:rsid w:val="000A19B2"/>
    <w:rsid w:val="000C39F6"/>
    <w:rsid w:val="00111BD0"/>
    <w:rsid w:val="00135CA1"/>
    <w:rsid w:val="0013659B"/>
    <w:rsid w:val="00226206"/>
    <w:rsid w:val="00242E4D"/>
    <w:rsid w:val="002641B7"/>
    <w:rsid w:val="002744A0"/>
    <w:rsid w:val="0027750E"/>
    <w:rsid w:val="00284B1B"/>
    <w:rsid w:val="002944BE"/>
    <w:rsid w:val="002A63B7"/>
    <w:rsid w:val="002C08C5"/>
    <w:rsid w:val="002C343A"/>
    <w:rsid w:val="003160F8"/>
    <w:rsid w:val="0034251E"/>
    <w:rsid w:val="00362297"/>
    <w:rsid w:val="003623C7"/>
    <w:rsid w:val="00386931"/>
    <w:rsid w:val="0039192C"/>
    <w:rsid w:val="003E51F2"/>
    <w:rsid w:val="00410642"/>
    <w:rsid w:val="004204B7"/>
    <w:rsid w:val="00464F49"/>
    <w:rsid w:val="0048487B"/>
    <w:rsid w:val="00486934"/>
    <w:rsid w:val="004966BA"/>
    <w:rsid w:val="004C285F"/>
    <w:rsid w:val="004D78C8"/>
    <w:rsid w:val="0050533F"/>
    <w:rsid w:val="00506E3A"/>
    <w:rsid w:val="005439EC"/>
    <w:rsid w:val="005715B6"/>
    <w:rsid w:val="005F3BD7"/>
    <w:rsid w:val="005F6B9F"/>
    <w:rsid w:val="00602C3F"/>
    <w:rsid w:val="006239ED"/>
    <w:rsid w:val="00634067"/>
    <w:rsid w:val="006A2E06"/>
    <w:rsid w:val="006E41A5"/>
    <w:rsid w:val="006F0F7B"/>
    <w:rsid w:val="00703E56"/>
    <w:rsid w:val="00721B55"/>
    <w:rsid w:val="0076552C"/>
    <w:rsid w:val="007D01E7"/>
    <w:rsid w:val="007D5CF7"/>
    <w:rsid w:val="007E6094"/>
    <w:rsid w:val="00802A8B"/>
    <w:rsid w:val="00834BAE"/>
    <w:rsid w:val="00893436"/>
    <w:rsid w:val="008B088E"/>
    <w:rsid w:val="008D1F66"/>
    <w:rsid w:val="008D4E10"/>
    <w:rsid w:val="008E67B9"/>
    <w:rsid w:val="009117E2"/>
    <w:rsid w:val="009732A4"/>
    <w:rsid w:val="00987802"/>
    <w:rsid w:val="009A4589"/>
    <w:rsid w:val="009A7BE2"/>
    <w:rsid w:val="00A22189"/>
    <w:rsid w:val="00A27F28"/>
    <w:rsid w:val="00A81C93"/>
    <w:rsid w:val="00AC3CC5"/>
    <w:rsid w:val="00AF21F0"/>
    <w:rsid w:val="00B02ED0"/>
    <w:rsid w:val="00B41D56"/>
    <w:rsid w:val="00B44BBE"/>
    <w:rsid w:val="00B719BE"/>
    <w:rsid w:val="00B71DA2"/>
    <w:rsid w:val="00BA7F58"/>
    <w:rsid w:val="00BC5029"/>
    <w:rsid w:val="00BD7533"/>
    <w:rsid w:val="00BF5698"/>
    <w:rsid w:val="00C31B5B"/>
    <w:rsid w:val="00C33DDD"/>
    <w:rsid w:val="00CB3D18"/>
    <w:rsid w:val="00CC001C"/>
    <w:rsid w:val="00CE6315"/>
    <w:rsid w:val="00CF514E"/>
    <w:rsid w:val="00D12882"/>
    <w:rsid w:val="00D36ADB"/>
    <w:rsid w:val="00D63FBB"/>
    <w:rsid w:val="00D74FFE"/>
    <w:rsid w:val="00DE58B5"/>
    <w:rsid w:val="00E16B6D"/>
    <w:rsid w:val="00E24390"/>
    <w:rsid w:val="00E379B4"/>
    <w:rsid w:val="00EA03BB"/>
    <w:rsid w:val="00EA7913"/>
    <w:rsid w:val="00F0033B"/>
    <w:rsid w:val="00F42CA6"/>
    <w:rsid w:val="00F45E48"/>
    <w:rsid w:val="00F735BB"/>
    <w:rsid w:val="00FE011A"/>
    <w:rsid w:val="154C6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F7B"/>
    <w:pPr>
      <w:widowControl w:val="0"/>
      <w:jc w:val="both"/>
    </w:pPr>
    <w:rPr>
      <w:rFonts w:eastAsia="方正仿宋简体"/>
      <w:kern w:val="2"/>
      <w:sz w:val="32"/>
    </w:rPr>
  </w:style>
  <w:style w:type="paragraph" w:styleId="1">
    <w:name w:val="heading 1"/>
    <w:basedOn w:val="a"/>
    <w:next w:val="a"/>
    <w:link w:val="1Char"/>
    <w:qFormat/>
    <w:rsid w:val="006F0F7B"/>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6F0F7B"/>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6F0F7B"/>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6F0F7B"/>
    <w:rPr>
      <w:rFonts w:ascii="宋体" w:eastAsia="宋体"/>
      <w:sz w:val="18"/>
      <w:szCs w:val="18"/>
    </w:rPr>
  </w:style>
  <w:style w:type="paragraph" w:styleId="a4">
    <w:name w:val="Balloon Text"/>
    <w:basedOn w:val="a"/>
    <w:link w:val="Char0"/>
    <w:uiPriority w:val="99"/>
    <w:semiHidden/>
    <w:unhideWhenUsed/>
    <w:rsid w:val="006F0F7B"/>
    <w:rPr>
      <w:sz w:val="18"/>
      <w:szCs w:val="18"/>
    </w:rPr>
  </w:style>
  <w:style w:type="paragraph" w:styleId="a5">
    <w:name w:val="footer"/>
    <w:basedOn w:val="a"/>
    <w:link w:val="Char1"/>
    <w:uiPriority w:val="99"/>
    <w:unhideWhenUsed/>
    <w:rsid w:val="006F0F7B"/>
    <w:pPr>
      <w:tabs>
        <w:tab w:val="center" w:pos="4153"/>
        <w:tab w:val="right" w:pos="8306"/>
      </w:tabs>
      <w:snapToGrid w:val="0"/>
      <w:jc w:val="left"/>
    </w:pPr>
    <w:rPr>
      <w:sz w:val="18"/>
      <w:szCs w:val="18"/>
    </w:rPr>
  </w:style>
  <w:style w:type="paragraph" w:styleId="a6">
    <w:name w:val="header"/>
    <w:basedOn w:val="a"/>
    <w:link w:val="Char2"/>
    <w:uiPriority w:val="99"/>
    <w:unhideWhenUsed/>
    <w:rsid w:val="006F0F7B"/>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rsid w:val="006F0F7B"/>
    <w:pPr>
      <w:snapToGrid w:val="0"/>
      <w:jc w:val="left"/>
    </w:pPr>
    <w:rPr>
      <w:rFonts w:eastAsia="宋体"/>
      <w:sz w:val="18"/>
    </w:rPr>
  </w:style>
  <w:style w:type="character" w:styleId="a8">
    <w:name w:val="footnote reference"/>
    <w:basedOn w:val="a0"/>
    <w:rsid w:val="006F0F7B"/>
    <w:rPr>
      <w:vertAlign w:val="superscript"/>
    </w:rPr>
  </w:style>
  <w:style w:type="character" w:customStyle="1" w:styleId="1Char">
    <w:name w:val="标题 1 Char"/>
    <w:basedOn w:val="a0"/>
    <w:link w:val="1"/>
    <w:rsid w:val="006F0F7B"/>
    <w:rPr>
      <w:rFonts w:ascii="Times New Roman" w:eastAsia="宋体" w:hAnsi="Times New Roman" w:cs="Times New Roman"/>
      <w:b/>
      <w:bCs/>
      <w:kern w:val="44"/>
      <w:sz w:val="44"/>
      <w:szCs w:val="44"/>
    </w:rPr>
  </w:style>
  <w:style w:type="character" w:customStyle="1" w:styleId="2Char">
    <w:name w:val="标题 2 Char"/>
    <w:basedOn w:val="a0"/>
    <w:link w:val="2"/>
    <w:rsid w:val="006F0F7B"/>
    <w:rPr>
      <w:rFonts w:ascii="Arial" w:eastAsia="黑体" w:hAnsi="Arial" w:cs="Times New Roman"/>
      <w:b/>
      <w:bCs/>
      <w:sz w:val="32"/>
      <w:szCs w:val="32"/>
    </w:rPr>
  </w:style>
  <w:style w:type="character" w:customStyle="1" w:styleId="Char3">
    <w:name w:val="脚注文本 Char"/>
    <w:basedOn w:val="a0"/>
    <w:link w:val="a7"/>
    <w:rsid w:val="006F0F7B"/>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6F0F7B"/>
    <w:rPr>
      <w:rFonts w:ascii="宋体" w:eastAsia="宋体" w:hAnsi="Times New Roman" w:cs="Times New Roman"/>
      <w:sz w:val="18"/>
      <w:szCs w:val="18"/>
    </w:rPr>
  </w:style>
  <w:style w:type="character" w:customStyle="1" w:styleId="Char2">
    <w:name w:val="页眉 Char"/>
    <w:basedOn w:val="a0"/>
    <w:link w:val="a6"/>
    <w:uiPriority w:val="99"/>
    <w:rsid w:val="006F0F7B"/>
    <w:rPr>
      <w:rFonts w:ascii="Times New Roman" w:eastAsia="方正仿宋简体" w:hAnsi="Times New Roman" w:cs="Times New Roman"/>
      <w:sz w:val="18"/>
      <w:szCs w:val="18"/>
    </w:rPr>
  </w:style>
  <w:style w:type="character" w:customStyle="1" w:styleId="Char1">
    <w:name w:val="页脚 Char"/>
    <w:basedOn w:val="a0"/>
    <w:link w:val="a5"/>
    <w:uiPriority w:val="99"/>
    <w:rsid w:val="006F0F7B"/>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rsid w:val="006F0F7B"/>
    <w:rPr>
      <w:rFonts w:ascii="Times New Roman" w:eastAsia="方正仿宋简体" w:hAnsi="Times New Roman" w:cs="Times New Roman"/>
      <w:sz w:val="18"/>
      <w:szCs w:val="18"/>
    </w:rPr>
  </w:style>
  <w:style w:type="character" w:customStyle="1" w:styleId="3Char">
    <w:name w:val="标题 3 Char"/>
    <w:basedOn w:val="a0"/>
    <w:link w:val="3"/>
    <w:rsid w:val="006F0F7B"/>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904</Characters>
  <Application>Microsoft Office Word</Application>
  <DocSecurity>4</DocSecurity>
  <Lines>7</Lines>
  <Paragraphs>2</Paragraphs>
  <ScaleCrop>false</ScaleCrop>
  <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2026-02-09T16:02:00Z</dcterms:created>
  <dcterms:modified xsi:type="dcterms:W3CDTF">2026-02-09T16:02:00Z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EECDC1F7E61D446881B8DA8C75E2B3AB</vt:lpwstr>
  </property>
  <property fmtid="{D5CDD505-2E9C-101B-9397-08002B2CF9AE}" pid="3" name="KSOProductBuildVer">
    <vt:lpwstr>2052-11.1.0.11830</vt:lpwstr>
  </property>
</Properties>
</file>