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hAnsi="宋体" w:cs="宋体" w:hint="eastAsia"/>
          <w:b/>
          <w:bCs/>
        </w:rPr>
        <w:id w:val="-1"/>
        <w:placeholder>
          <w:docPart w:val="DefaultPlaceholder_-1854013440"/>
        </w:placeholder>
      </w:sdtPr>
      <w:sdtEndPr>
        <w:rPr>
          <w:sz w:val="28"/>
          <w:szCs w:val="28"/>
        </w:rPr>
      </w:sdtEndPr>
      <w:sdtContent>
        <w:p w:rsidR="00D06BBF" w:rsidRDefault="002F329A">
          <w:pPr>
            <w:widowControl w:val="0"/>
            <w:spacing w:line="360" w:lineRule="auto"/>
            <w:jc w:val="center"/>
            <w:rPr>
              <w:rFonts w:ascii="宋体" w:hAnsi="宋体" w:cs="宋体"/>
              <w:b/>
              <w:bCs/>
              <w:sz w:val="28"/>
              <w:szCs w:val="28"/>
            </w:rPr>
          </w:pPr>
          <w:r>
            <w:rPr>
              <w:rFonts w:ascii="宋体" w:hAnsi="宋体" w:cs="宋体" w:hint="eastAsia"/>
              <w:b/>
              <w:bCs/>
              <w:sz w:val="28"/>
              <w:szCs w:val="28"/>
            </w:rPr>
            <w:t>中欧骏泰货币市场基金调整非个人投资者在代销渠道大额申购、转换转入及定期定额投资业务限额的公告</w:t>
          </w:r>
        </w:p>
      </w:sdtContent>
    </w:sdt>
    <w:p w:rsidR="00D06BBF" w:rsidRDefault="00D06BBF">
      <w:pPr>
        <w:spacing w:line="360" w:lineRule="auto"/>
        <w:ind w:firstLine="360"/>
        <w:jc w:val="left"/>
        <w:rPr>
          <w:rFonts w:ascii="宋体" w:hAnsi="宋体"/>
        </w:rPr>
      </w:pPr>
    </w:p>
    <w:sdt>
      <w:sdtPr>
        <w:rPr>
          <w:rFonts w:ascii="宋体" w:hAnsi="宋体" w:hint="eastAsia"/>
        </w:rPr>
        <w:id w:val="1937639067"/>
        <w:placeholder>
          <w:docPart w:val="DefaultPlaceholder_-1854013440"/>
        </w:placeholder>
      </w:sdtPr>
      <w:sdtContent>
        <w:p w:rsidR="00D06BBF" w:rsidRDefault="002F329A">
          <w:pPr>
            <w:spacing w:line="360" w:lineRule="auto"/>
            <w:ind w:firstLineChars="200" w:firstLine="420"/>
            <w:jc w:val="left"/>
            <w:rPr>
              <w:rFonts w:ascii="宋体" w:hAnsi="宋体"/>
            </w:rPr>
          </w:pPr>
          <w:r>
            <w:rPr>
              <w:rFonts w:ascii="宋体" w:hAnsi="宋体" w:hint="eastAsia"/>
            </w:rPr>
            <w:t>为进一步保证中欧骏泰货币市场基金（以下简称“本基金”）的稳定运作，维护基金份额持有人利益，中欧基金管理有限公司（以下简称“本公司”）决定于</w:t>
          </w:r>
          <w:r>
            <w:rPr>
              <w:rFonts w:ascii="宋体" w:hAnsi="宋体" w:hint="eastAsia"/>
            </w:rPr>
            <w:t>2026</w:t>
          </w:r>
          <w:r>
            <w:rPr>
              <w:rFonts w:ascii="宋体" w:hAnsi="宋体" w:hint="eastAsia"/>
            </w:rPr>
            <w:t>年</w:t>
          </w:r>
          <w:r>
            <w:rPr>
              <w:rFonts w:ascii="宋体" w:hAnsi="宋体" w:hint="eastAsia"/>
            </w:rPr>
            <w:t>2</w:t>
          </w:r>
          <w:r>
            <w:rPr>
              <w:rFonts w:ascii="宋体" w:hAnsi="宋体" w:hint="eastAsia"/>
            </w:rPr>
            <w:t>月</w:t>
          </w:r>
          <w:r>
            <w:rPr>
              <w:rFonts w:ascii="宋体" w:hAnsi="宋体" w:hint="eastAsia"/>
            </w:rPr>
            <w:t>12</w:t>
          </w:r>
          <w:r>
            <w:rPr>
              <w:rFonts w:ascii="宋体" w:hAnsi="宋体" w:hint="eastAsia"/>
            </w:rPr>
            <w:t>日（含）起按如下规则对本基金</w:t>
          </w:r>
          <w:r>
            <w:rPr>
              <w:rFonts w:ascii="宋体" w:hAnsi="宋体" w:hint="eastAsia"/>
            </w:rPr>
            <w:t>B</w:t>
          </w:r>
          <w:r>
            <w:rPr>
              <w:rFonts w:ascii="宋体" w:hAnsi="宋体" w:hint="eastAsia"/>
            </w:rPr>
            <w:t>、</w:t>
          </w:r>
          <w:r>
            <w:rPr>
              <w:rFonts w:ascii="宋体" w:hAnsi="宋体" w:hint="eastAsia"/>
            </w:rPr>
            <w:t>C</w:t>
          </w:r>
          <w:r>
            <w:rPr>
              <w:rFonts w:ascii="宋体" w:hAnsi="宋体" w:hint="eastAsia"/>
            </w:rPr>
            <w:t>、</w:t>
          </w:r>
          <w:r>
            <w:rPr>
              <w:rFonts w:ascii="宋体" w:hAnsi="宋体" w:hint="eastAsia"/>
            </w:rPr>
            <w:t>D</w:t>
          </w:r>
          <w:r>
            <w:rPr>
              <w:rFonts w:ascii="宋体" w:hAnsi="宋体" w:hint="eastAsia"/>
            </w:rPr>
            <w:t>类份额</w:t>
          </w:r>
          <w:r>
            <w:rPr>
              <w:rFonts w:ascii="宋体" w:hAnsi="宋体" w:hint="eastAsia"/>
            </w:rPr>
            <w:t>(</w:t>
          </w:r>
          <w:r>
            <w:rPr>
              <w:rFonts w:ascii="宋体" w:hAnsi="宋体" w:hint="eastAsia"/>
            </w:rPr>
            <w:t>基金代码：</w:t>
          </w:r>
          <w:r>
            <w:rPr>
              <w:rFonts w:ascii="宋体" w:hAnsi="宋体" w:hint="eastAsia"/>
            </w:rPr>
            <w:t>B</w:t>
          </w:r>
          <w:r>
            <w:rPr>
              <w:rFonts w:ascii="宋体" w:hAnsi="宋体" w:hint="eastAsia"/>
            </w:rPr>
            <w:t>类</w:t>
          </w:r>
          <w:r>
            <w:rPr>
              <w:rFonts w:ascii="宋体" w:hAnsi="宋体" w:hint="eastAsia"/>
            </w:rPr>
            <w:t xml:space="preserve"> 004039,C</w:t>
          </w:r>
          <w:r>
            <w:rPr>
              <w:rFonts w:ascii="宋体" w:hAnsi="宋体" w:hint="eastAsia"/>
            </w:rPr>
            <w:t>类</w:t>
          </w:r>
          <w:r>
            <w:rPr>
              <w:rFonts w:ascii="宋体" w:hAnsi="宋体" w:hint="eastAsia"/>
            </w:rPr>
            <w:t xml:space="preserve"> 017538,D</w:t>
          </w:r>
          <w:r>
            <w:rPr>
              <w:rFonts w:ascii="宋体" w:hAnsi="宋体" w:hint="eastAsia"/>
            </w:rPr>
            <w:t>类</w:t>
          </w:r>
          <w:r>
            <w:rPr>
              <w:rFonts w:ascii="宋体" w:hAnsi="宋体" w:hint="eastAsia"/>
            </w:rPr>
            <w:t xml:space="preserve"> 017539)</w:t>
          </w:r>
          <w:r>
            <w:rPr>
              <w:rFonts w:ascii="宋体" w:hAnsi="宋体" w:hint="eastAsia"/>
            </w:rPr>
            <w:t>在代销渠道非个人投资者的大额申购、转换转入及定期定额投资的交易限额进行调整：</w:t>
          </w:r>
        </w:p>
      </w:sdtContent>
    </w:sdt>
    <w:p w:rsidR="00D06BBF" w:rsidRDefault="002F329A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非个人投资者单日单个基金账户在代销渠道对本基金</w:t>
      </w:r>
      <w:r>
        <w:rPr>
          <w:rFonts w:ascii="宋体" w:hAnsi="宋体"/>
        </w:rPr>
        <w:t>B</w:t>
      </w:r>
      <w:r>
        <w:rPr>
          <w:rFonts w:ascii="宋体" w:hAnsi="宋体"/>
        </w:rPr>
        <w:t>、</w:t>
      </w:r>
      <w:r>
        <w:rPr>
          <w:rFonts w:ascii="宋体" w:hAnsi="宋体"/>
        </w:rPr>
        <w:t>C</w:t>
      </w:r>
      <w:r>
        <w:rPr>
          <w:rFonts w:ascii="宋体" w:hAnsi="宋体"/>
        </w:rPr>
        <w:t>、</w:t>
      </w:r>
      <w:r>
        <w:rPr>
          <w:rFonts w:ascii="宋体" w:hAnsi="宋体"/>
        </w:rPr>
        <w:t>D</w:t>
      </w:r>
      <w:r>
        <w:rPr>
          <w:rFonts w:ascii="宋体" w:hAnsi="宋体"/>
        </w:rPr>
        <w:t>类</w:t>
      </w:r>
      <w:r>
        <w:rPr>
          <w:rFonts w:ascii="宋体" w:hAnsi="宋体" w:hint="eastAsia"/>
        </w:rPr>
        <w:t>任一类别</w:t>
      </w:r>
      <w:r>
        <w:rPr>
          <w:rFonts w:ascii="宋体" w:hAnsi="宋体"/>
        </w:rPr>
        <w:t>基金份额的单笔或多笔累计申购、转换转入及定期定额投资业务的金额超过</w:t>
      </w:r>
      <w:r>
        <w:rPr>
          <w:rFonts w:ascii="宋体" w:hAnsi="宋体"/>
        </w:rPr>
        <w:t>1,000</w:t>
      </w:r>
      <w:r>
        <w:rPr>
          <w:rFonts w:ascii="宋体" w:hAnsi="宋体"/>
        </w:rPr>
        <w:t>元（不含），本公司有权拒绝。如本基金非个人投资者单日单个基金账户在代销渠道对本基金上述</w:t>
      </w:r>
      <w:r>
        <w:rPr>
          <w:rFonts w:ascii="宋体" w:hAnsi="宋体" w:hint="eastAsia"/>
        </w:rPr>
        <w:t>任一类别</w:t>
      </w:r>
      <w:r>
        <w:rPr>
          <w:rFonts w:ascii="宋体" w:hAnsi="宋体"/>
        </w:rPr>
        <w:t>基金份额的单笔申请金额等于或低于上述限制金额的，全部确认成功；非个人投资者单日单个基金账户在代销渠道对本基金上述</w:t>
      </w:r>
      <w:r>
        <w:rPr>
          <w:rFonts w:ascii="宋体" w:hAnsi="宋体" w:hint="eastAsia"/>
        </w:rPr>
        <w:t>任一类别</w:t>
      </w:r>
      <w:r>
        <w:rPr>
          <w:rFonts w:ascii="宋体" w:hAnsi="宋体"/>
        </w:rPr>
        <w:t>基金份额的单笔申请金额等于或低于上述限制金额的，则不超过上述限额金额（含）限制的申请金额确认成功，其余申请金额本公司有权确认失败；如本基金非个人投资者单日单</w:t>
      </w:r>
      <w:r>
        <w:rPr>
          <w:rFonts w:ascii="宋体" w:hAnsi="宋体"/>
        </w:rPr>
        <w:t>个基金账户在代销渠道对本基金上述</w:t>
      </w:r>
      <w:r>
        <w:rPr>
          <w:rFonts w:ascii="宋体" w:hAnsi="宋体" w:hint="eastAsia"/>
        </w:rPr>
        <w:t>任一类别</w:t>
      </w:r>
      <w:r>
        <w:rPr>
          <w:rFonts w:ascii="宋体" w:hAnsi="宋体"/>
        </w:rPr>
        <w:t>基金份额的多笔累计申请金额等于或低于上述限制金额的，全部确认成功；非个人投资者单日单个基金账户在代销渠道对本基金上述</w:t>
      </w:r>
      <w:r>
        <w:rPr>
          <w:rFonts w:ascii="宋体" w:hAnsi="宋体" w:hint="eastAsia"/>
        </w:rPr>
        <w:t>任一类别</w:t>
      </w:r>
      <w:r>
        <w:rPr>
          <w:rFonts w:ascii="宋体" w:hAnsi="宋体"/>
        </w:rPr>
        <w:t>基金份额的多笔累计申请金额高于上述限制金额的，则按注册登记系统清算顺序，逐笔累加后不超过上述限制金额（含）限制的申请确认成功，其余申请金额本公司有权确认失败。非个人投资者通过多家代销机构的多笔申购、转换转入及定期定额投资申请将累计计算，并按上述规则进行确认。</w:t>
      </w:r>
    </w:p>
    <w:p w:rsidR="00D06BBF" w:rsidRDefault="002F329A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对于</w:t>
      </w:r>
      <w:r>
        <w:rPr>
          <w:rFonts w:ascii="宋体" w:hAnsi="宋体"/>
        </w:rPr>
        <w:t>2026</w:t>
      </w:r>
      <w:r>
        <w:rPr>
          <w:rFonts w:ascii="宋体" w:hAnsi="宋体"/>
        </w:rPr>
        <w:t>年</w:t>
      </w:r>
      <w:r>
        <w:rPr>
          <w:rFonts w:ascii="宋体" w:hAnsi="宋体"/>
        </w:rPr>
        <w:t>2</w:t>
      </w:r>
      <w:r>
        <w:rPr>
          <w:rFonts w:ascii="宋体" w:hAnsi="宋体"/>
        </w:rPr>
        <w:t>月</w:t>
      </w:r>
      <w:r>
        <w:rPr>
          <w:rFonts w:ascii="宋体" w:hAnsi="宋体"/>
        </w:rPr>
        <w:t>12</w:t>
      </w:r>
      <w:r>
        <w:rPr>
          <w:rFonts w:ascii="宋体" w:hAnsi="宋体"/>
        </w:rPr>
        <w:t>日之前已参与定期定额投资的基金账户，同样适用上述规则。</w:t>
      </w:r>
    </w:p>
    <w:p w:rsidR="00D06BBF" w:rsidRDefault="002F329A">
      <w:pPr>
        <w:pStyle w:val="a7"/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hAnsi="宋体" w:hint="default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  <w:lang/>
        </w:rPr>
        <w:t>自</w:t>
      </w:r>
      <w:r>
        <w:rPr>
          <w:rFonts w:ascii="宋体" w:eastAsia="宋体" w:hAnsi="宋体" w:cs="宋体"/>
          <w:kern w:val="0"/>
          <w:sz w:val="21"/>
          <w:szCs w:val="21"/>
          <w:lang/>
        </w:rPr>
        <w:t>2026</w:t>
      </w:r>
      <w:r>
        <w:rPr>
          <w:rFonts w:ascii="宋体" w:eastAsia="宋体" w:hAnsi="宋体" w:cs="宋体"/>
          <w:kern w:val="0"/>
          <w:sz w:val="21"/>
          <w:szCs w:val="21"/>
          <w:lang/>
        </w:rPr>
        <w:t>年</w:t>
      </w:r>
      <w:r>
        <w:rPr>
          <w:rFonts w:ascii="宋体" w:eastAsia="宋体" w:hAnsi="宋体" w:cs="宋体"/>
          <w:kern w:val="0"/>
          <w:sz w:val="21"/>
          <w:szCs w:val="21"/>
          <w:lang/>
        </w:rPr>
        <w:t>2</w:t>
      </w:r>
      <w:r>
        <w:rPr>
          <w:rFonts w:ascii="宋体" w:eastAsia="宋体" w:hAnsi="宋体" w:cs="宋体"/>
          <w:kern w:val="0"/>
          <w:sz w:val="21"/>
          <w:szCs w:val="21"/>
          <w:lang/>
        </w:rPr>
        <w:t>月</w:t>
      </w:r>
      <w:r>
        <w:rPr>
          <w:rFonts w:ascii="宋体" w:eastAsia="宋体" w:hAnsi="宋体" w:cs="宋体"/>
          <w:kern w:val="0"/>
          <w:sz w:val="21"/>
          <w:szCs w:val="21"/>
          <w:lang/>
        </w:rPr>
        <w:t>24</w:t>
      </w:r>
      <w:r>
        <w:rPr>
          <w:rFonts w:ascii="宋体" w:eastAsia="宋体" w:hAnsi="宋体" w:cs="宋体"/>
          <w:kern w:val="0"/>
          <w:sz w:val="21"/>
          <w:szCs w:val="21"/>
          <w:lang/>
        </w:rPr>
        <w:t>日（含）起，本基金按如下规则调整限制，届时不再另行公告：</w:t>
      </w:r>
    </w:p>
    <w:p w:rsidR="00D06BBF" w:rsidRDefault="002F329A">
      <w:pPr>
        <w:pStyle w:val="a7"/>
        <w:widowControl/>
        <w:spacing w:line="360" w:lineRule="auto"/>
        <w:ind w:firstLineChars="200" w:firstLine="420"/>
        <w:rPr>
          <w:rFonts w:ascii="宋体" w:eastAsia="宋体" w:hAnsi="宋体" w:cs="宋体" w:hint="default"/>
          <w:kern w:val="0"/>
          <w:sz w:val="21"/>
          <w:szCs w:val="21"/>
          <w:lang/>
        </w:rPr>
      </w:pPr>
      <w:r>
        <w:rPr>
          <w:rFonts w:ascii="宋体" w:eastAsia="宋体" w:hAnsi="宋体" w:cs="宋体"/>
          <w:kern w:val="0"/>
          <w:sz w:val="21"/>
          <w:szCs w:val="21"/>
          <w:lang/>
        </w:rPr>
        <w:t>1</w:t>
      </w:r>
      <w:r>
        <w:rPr>
          <w:rFonts w:ascii="宋体" w:eastAsia="宋体" w:hAnsi="宋体" w:cs="宋体"/>
          <w:kern w:val="0"/>
          <w:sz w:val="21"/>
          <w:szCs w:val="21"/>
          <w:lang/>
        </w:rPr>
        <w:t>、</w:t>
      </w:r>
      <w:r>
        <w:rPr>
          <w:rFonts w:ascii="宋体" w:eastAsia="宋体" w:hAnsi="宋体" w:cs="宋体"/>
          <w:kern w:val="0"/>
          <w:sz w:val="21"/>
          <w:szCs w:val="21"/>
          <w:lang/>
        </w:rPr>
        <w:t>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B</w:t>
      </w:r>
      <w:r>
        <w:rPr>
          <w:rFonts w:ascii="宋体" w:eastAsia="宋体" w:hAnsi="宋体" w:cs="宋体"/>
          <w:kern w:val="0"/>
          <w:sz w:val="21"/>
          <w:szCs w:val="21"/>
          <w:lang/>
        </w:rPr>
        <w:t>类、</w:t>
      </w:r>
      <w:r>
        <w:rPr>
          <w:rFonts w:ascii="宋体" w:eastAsia="宋体" w:hAnsi="宋体" w:cs="宋体"/>
          <w:kern w:val="0"/>
          <w:sz w:val="21"/>
          <w:szCs w:val="21"/>
          <w:lang/>
        </w:rPr>
        <w:t>D</w:t>
      </w:r>
      <w:r>
        <w:rPr>
          <w:rFonts w:ascii="宋体" w:eastAsia="宋体" w:hAnsi="宋体" w:cs="宋体"/>
          <w:kern w:val="0"/>
          <w:sz w:val="21"/>
          <w:szCs w:val="21"/>
          <w:lang/>
        </w:rPr>
        <w:t>类任一类别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基金份额的单笔或多笔累计申购、转换转入及定期定额投资业务的金额超过</w:t>
      </w:r>
      <w:r>
        <w:rPr>
          <w:rFonts w:ascii="宋体" w:eastAsia="宋体" w:hAnsi="宋体" w:cs="宋体"/>
          <w:kern w:val="0"/>
          <w:sz w:val="21"/>
          <w:szCs w:val="21"/>
          <w:lang/>
        </w:rPr>
        <w:t>5</w:t>
      </w:r>
      <w:r>
        <w:rPr>
          <w:rFonts w:ascii="宋体" w:eastAsia="宋体" w:hAnsi="宋体" w:cs="宋体"/>
          <w:kern w:val="0"/>
          <w:sz w:val="21"/>
          <w:szCs w:val="21"/>
          <w:lang/>
        </w:rPr>
        <w:t>0,000</w:t>
      </w:r>
      <w:r>
        <w:rPr>
          <w:rFonts w:ascii="宋体" w:eastAsia="宋体" w:hAnsi="宋体" w:cs="宋体"/>
          <w:kern w:val="0"/>
          <w:sz w:val="21"/>
          <w:szCs w:val="21"/>
          <w:lang/>
        </w:rPr>
        <w:t>元（不含），本公司有权拒绝。如本基金非个人投资者单日单个基金账户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上述任一类别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基金份额的单笔申请金额等于或低于上述限制金额的，全部确认成功；非个人投资者单日单个基金账户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上述任一类别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基金份额的单笔申请金额高于上述限制金额的，则不超过上述限额金额（含）限制的申请金额确认成功，其余申请金额本公司有权确认失败；如本基金非个人投资者单日单个基金账户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上述任一类别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基金份额的多笔累计申请金额等于或低于上述限制金额的，全部确认成功；非个人投资者单日单个基</w:t>
      </w:r>
      <w:r>
        <w:rPr>
          <w:rFonts w:ascii="宋体" w:eastAsia="宋体" w:hAnsi="宋体" w:cs="宋体"/>
          <w:kern w:val="0"/>
          <w:sz w:val="21"/>
          <w:szCs w:val="21"/>
          <w:lang/>
        </w:rPr>
        <w:lastRenderedPageBreak/>
        <w:t>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上述任一类别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基金份额的多笔累计申请金额高于上述限制金额的，则按注册登记系统清算顺序，逐笔累加后不超过上述限制金额（含）限制的申请确认成功，其余申请金额本公司有权确认失败。</w:t>
      </w:r>
      <w:r>
        <w:rPr>
          <w:rFonts w:ascii="宋体" w:eastAsia="宋体" w:hAnsi="宋体" w:cs="宋体"/>
          <w:kern w:val="0"/>
          <w:sz w:val="21"/>
          <w:szCs w:val="21"/>
          <w:lang/>
        </w:rPr>
        <w:t>非个人投资者通过多家代销机构的多笔申购、</w:t>
      </w:r>
      <w:r>
        <w:rPr>
          <w:rFonts w:ascii="宋体" w:eastAsia="宋体" w:hAnsi="宋体" w:cs="宋体"/>
          <w:kern w:val="0"/>
          <w:sz w:val="21"/>
          <w:szCs w:val="21"/>
          <w:lang/>
        </w:rPr>
        <w:t>转换转入及定期定额投资申请将累计计算，并按上述规则进行确认。</w:t>
      </w:r>
    </w:p>
    <w:p w:rsidR="00D06BBF" w:rsidRDefault="002F329A">
      <w:pPr>
        <w:pStyle w:val="a7"/>
        <w:spacing w:line="360" w:lineRule="auto"/>
        <w:ind w:firstLineChars="200" w:firstLine="420"/>
        <w:jc w:val="left"/>
        <w:rPr>
          <w:rFonts w:ascii="宋体" w:eastAsia="宋体" w:hAnsi="宋体" w:cs="宋体" w:hint="default"/>
          <w:kern w:val="0"/>
          <w:sz w:val="21"/>
          <w:szCs w:val="21"/>
          <w:lang/>
        </w:rPr>
      </w:pPr>
      <w:r>
        <w:rPr>
          <w:rFonts w:ascii="宋体" w:hAnsi="宋体"/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、</w:t>
      </w:r>
      <w:r>
        <w:rPr>
          <w:rFonts w:ascii="宋体" w:eastAsia="宋体" w:hAnsi="宋体" w:cs="宋体"/>
          <w:kern w:val="0"/>
          <w:sz w:val="21"/>
          <w:szCs w:val="21"/>
          <w:lang/>
        </w:rPr>
        <w:t>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C</w:t>
      </w:r>
      <w:r>
        <w:rPr>
          <w:rFonts w:ascii="宋体" w:eastAsia="宋体" w:hAnsi="宋体" w:cs="宋体"/>
          <w:kern w:val="0"/>
          <w:sz w:val="21"/>
          <w:szCs w:val="21"/>
          <w:lang/>
        </w:rPr>
        <w:t>类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基金份额的单笔或多笔累计申购、转换转入及定期定额投资业务的金额超过</w:t>
      </w:r>
      <w:r>
        <w:rPr>
          <w:rFonts w:ascii="宋体" w:eastAsia="宋体" w:hAnsi="宋体" w:cs="宋体"/>
          <w:kern w:val="0"/>
          <w:sz w:val="21"/>
          <w:szCs w:val="21"/>
          <w:lang/>
        </w:rPr>
        <w:t>20</w:t>
      </w:r>
      <w:r>
        <w:rPr>
          <w:rFonts w:ascii="宋体" w:eastAsia="宋体" w:hAnsi="宋体" w:cs="宋体"/>
          <w:kern w:val="0"/>
          <w:sz w:val="21"/>
          <w:szCs w:val="21"/>
          <w:lang/>
        </w:rPr>
        <w:t>0,000</w:t>
      </w:r>
      <w:r>
        <w:rPr>
          <w:rFonts w:ascii="宋体" w:eastAsia="宋体" w:hAnsi="宋体" w:cs="宋体"/>
          <w:kern w:val="0"/>
          <w:sz w:val="21"/>
          <w:szCs w:val="21"/>
          <w:lang/>
        </w:rPr>
        <w:t>元（不含），本公司有权拒绝。如本基金非个人投资者单日单个基金账户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基金份额的单笔申请金额等于或低于上述限制金额的，全部确认成功；非个人投资者单日单个基金账户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基金份额的单笔申请金额高于上述限制金额的，则不超过上述限额金额（含）限制的申请金额确认成功，其余申请金额本公司</w:t>
      </w:r>
      <w:r>
        <w:rPr>
          <w:rFonts w:ascii="宋体" w:eastAsia="宋体" w:hAnsi="宋体" w:cs="宋体"/>
          <w:kern w:val="0"/>
          <w:sz w:val="21"/>
          <w:szCs w:val="21"/>
          <w:lang/>
        </w:rPr>
        <w:t>有权确认失败；如本基金非个人投资者单日单个基金账户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基金份额的多笔累计申请金额等于或低于上述限制金额的，全部确认成功；非个人投资者单日单个基金账户</w:t>
      </w:r>
      <w:r>
        <w:rPr>
          <w:rFonts w:ascii="宋体" w:eastAsia="宋体" w:hAnsi="宋体" w:cs="宋体"/>
          <w:kern w:val="0"/>
          <w:sz w:val="21"/>
          <w:szCs w:val="21"/>
          <w:lang/>
        </w:rPr>
        <w:t>在代销渠道</w:t>
      </w:r>
      <w:r>
        <w:rPr>
          <w:rFonts w:ascii="宋体" w:eastAsia="宋体" w:hAnsi="宋体" w:cs="宋体"/>
          <w:kern w:val="0"/>
          <w:sz w:val="21"/>
          <w:szCs w:val="21"/>
          <w:lang/>
        </w:rPr>
        <w:t>对本基金</w:t>
      </w:r>
      <w:r>
        <w:rPr>
          <w:rFonts w:ascii="宋体" w:eastAsia="宋体" w:hAnsi="宋体" w:cs="宋体"/>
          <w:kern w:val="0"/>
          <w:sz w:val="21"/>
          <w:szCs w:val="21"/>
          <w:lang/>
        </w:rPr>
        <w:t>上述类别</w:t>
      </w:r>
      <w:r>
        <w:rPr>
          <w:rFonts w:ascii="宋体" w:eastAsia="宋体" w:hAnsi="宋体" w:cs="宋体"/>
          <w:kern w:val="0"/>
          <w:sz w:val="21"/>
          <w:szCs w:val="21"/>
          <w:lang/>
        </w:rPr>
        <w:t>基金份额的多笔累计申请金额高于上述限制金额的，则按注册登记系统清算顺序，逐笔累加后不超过上述限制金额（含）限制的申请确认成功，其余申请金额本公司有权确认失败。</w:t>
      </w:r>
      <w:r>
        <w:rPr>
          <w:rFonts w:ascii="宋体" w:eastAsia="宋体" w:hAnsi="宋体" w:cs="宋体"/>
          <w:kern w:val="0"/>
          <w:sz w:val="21"/>
          <w:szCs w:val="21"/>
          <w:lang/>
        </w:rPr>
        <w:t>非个人投资者通过多家代销机构的多笔申购、转换转入及定期定额投资申请将累计计算，并按上述规则进行确认。</w:t>
      </w:r>
    </w:p>
    <w:p w:rsidR="00D06BBF" w:rsidRDefault="002F329A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实施上述限制期间，本基金的其他业务仍照常办理。如本基金取</w:t>
      </w:r>
      <w:r>
        <w:rPr>
          <w:rFonts w:ascii="宋体" w:hAnsi="宋体" w:hint="eastAsia"/>
        </w:rPr>
        <w:t>消或调整上述业务时，本公司将另行公告。</w:t>
      </w:r>
    </w:p>
    <w:p w:rsidR="00D06BBF" w:rsidRDefault="002F329A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除上述安排外，本基金的其他业务仍照常办理。</w:t>
      </w:r>
    </w:p>
    <w:p w:rsidR="00D06BBF" w:rsidRDefault="002F329A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投资者也可登陆本公司网站</w:t>
      </w:r>
      <w:r>
        <w:rPr>
          <w:rFonts w:ascii="宋体" w:hAnsi="宋体"/>
        </w:rPr>
        <w:t>www.</w:t>
      </w:r>
      <w:r>
        <w:rPr>
          <w:rFonts w:ascii="宋体" w:hAnsi="宋体" w:hint="eastAsia"/>
        </w:rPr>
        <w:t>zofund</w:t>
      </w:r>
      <w:r>
        <w:rPr>
          <w:rFonts w:ascii="宋体" w:hAnsi="宋体"/>
        </w:rPr>
        <w:t>.com</w:t>
      </w:r>
      <w:r>
        <w:rPr>
          <w:rFonts w:ascii="宋体" w:hAnsi="宋体" w:hint="eastAsia"/>
        </w:rPr>
        <w:t>，或拨打本公司客服电话</w:t>
      </w:r>
      <w:r>
        <w:rPr>
          <w:rFonts w:ascii="宋体" w:hAnsi="宋体"/>
        </w:rPr>
        <w:t>400-700-9700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021-68609700</w:t>
      </w:r>
      <w:r>
        <w:rPr>
          <w:rFonts w:ascii="宋体" w:hAnsi="宋体" w:hint="eastAsia"/>
        </w:rPr>
        <w:t>咨询相关信息。</w:t>
      </w:r>
    </w:p>
    <w:p w:rsidR="00D06BBF" w:rsidRDefault="00D06BBF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:rsidR="00D06BBF" w:rsidRDefault="002F329A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特此公告。</w:t>
      </w:r>
    </w:p>
    <w:p w:rsidR="00D06BBF" w:rsidRDefault="00D06BBF">
      <w:pPr>
        <w:spacing w:line="360" w:lineRule="auto"/>
        <w:ind w:firstLine="360"/>
        <w:jc w:val="left"/>
        <w:rPr>
          <w:rFonts w:ascii="宋体" w:hAnsi="宋体" w:cs="Arial"/>
        </w:rPr>
      </w:pPr>
    </w:p>
    <w:p w:rsidR="00D06BBF" w:rsidRDefault="002F329A">
      <w:pPr>
        <w:snapToGrid w:val="0"/>
        <w:spacing w:line="360" w:lineRule="auto"/>
        <w:ind w:firstLine="541"/>
        <w:jc w:val="right"/>
        <w:rPr>
          <w:rFonts w:ascii="宋体" w:hAnsi="宋体" w:cs="Arial"/>
        </w:rPr>
      </w:pPr>
      <w:r>
        <w:rPr>
          <w:rFonts w:ascii="宋体" w:hAnsi="宋体" w:hint="eastAsia"/>
        </w:rPr>
        <w:t>中欧基金管理有限公司</w:t>
      </w:r>
    </w:p>
    <w:sdt>
      <w:sdtPr>
        <w:rPr>
          <w:rFonts w:ascii="宋体" w:hAnsi="宋体" w:cs="宋体" w:hint="eastAsia"/>
        </w:rPr>
        <w:id w:val="46479962"/>
        <w:placeholder>
          <w:docPart w:val="DefaultPlaceholder_-1854013440"/>
        </w:placeholder>
      </w:sdtPr>
      <w:sdtContent>
        <w:p w:rsidR="00D06BBF" w:rsidRDefault="002F329A">
          <w:pPr>
            <w:spacing w:line="360" w:lineRule="auto"/>
            <w:jc w:val="right"/>
            <w:rPr>
              <w:rFonts w:ascii="宋体" w:hAnsi="宋体"/>
            </w:rPr>
          </w:pPr>
          <w:r>
            <w:rPr>
              <w:rFonts w:ascii="宋体" w:hAnsi="宋体" w:cs="宋体" w:hint="eastAsia"/>
            </w:rPr>
            <w:t>2026</w:t>
          </w:r>
          <w:r>
            <w:rPr>
              <w:rFonts w:ascii="宋体" w:hAnsi="宋体" w:cs="宋体" w:hint="eastAsia"/>
            </w:rPr>
            <w:t>年</w:t>
          </w:r>
          <w:r>
            <w:rPr>
              <w:rFonts w:ascii="宋体" w:hAnsi="宋体" w:cs="宋体" w:hint="eastAsia"/>
            </w:rPr>
            <w:t>2</w:t>
          </w:r>
          <w:r>
            <w:rPr>
              <w:rFonts w:ascii="宋体" w:hAnsi="宋体" w:cs="宋体" w:hint="eastAsia"/>
            </w:rPr>
            <w:t>月</w:t>
          </w:r>
          <w:r>
            <w:rPr>
              <w:rFonts w:ascii="宋体" w:hAnsi="宋体" w:cs="宋体" w:hint="eastAsia"/>
            </w:rPr>
            <w:t>10</w:t>
          </w:r>
          <w:r>
            <w:rPr>
              <w:rFonts w:ascii="宋体" w:hAnsi="宋体" w:cs="宋体" w:hint="eastAsia"/>
            </w:rPr>
            <w:t>日</w:t>
          </w:r>
        </w:p>
      </w:sdtContent>
    </w:sdt>
    <w:sectPr w:rsidR="00D06BBF" w:rsidSect="00D0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4B6781"/>
    <w:rsid w:val="BF7B1BC1"/>
    <w:rsid w:val="CF7F9381"/>
    <w:rsid w:val="FCBEB3F4"/>
    <w:rsid w:val="FE546D40"/>
    <w:rsid w:val="00005E87"/>
    <w:rsid w:val="000216DA"/>
    <w:rsid w:val="00024814"/>
    <w:rsid w:val="000370DC"/>
    <w:rsid w:val="0004556F"/>
    <w:rsid w:val="000575CD"/>
    <w:rsid w:val="00061028"/>
    <w:rsid w:val="00067C2C"/>
    <w:rsid w:val="00074855"/>
    <w:rsid w:val="000775AE"/>
    <w:rsid w:val="00090EE2"/>
    <w:rsid w:val="00094479"/>
    <w:rsid w:val="000A1028"/>
    <w:rsid w:val="000A1AEC"/>
    <w:rsid w:val="000D0970"/>
    <w:rsid w:val="000D7324"/>
    <w:rsid w:val="001019AA"/>
    <w:rsid w:val="001114A0"/>
    <w:rsid w:val="00113F97"/>
    <w:rsid w:val="00131726"/>
    <w:rsid w:val="0013472D"/>
    <w:rsid w:val="00155D5F"/>
    <w:rsid w:val="00157C0D"/>
    <w:rsid w:val="00161D89"/>
    <w:rsid w:val="001660B8"/>
    <w:rsid w:val="001A408D"/>
    <w:rsid w:val="001A5EE7"/>
    <w:rsid w:val="001B0C27"/>
    <w:rsid w:val="001D0A83"/>
    <w:rsid w:val="001E13A4"/>
    <w:rsid w:val="001F6C55"/>
    <w:rsid w:val="0020262C"/>
    <w:rsid w:val="002258B0"/>
    <w:rsid w:val="00233B2A"/>
    <w:rsid w:val="0023610B"/>
    <w:rsid w:val="00242704"/>
    <w:rsid w:val="002A2AB9"/>
    <w:rsid w:val="002A6F6E"/>
    <w:rsid w:val="002B5B79"/>
    <w:rsid w:val="002D1078"/>
    <w:rsid w:val="002E0DF7"/>
    <w:rsid w:val="002F230B"/>
    <w:rsid w:val="002F329A"/>
    <w:rsid w:val="00305D44"/>
    <w:rsid w:val="00307A79"/>
    <w:rsid w:val="0031153B"/>
    <w:rsid w:val="00353D2F"/>
    <w:rsid w:val="00362AA2"/>
    <w:rsid w:val="003712F1"/>
    <w:rsid w:val="00374CF2"/>
    <w:rsid w:val="003764D9"/>
    <w:rsid w:val="00391B8A"/>
    <w:rsid w:val="003A0ADA"/>
    <w:rsid w:val="003C1A1F"/>
    <w:rsid w:val="003C4543"/>
    <w:rsid w:val="003E12EA"/>
    <w:rsid w:val="00414CE7"/>
    <w:rsid w:val="004200F2"/>
    <w:rsid w:val="004414F5"/>
    <w:rsid w:val="0045359A"/>
    <w:rsid w:val="004700E2"/>
    <w:rsid w:val="00477677"/>
    <w:rsid w:val="00495820"/>
    <w:rsid w:val="004B6781"/>
    <w:rsid w:val="004C137C"/>
    <w:rsid w:val="004D6D17"/>
    <w:rsid w:val="004E2014"/>
    <w:rsid w:val="004E523A"/>
    <w:rsid w:val="004F65B7"/>
    <w:rsid w:val="00515CDF"/>
    <w:rsid w:val="005215FE"/>
    <w:rsid w:val="00535FC6"/>
    <w:rsid w:val="00546FEB"/>
    <w:rsid w:val="00547539"/>
    <w:rsid w:val="00565A95"/>
    <w:rsid w:val="005718FC"/>
    <w:rsid w:val="00584A7C"/>
    <w:rsid w:val="0058686C"/>
    <w:rsid w:val="005874E8"/>
    <w:rsid w:val="005A3ED3"/>
    <w:rsid w:val="005B0B06"/>
    <w:rsid w:val="005B4E79"/>
    <w:rsid w:val="005D663B"/>
    <w:rsid w:val="005D75F2"/>
    <w:rsid w:val="005E4316"/>
    <w:rsid w:val="005E7CC4"/>
    <w:rsid w:val="005F544B"/>
    <w:rsid w:val="0060213D"/>
    <w:rsid w:val="0060781B"/>
    <w:rsid w:val="00614C81"/>
    <w:rsid w:val="0064158B"/>
    <w:rsid w:val="00645EF6"/>
    <w:rsid w:val="006726BC"/>
    <w:rsid w:val="00676228"/>
    <w:rsid w:val="00687CA8"/>
    <w:rsid w:val="00693A34"/>
    <w:rsid w:val="006A0912"/>
    <w:rsid w:val="006A0F4C"/>
    <w:rsid w:val="006A459A"/>
    <w:rsid w:val="006B42BE"/>
    <w:rsid w:val="006B4897"/>
    <w:rsid w:val="006C149E"/>
    <w:rsid w:val="006C444B"/>
    <w:rsid w:val="006E0347"/>
    <w:rsid w:val="006E683D"/>
    <w:rsid w:val="006F1DD3"/>
    <w:rsid w:val="00711E59"/>
    <w:rsid w:val="007251AC"/>
    <w:rsid w:val="00742C9D"/>
    <w:rsid w:val="007526F1"/>
    <w:rsid w:val="00762AE0"/>
    <w:rsid w:val="00773FAF"/>
    <w:rsid w:val="00790C1A"/>
    <w:rsid w:val="00796797"/>
    <w:rsid w:val="007D0D3D"/>
    <w:rsid w:val="007D4F20"/>
    <w:rsid w:val="007E0AA2"/>
    <w:rsid w:val="007F61A7"/>
    <w:rsid w:val="008028A6"/>
    <w:rsid w:val="00810BB7"/>
    <w:rsid w:val="00813438"/>
    <w:rsid w:val="00814975"/>
    <w:rsid w:val="00836AD1"/>
    <w:rsid w:val="00840568"/>
    <w:rsid w:val="00851092"/>
    <w:rsid w:val="00874B19"/>
    <w:rsid w:val="0088473D"/>
    <w:rsid w:val="0088497D"/>
    <w:rsid w:val="008A1635"/>
    <w:rsid w:val="008A5822"/>
    <w:rsid w:val="008B6FC7"/>
    <w:rsid w:val="008C407D"/>
    <w:rsid w:val="008D0BB9"/>
    <w:rsid w:val="00953825"/>
    <w:rsid w:val="00960C12"/>
    <w:rsid w:val="009628B1"/>
    <w:rsid w:val="00967D4D"/>
    <w:rsid w:val="009714BB"/>
    <w:rsid w:val="0098518E"/>
    <w:rsid w:val="0099200A"/>
    <w:rsid w:val="00994D4E"/>
    <w:rsid w:val="009A2DEB"/>
    <w:rsid w:val="009A715C"/>
    <w:rsid w:val="009B15AE"/>
    <w:rsid w:val="00A15CAC"/>
    <w:rsid w:val="00A56445"/>
    <w:rsid w:val="00A614B0"/>
    <w:rsid w:val="00A622C6"/>
    <w:rsid w:val="00A6427F"/>
    <w:rsid w:val="00A677A0"/>
    <w:rsid w:val="00A80FF1"/>
    <w:rsid w:val="00A82B8A"/>
    <w:rsid w:val="00AF2B2E"/>
    <w:rsid w:val="00B06C82"/>
    <w:rsid w:val="00B22728"/>
    <w:rsid w:val="00B46710"/>
    <w:rsid w:val="00B82853"/>
    <w:rsid w:val="00B9660D"/>
    <w:rsid w:val="00B97B1B"/>
    <w:rsid w:val="00BC0F0E"/>
    <w:rsid w:val="00BE2C39"/>
    <w:rsid w:val="00BF0A58"/>
    <w:rsid w:val="00C0119E"/>
    <w:rsid w:val="00C2071E"/>
    <w:rsid w:val="00C2123D"/>
    <w:rsid w:val="00C224E0"/>
    <w:rsid w:val="00C40979"/>
    <w:rsid w:val="00C62EB1"/>
    <w:rsid w:val="00C6543E"/>
    <w:rsid w:val="00C84EA8"/>
    <w:rsid w:val="00C95F26"/>
    <w:rsid w:val="00CA2B21"/>
    <w:rsid w:val="00CC7405"/>
    <w:rsid w:val="00CC7D5E"/>
    <w:rsid w:val="00D04721"/>
    <w:rsid w:val="00D06BBF"/>
    <w:rsid w:val="00D34560"/>
    <w:rsid w:val="00D36357"/>
    <w:rsid w:val="00D41129"/>
    <w:rsid w:val="00DA14E5"/>
    <w:rsid w:val="00DB1F1D"/>
    <w:rsid w:val="00DB5478"/>
    <w:rsid w:val="00DF62EF"/>
    <w:rsid w:val="00E17C55"/>
    <w:rsid w:val="00E3757F"/>
    <w:rsid w:val="00E8295D"/>
    <w:rsid w:val="00E85CE8"/>
    <w:rsid w:val="00EA0E09"/>
    <w:rsid w:val="00EC72D0"/>
    <w:rsid w:val="00EE6A60"/>
    <w:rsid w:val="00F0358B"/>
    <w:rsid w:val="00F118CB"/>
    <w:rsid w:val="00F35A9F"/>
    <w:rsid w:val="00F423A1"/>
    <w:rsid w:val="00F448B8"/>
    <w:rsid w:val="00F4717E"/>
    <w:rsid w:val="00F537D7"/>
    <w:rsid w:val="00F660E2"/>
    <w:rsid w:val="00F935DF"/>
    <w:rsid w:val="00FA5CB5"/>
    <w:rsid w:val="00FB2C6C"/>
    <w:rsid w:val="00FE5E45"/>
    <w:rsid w:val="36DF104F"/>
    <w:rsid w:val="37F6E10F"/>
    <w:rsid w:val="5FFB6E9C"/>
    <w:rsid w:val="73EF9F62"/>
    <w:rsid w:val="77DEC9E9"/>
    <w:rsid w:val="7FFFA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BF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D06BB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06B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06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0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06BBF"/>
    <w:pPr>
      <w:widowControl w:val="0"/>
    </w:pPr>
    <w:rPr>
      <w:rFonts w:ascii="等线" w:eastAsia="等线" w:hAnsi="等线" w:cs="Times New Roman" w:hint="eastAsia"/>
      <w:kern w:val="2"/>
      <w:sz w:val="24"/>
      <w:szCs w:val="22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D06BBF"/>
    <w:rPr>
      <w:b/>
      <w:bCs/>
    </w:rPr>
  </w:style>
  <w:style w:type="character" w:styleId="a9">
    <w:name w:val="annotation reference"/>
    <w:uiPriority w:val="99"/>
    <w:semiHidden/>
    <w:unhideWhenUsed/>
    <w:qFormat/>
    <w:rsid w:val="00D06BBF"/>
    <w:rPr>
      <w:sz w:val="21"/>
      <w:szCs w:val="21"/>
    </w:rPr>
  </w:style>
  <w:style w:type="character" w:customStyle="1" w:styleId="Char2">
    <w:name w:val="页眉 Char"/>
    <w:link w:val="a6"/>
    <w:uiPriority w:val="99"/>
    <w:qFormat/>
    <w:rsid w:val="00D06BBF"/>
    <w:rPr>
      <w:rFonts w:ascii="Calibri" w:eastAsia="宋体" w:hAnsi="Calibri" w:cs="Calibri"/>
      <w:kern w:val="0"/>
      <w:sz w:val="18"/>
      <w:szCs w:val="18"/>
    </w:rPr>
  </w:style>
  <w:style w:type="character" w:customStyle="1" w:styleId="Char1">
    <w:name w:val="页脚 Char"/>
    <w:link w:val="a5"/>
    <w:uiPriority w:val="99"/>
    <w:qFormat/>
    <w:rsid w:val="00D06BBF"/>
    <w:rPr>
      <w:rFonts w:ascii="Calibri" w:eastAsia="宋体" w:hAnsi="Calibri" w:cs="Calibri"/>
      <w:kern w:val="0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D06BBF"/>
    <w:rPr>
      <w:rFonts w:ascii="Calibri" w:eastAsia="宋体" w:hAnsi="Calibri" w:cs="Calibri"/>
      <w:kern w:val="0"/>
      <w:sz w:val="18"/>
      <w:szCs w:val="18"/>
    </w:rPr>
  </w:style>
  <w:style w:type="character" w:customStyle="1" w:styleId="Char">
    <w:name w:val="批注文字 Char"/>
    <w:link w:val="a3"/>
    <w:uiPriority w:val="99"/>
    <w:qFormat/>
    <w:rsid w:val="00D06BBF"/>
    <w:rPr>
      <w:rFonts w:cs="Calibri"/>
      <w:sz w:val="21"/>
      <w:szCs w:val="21"/>
    </w:rPr>
  </w:style>
  <w:style w:type="character" w:customStyle="1" w:styleId="Char3">
    <w:name w:val="批注主题 Char"/>
    <w:link w:val="a8"/>
    <w:uiPriority w:val="99"/>
    <w:semiHidden/>
    <w:qFormat/>
    <w:rsid w:val="00D06BBF"/>
    <w:rPr>
      <w:rFonts w:cs="Calibri"/>
      <w:b/>
      <w:bCs/>
      <w:sz w:val="21"/>
      <w:szCs w:val="21"/>
    </w:rPr>
  </w:style>
  <w:style w:type="character" w:customStyle="1" w:styleId="1">
    <w:name w:val="批注文字 字符1"/>
    <w:uiPriority w:val="99"/>
    <w:semiHidden/>
    <w:qFormat/>
    <w:rsid w:val="00D06BBF"/>
    <w:rPr>
      <w:rFonts w:cs="Calibri"/>
      <w:sz w:val="21"/>
      <w:szCs w:val="21"/>
    </w:rPr>
  </w:style>
  <w:style w:type="paragraph" w:styleId="aa">
    <w:name w:val="List Paragraph"/>
    <w:basedOn w:val="a"/>
    <w:uiPriority w:val="34"/>
    <w:qFormat/>
    <w:rsid w:val="00D06BBF"/>
    <w:pPr>
      <w:ind w:firstLineChars="200" w:firstLine="420"/>
    </w:pPr>
  </w:style>
  <w:style w:type="character" w:styleId="ab">
    <w:name w:val="Placeholder Text"/>
    <w:basedOn w:val="a0"/>
    <w:uiPriority w:val="99"/>
    <w:semiHidden/>
    <w:qFormat/>
    <w:rsid w:val="00D06BB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9BC6AD-AC24-409C-BC2E-660589053097}"/>
      </w:docPartPr>
      <w:docPartBody>
        <w:p w:rsidR="0071396D" w:rsidRDefault="0071396D"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E17"/>
    <w:rsid w:val="00100A4B"/>
    <w:rsid w:val="0071396D"/>
    <w:rsid w:val="00AA2E17"/>
    <w:rsid w:val="00BD27C4"/>
    <w:rsid w:val="00CB0F55"/>
    <w:rsid w:val="00E9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71396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4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嵇辰</dc:creator>
  <cp:lastModifiedBy>ZHONGM</cp:lastModifiedBy>
  <cp:revision>2</cp:revision>
  <cp:lastPrinted>2021-01-13T03:04:00Z</cp:lastPrinted>
  <dcterms:created xsi:type="dcterms:W3CDTF">2026-02-09T16:02:00Z</dcterms:created>
  <dcterms:modified xsi:type="dcterms:W3CDTF">2026-02-09T16:02:00Z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860531C81C9532B30CB08969B9857845_43</vt:lpwstr>
  </property>
</Properties>
</file>