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5C7" w:rsidRDefault="00112398" w:rsidP="0064796E">
      <w:pPr>
        <w:spacing w:line="312" w:lineRule="auto"/>
        <w:jc w:val="center"/>
        <w:rPr>
          <w:b/>
          <w:bCs/>
          <w:kern w:val="36"/>
          <w:sz w:val="28"/>
          <w:szCs w:val="28"/>
        </w:rPr>
      </w:pPr>
      <w:r>
        <w:rPr>
          <w:b/>
          <w:bCs/>
          <w:kern w:val="36"/>
          <w:sz w:val="28"/>
          <w:szCs w:val="28"/>
        </w:rPr>
        <w:t>万家国证新能源车电池交易型开放式指数证券投资基金</w:t>
      </w:r>
    </w:p>
    <w:p w:rsidR="00A711E9" w:rsidRPr="006F3005" w:rsidRDefault="00652D5D" w:rsidP="0064796E">
      <w:pPr>
        <w:spacing w:line="312" w:lineRule="auto"/>
        <w:jc w:val="center"/>
        <w:rPr>
          <w:b/>
          <w:bCs/>
          <w:kern w:val="36"/>
          <w:sz w:val="28"/>
          <w:szCs w:val="28"/>
        </w:rPr>
      </w:pPr>
      <w:r w:rsidRPr="006F3005">
        <w:rPr>
          <w:b/>
          <w:bCs/>
          <w:kern w:val="36"/>
          <w:sz w:val="28"/>
          <w:szCs w:val="28"/>
        </w:rPr>
        <w:t>开放日常申购、赎回业务的公告</w:t>
      </w:r>
    </w:p>
    <w:p w:rsidR="001110B8" w:rsidRPr="006F3005" w:rsidRDefault="001110B8" w:rsidP="0064796E">
      <w:pPr>
        <w:spacing w:line="312" w:lineRule="auto"/>
        <w:ind w:firstLineChars="1050" w:firstLine="2530"/>
        <w:jc w:val="left"/>
        <w:rPr>
          <w:b/>
          <w:bCs/>
          <w:kern w:val="0"/>
          <w:sz w:val="24"/>
        </w:rPr>
      </w:pPr>
    </w:p>
    <w:p w:rsidR="00A711E9" w:rsidRPr="006F3005" w:rsidRDefault="00A711E9" w:rsidP="0064796E">
      <w:pPr>
        <w:spacing w:line="312" w:lineRule="auto"/>
        <w:ind w:firstLineChars="1050" w:firstLine="2530"/>
        <w:jc w:val="left"/>
        <w:rPr>
          <w:b/>
          <w:bCs/>
          <w:kern w:val="0"/>
          <w:sz w:val="24"/>
        </w:rPr>
      </w:pPr>
      <w:r w:rsidRPr="006F3005">
        <w:rPr>
          <w:b/>
          <w:bCs/>
          <w:kern w:val="0"/>
          <w:sz w:val="24"/>
        </w:rPr>
        <w:t>公告送出日期：</w:t>
      </w:r>
      <w:r w:rsidR="00112398">
        <w:rPr>
          <w:b/>
          <w:bCs/>
          <w:kern w:val="0"/>
          <w:sz w:val="24"/>
        </w:rPr>
        <w:t>2026</w:t>
      </w:r>
      <w:r w:rsidR="00112398">
        <w:rPr>
          <w:b/>
          <w:bCs/>
          <w:kern w:val="0"/>
          <w:sz w:val="24"/>
        </w:rPr>
        <w:t>年</w:t>
      </w:r>
      <w:r w:rsidR="00112398">
        <w:rPr>
          <w:b/>
          <w:bCs/>
          <w:kern w:val="0"/>
          <w:sz w:val="24"/>
        </w:rPr>
        <w:t>2</w:t>
      </w:r>
      <w:r w:rsidR="00112398">
        <w:rPr>
          <w:b/>
          <w:bCs/>
          <w:kern w:val="0"/>
          <w:sz w:val="24"/>
        </w:rPr>
        <w:t>月</w:t>
      </w:r>
      <w:r w:rsidR="00112398">
        <w:rPr>
          <w:b/>
          <w:bCs/>
          <w:kern w:val="0"/>
          <w:sz w:val="24"/>
        </w:rPr>
        <w:t>9</w:t>
      </w:r>
      <w:r w:rsidR="009559C4">
        <w:rPr>
          <w:b/>
          <w:bCs/>
          <w:kern w:val="0"/>
          <w:sz w:val="24"/>
        </w:rPr>
        <w:t>日</w:t>
      </w:r>
    </w:p>
    <w:p w:rsidR="001D7DC3" w:rsidRPr="006F3005" w:rsidRDefault="001D7DC3" w:rsidP="0064796E">
      <w:pPr>
        <w:spacing w:line="312" w:lineRule="auto"/>
        <w:ind w:firstLineChars="1050" w:firstLine="2520"/>
        <w:jc w:val="left"/>
        <w:rPr>
          <w:kern w:val="0"/>
          <w:sz w:val="24"/>
        </w:rPr>
      </w:pPr>
    </w:p>
    <w:p w:rsidR="00A711E9" w:rsidRPr="006F3005" w:rsidRDefault="00A711E9" w:rsidP="0064796E">
      <w:pPr>
        <w:spacing w:line="312" w:lineRule="auto"/>
        <w:ind w:firstLineChars="200" w:firstLine="422"/>
        <w:jc w:val="left"/>
        <w:rPr>
          <w:b/>
          <w:kern w:val="0"/>
          <w:szCs w:val="21"/>
        </w:rPr>
      </w:pPr>
      <w:r w:rsidRPr="006F3005">
        <w:rPr>
          <w:b/>
          <w:kern w:val="0"/>
          <w:szCs w:val="21"/>
        </w:rPr>
        <w:t>1.</w:t>
      </w:r>
      <w:r w:rsidRPr="006F3005">
        <w:rPr>
          <w:b/>
          <w:kern w:val="0"/>
          <w:szCs w:val="21"/>
        </w:rPr>
        <w:t>公告基本信息</w:t>
      </w:r>
    </w:p>
    <w:tbl>
      <w:tblPr>
        <w:tblW w:w="4956" w:type="pct"/>
        <w:jc w:val="cente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975"/>
        <w:gridCol w:w="5880"/>
      </w:tblGrid>
      <w:tr w:rsidR="00A711E9" w:rsidRPr="006F3005" w:rsidTr="00826848">
        <w:trPr>
          <w:jc w:val="center"/>
        </w:trPr>
        <w:tc>
          <w:tcPr>
            <w:tcW w:w="1680" w:type="pct"/>
            <w:tcMar>
              <w:top w:w="45" w:type="dxa"/>
              <w:left w:w="45" w:type="dxa"/>
              <w:bottom w:w="45" w:type="dxa"/>
              <w:right w:w="45" w:type="dxa"/>
            </w:tcMar>
            <w:vAlign w:val="center"/>
          </w:tcPr>
          <w:p w:rsidR="00A711E9" w:rsidRPr="006F3005" w:rsidRDefault="00A711E9" w:rsidP="0064796E">
            <w:pPr>
              <w:spacing w:line="312" w:lineRule="auto"/>
              <w:jc w:val="left"/>
              <w:rPr>
                <w:bCs/>
                <w:kern w:val="0"/>
                <w:szCs w:val="21"/>
              </w:rPr>
            </w:pPr>
            <w:r w:rsidRPr="006F3005">
              <w:rPr>
                <w:bCs/>
                <w:kern w:val="0"/>
                <w:szCs w:val="21"/>
              </w:rPr>
              <w:t>基金名称</w:t>
            </w:r>
          </w:p>
        </w:tc>
        <w:tc>
          <w:tcPr>
            <w:tcW w:w="3320" w:type="pct"/>
            <w:tcMar>
              <w:top w:w="45" w:type="dxa"/>
              <w:left w:w="45" w:type="dxa"/>
              <w:bottom w:w="45" w:type="dxa"/>
              <w:right w:w="45" w:type="dxa"/>
            </w:tcMar>
            <w:vAlign w:val="center"/>
          </w:tcPr>
          <w:p w:rsidR="00A711E9" w:rsidRPr="006F3005" w:rsidRDefault="00112398" w:rsidP="0064796E">
            <w:pPr>
              <w:spacing w:line="312" w:lineRule="auto"/>
              <w:jc w:val="center"/>
              <w:rPr>
                <w:bCs/>
                <w:kern w:val="0"/>
                <w:szCs w:val="21"/>
              </w:rPr>
            </w:pPr>
            <w:r>
              <w:rPr>
                <w:bCs/>
                <w:kern w:val="0"/>
                <w:szCs w:val="21"/>
              </w:rPr>
              <w:t>万家国证新能源车电池交易型开放式指数证券投资基金</w:t>
            </w:r>
          </w:p>
        </w:tc>
      </w:tr>
      <w:tr w:rsidR="006B5850" w:rsidRPr="006F3005" w:rsidTr="00826848">
        <w:trPr>
          <w:jc w:val="center"/>
        </w:trPr>
        <w:tc>
          <w:tcPr>
            <w:tcW w:w="1680" w:type="pct"/>
            <w:tcMar>
              <w:top w:w="45" w:type="dxa"/>
              <w:left w:w="45" w:type="dxa"/>
              <w:bottom w:w="45" w:type="dxa"/>
              <w:right w:w="45" w:type="dxa"/>
            </w:tcMar>
            <w:vAlign w:val="center"/>
          </w:tcPr>
          <w:p w:rsidR="006B5850" w:rsidRPr="006F3005" w:rsidRDefault="006B5850" w:rsidP="0064796E">
            <w:pPr>
              <w:spacing w:line="312" w:lineRule="auto"/>
              <w:jc w:val="left"/>
              <w:rPr>
                <w:kern w:val="0"/>
                <w:szCs w:val="21"/>
              </w:rPr>
            </w:pPr>
            <w:r w:rsidRPr="006F3005">
              <w:rPr>
                <w:kern w:val="0"/>
                <w:szCs w:val="21"/>
              </w:rPr>
              <w:t>基金简称</w:t>
            </w:r>
          </w:p>
        </w:tc>
        <w:tc>
          <w:tcPr>
            <w:tcW w:w="3320" w:type="pct"/>
            <w:tcMar>
              <w:top w:w="45" w:type="dxa"/>
              <w:left w:w="45" w:type="dxa"/>
              <w:bottom w:w="45" w:type="dxa"/>
              <w:right w:w="45" w:type="dxa"/>
            </w:tcMar>
            <w:vAlign w:val="center"/>
          </w:tcPr>
          <w:p w:rsidR="006B5850" w:rsidRPr="00566605" w:rsidRDefault="00206B70" w:rsidP="00566605">
            <w:pPr>
              <w:spacing w:line="312" w:lineRule="auto"/>
              <w:jc w:val="center"/>
              <w:rPr>
                <w:bCs/>
                <w:kern w:val="0"/>
                <w:szCs w:val="21"/>
              </w:rPr>
            </w:pPr>
            <w:r>
              <w:rPr>
                <w:bCs/>
                <w:kern w:val="0"/>
                <w:szCs w:val="21"/>
              </w:rPr>
              <w:t>万家国证新能源车电池</w:t>
            </w:r>
            <w:r w:rsidR="00566605" w:rsidRPr="00566605">
              <w:rPr>
                <w:rFonts w:hint="eastAsia"/>
                <w:bCs/>
                <w:kern w:val="0"/>
                <w:szCs w:val="21"/>
              </w:rPr>
              <w:t>ETF</w:t>
            </w:r>
            <w:r w:rsidR="00566605" w:rsidRPr="00566605">
              <w:rPr>
                <w:rFonts w:hint="eastAsia"/>
                <w:bCs/>
                <w:kern w:val="0"/>
                <w:szCs w:val="21"/>
              </w:rPr>
              <w:t>（场内简称：</w:t>
            </w:r>
            <w:r>
              <w:rPr>
                <w:bCs/>
                <w:kern w:val="0"/>
                <w:szCs w:val="21"/>
              </w:rPr>
              <w:t>电池</w:t>
            </w:r>
            <w:r w:rsidRPr="00566605">
              <w:rPr>
                <w:rFonts w:hint="eastAsia"/>
                <w:bCs/>
                <w:kern w:val="0"/>
                <w:szCs w:val="21"/>
              </w:rPr>
              <w:t>ETF</w:t>
            </w:r>
            <w:r>
              <w:rPr>
                <w:bCs/>
                <w:kern w:val="0"/>
                <w:szCs w:val="21"/>
              </w:rPr>
              <w:t>万家</w:t>
            </w:r>
            <w:r w:rsidR="00566605" w:rsidRPr="00566605">
              <w:rPr>
                <w:rFonts w:hint="eastAsia"/>
                <w:bCs/>
                <w:kern w:val="0"/>
                <w:szCs w:val="21"/>
              </w:rPr>
              <w:t>）</w:t>
            </w:r>
          </w:p>
        </w:tc>
      </w:tr>
      <w:tr w:rsidR="006B5850" w:rsidRPr="006F3005" w:rsidTr="00826848">
        <w:trPr>
          <w:jc w:val="center"/>
        </w:trPr>
        <w:tc>
          <w:tcPr>
            <w:tcW w:w="1680" w:type="pct"/>
            <w:tcMar>
              <w:top w:w="45" w:type="dxa"/>
              <w:left w:w="45" w:type="dxa"/>
              <w:bottom w:w="45" w:type="dxa"/>
              <w:right w:w="45" w:type="dxa"/>
            </w:tcMar>
            <w:vAlign w:val="center"/>
          </w:tcPr>
          <w:p w:rsidR="006B5850" w:rsidRPr="006F3005" w:rsidRDefault="006B5850" w:rsidP="0064796E">
            <w:pPr>
              <w:spacing w:line="312" w:lineRule="auto"/>
              <w:jc w:val="left"/>
              <w:rPr>
                <w:kern w:val="0"/>
                <w:szCs w:val="21"/>
              </w:rPr>
            </w:pPr>
            <w:r w:rsidRPr="006F3005">
              <w:rPr>
                <w:kern w:val="0"/>
                <w:szCs w:val="21"/>
              </w:rPr>
              <w:t>基金主代码</w:t>
            </w:r>
          </w:p>
        </w:tc>
        <w:tc>
          <w:tcPr>
            <w:tcW w:w="3320" w:type="pct"/>
            <w:tcMar>
              <w:top w:w="45" w:type="dxa"/>
              <w:left w:w="45" w:type="dxa"/>
              <w:bottom w:w="45" w:type="dxa"/>
              <w:right w:w="45" w:type="dxa"/>
            </w:tcMar>
            <w:vAlign w:val="center"/>
          </w:tcPr>
          <w:p w:rsidR="006B5850" w:rsidRPr="006F3005" w:rsidRDefault="00206B70" w:rsidP="00206B70">
            <w:pPr>
              <w:spacing w:line="312" w:lineRule="auto"/>
              <w:jc w:val="center"/>
              <w:rPr>
                <w:kern w:val="0"/>
                <w:szCs w:val="21"/>
              </w:rPr>
            </w:pPr>
            <w:r w:rsidRPr="00566605">
              <w:rPr>
                <w:kern w:val="0"/>
                <w:szCs w:val="21"/>
              </w:rPr>
              <w:t>159</w:t>
            </w:r>
            <w:r>
              <w:rPr>
                <w:kern w:val="0"/>
                <w:szCs w:val="21"/>
              </w:rPr>
              <w:t>156</w:t>
            </w:r>
          </w:p>
        </w:tc>
      </w:tr>
      <w:tr w:rsidR="00652D5D" w:rsidRPr="006F3005" w:rsidTr="0064796E">
        <w:trPr>
          <w:jc w:val="center"/>
        </w:trPr>
        <w:tc>
          <w:tcPr>
            <w:tcW w:w="1680" w:type="pct"/>
            <w:tcMar>
              <w:top w:w="45" w:type="dxa"/>
              <w:left w:w="45" w:type="dxa"/>
              <w:bottom w:w="45" w:type="dxa"/>
              <w:right w:w="45" w:type="dxa"/>
            </w:tcMar>
            <w:vAlign w:val="center"/>
          </w:tcPr>
          <w:p w:rsidR="00652D5D" w:rsidRPr="006F3005" w:rsidRDefault="00652D5D" w:rsidP="0064796E">
            <w:pPr>
              <w:spacing w:line="312" w:lineRule="auto"/>
              <w:jc w:val="left"/>
              <w:rPr>
                <w:kern w:val="0"/>
                <w:szCs w:val="21"/>
              </w:rPr>
            </w:pPr>
            <w:r w:rsidRPr="006F3005">
              <w:rPr>
                <w:kern w:val="0"/>
                <w:szCs w:val="21"/>
              </w:rPr>
              <w:t>基金运作方式</w:t>
            </w:r>
          </w:p>
        </w:tc>
        <w:tc>
          <w:tcPr>
            <w:tcW w:w="3320" w:type="pct"/>
            <w:tcMar>
              <w:top w:w="45" w:type="dxa"/>
              <w:left w:w="45" w:type="dxa"/>
              <w:bottom w:w="45" w:type="dxa"/>
              <w:right w:w="45" w:type="dxa"/>
            </w:tcMar>
          </w:tcPr>
          <w:p w:rsidR="00652D5D" w:rsidRPr="006F3005" w:rsidRDefault="00652D5D" w:rsidP="0064796E">
            <w:pPr>
              <w:spacing w:line="312" w:lineRule="auto"/>
              <w:jc w:val="center"/>
              <w:rPr>
                <w:kern w:val="0"/>
                <w:szCs w:val="21"/>
              </w:rPr>
            </w:pPr>
            <w:r w:rsidRPr="006F3005">
              <w:t>交易型开放式</w:t>
            </w:r>
          </w:p>
        </w:tc>
      </w:tr>
      <w:tr w:rsidR="00652D5D" w:rsidRPr="006F3005" w:rsidTr="0064796E">
        <w:trPr>
          <w:jc w:val="center"/>
        </w:trPr>
        <w:tc>
          <w:tcPr>
            <w:tcW w:w="1680" w:type="pct"/>
            <w:tcMar>
              <w:top w:w="45" w:type="dxa"/>
              <w:left w:w="45" w:type="dxa"/>
              <w:bottom w:w="45" w:type="dxa"/>
              <w:right w:w="45" w:type="dxa"/>
            </w:tcMar>
            <w:vAlign w:val="center"/>
          </w:tcPr>
          <w:p w:rsidR="00652D5D" w:rsidRPr="006F3005" w:rsidRDefault="00652D5D" w:rsidP="0064796E">
            <w:pPr>
              <w:spacing w:line="312" w:lineRule="auto"/>
              <w:jc w:val="left"/>
              <w:rPr>
                <w:kern w:val="0"/>
                <w:szCs w:val="21"/>
              </w:rPr>
            </w:pPr>
            <w:r w:rsidRPr="006F3005">
              <w:rPr>
                <w:kern w:val="0"/>
                <w:szCs w:val="21"/>
              </w:rPr>
              <w:t>基金合同生效日</w:t>
            </w:r>
          </w:p>
        </w:tc>
        <w:tc>
          <w:tcPr>
            <w:tcW w:w="3320" w:type="pct"/>
            <w:tcMar>
              <w:top w:w="45" w:type="dxa"/>
              <w:left w:w="45" w:type="dxa"/>
              <w:bottom w:w="45" w:type="dxa"/>
              <w:right w:w="45" w:type="dxa"/>
            </w:tcMar>
          </w:tcPr>
          <w:p w:rsidR="00652D5D" w:rsidRPr="006F3005" w:rsidRDefault="00206B70" w:rsidP="00206B70">
            <w:pPr>
              <w:spacing w:line="312" w:lineRule="auto"/>
              <w:jc w:val="center"/>
              <w:rPr>
                <w:kern w:val="0"/>
                <w:szCs w:val="21"/>
              </w:rPr>
            </w:pPr>
            <w:r>
              <w:rPr>
                <w:rFonts w:hint="eastAsia"/>
              </w:rPr>
              <w:t>202</w:t>
            </w:r>
            <w:r>
              <w:t>6</w:t>
            </w:r>
            <w:r w:rsidR="00566605">
              <w:rPr>
                <w:rFonts w:hint="eastAsia"/>
              </w:rPr>
              <w:t>年</w:t>
            </w:r>
            <w:r>
              <w:t>2</w:t>
            </w:r>
            <w:r w:rsidR="009559C4">
              <w:rPr>
                <w:rFonts w:hint="eastAsia"/>
              </w:rPr>
              <w:t>月</w:t>
            </w:r>
            <w:r>
              <w:t>4</w:t>
            </w:r>
            <w:r w:rsidR="009559C4">
              <w:rPr>
                <w:rFonts w:hint="eastAsia"/>
              </w:rPr>
              <w:t>日</w:t>
            </w:r>
          </w:p>
        </w:tc>
      </w:tr>
      <w:tr w:rsidR="006B5850" w:rsidRPr="006F3005" w:rsidTr="00826848">
        <w:trPr>
          <w:jc w:val="center"/>
        </w:trPr>
        <w:tc>
          <w:tcPr>
            <w:tcW w:w="1680" w:type="pct"/>
            <w:tcMar>
              <w:top w:w="45" w:type="dxa"/>
              <w:left w:w="45" w:type="dxa"/>
              <w:bottom w:w="45" w:type="dxa"/>
              <w:right w:w="45" w:type="dxa"/>
            </w:tcMar>
            <w:vAlign w:val="center"/>
          </w:tcPr>
          <w:p w:rsidR="006B5850" w:rsidRPr="006F3005" w:rsidRDefault="006B5850" w:rsidP="0064796E">
            <w:pPr>
              <w:spacing w:line="312" w:lineRule="auto"/>
              <w:jc w:val="left"/>
              <w:rPr>
                <w:kern w:val="0"/>
                <w:szCs w:val="21"/>
              </w:rPr>
            </w:pPr>
            <w:r w:rsidRPr="006F3005">
              <w:rPr>
                <w:kern w:val="0"/>
                <w:szCs w:val="21"/>
              </w:rPr>
              <w:t>基金管理人名称</w:t>
            </w:r>
          </w:p>
        </w:tc>
        <w:tc>
          <w:tcPr>
            <w:tcW w:w="3320" w:type="pct"/>
            <w:tcMar>
              <w:top w:w="45" w:type="dxa"/>
              <w:left w:w="45" w:type="dxa"/>
              <w:bottom w:w="45" w:type="dxa"/>
              <w:right w:w="45" w:type="dxa"/>
            </w:tcMar>
            <w:vAlign w:val="center"/>
          </w:tcPr>
          <w:p w:rsidR="006B5850" w:rsidRPr="006F3005" w:rsidRDefault="006B5850" w:rsidP="0064796E">
            <w:pPr>
              <w:spacing w:line="312" w:lineRule="auto"/>
              <w:jc w:val="center"/>
              <w:rPr>
                <w:kern w:val="0"/>
                <w:szCs w:val="21"/>
              </w:rPr>
            </w:pPr>
            <w:r w:rsidRPr="006F3005">
              <w:rPr>
                <w:kern w:val="0"/>
                <w:szCs w:val="21"/>
              </w:rPr>
              <w:t>万家基金管理有限公司</w:t>
            </w:r>
          </w:p>
        </w:tc>
      </w:tr>
      <w:tr w:rsidR="006B5850" w:rsidRPr="006F3005" w:rsidTr="00826848">
        <w:trPr>
          <w:jc w:val="center"/>
        </w:trPr>
        <w:tc>
          <w:tcPr>
            <w:tcW w:w="1680" w:type="pct"/>
            <w:tcMar>
              <w:top w:w="45" w:type="dxa"/>
              <w:left w:w="45" w:type="dxa"/>
              <w:bottom w:w="45" w:type="dxa"/>
              <w:right w:w="45" w:type="dxa"/>
            </w:tcMar>
            <w:vAlign w:val="center"/>
          </w:tcPr>
          <w:p w:rsidR="006B5850" w:rsidRPr="006F3005" w:rsidRDefault="006B5850" w:rsidP="0064796E">
            <w:pPr>
              <w:spacing w:line="312" w:lineRule="auto"/>
              <w:jc w:val="left"/>
              <w:rPr>
                <w:kern w:val="0"/>
                <w:szCs w:val="21"/>
              </w:rPr>
            </w:pPr>
            <w:r w:rsidRPr="006F3005">
              <w:rPr>
                <w:kern w:val="0"/>
                <w:szCs w:val="21"/>
              </w:rPr>
              <w:t>基金托管人名称</w:t>
            </w:r>
          </w:p>
        </w:tc>
        <w:tc>
          <w:tcPr>
            <w:tcW w:w="3320" w:type="pct"/>
            <w:tcMar>
              <w:top w:w="45" w:type="dxa"/>
              <w:left w:w="45" w:type="dxa"/>
              <w:bottom w:w="45" w:type="dxa"/>
              <w:right w:w="45" w:type="dxa"/>
            </w:tcMar>
            <w:vAlign w:val="center"/>
          </w:tcPr>
          <w:p w:rsidR="006B5850" w:rsidRPr="006F3005" w:rsidRDefault="00206B70" w:rsidP="0064796E">
            <w:pPr>
              <w:spacing w:line="312" w:lineRule="auto"/>
              <w:jc w:val="center"/>
              <w:rPr>
                <w:kern w:val="0"/>
                <w:szCs w:val="21"/>
              </w:rPr>
            </w:pPr>
            <w:r w:rsidRPr="00206B70">
              <w:rPr>
                <w:rFonts w:hint="eastAsia"/>
                <w:kern w:val="0"/>
                <w:szCs w:val="21"/>
              </w:rPr>
              <w:t>恒丰银行股份有限公司</w:t>
            </w:r>
          </w:p>
        </w:tc>
      </w:tr>
      <w:tr w:rsidR="006B5850" w:rsidRPr="006F3005" w:rsidTr="00826848">
        <w:trPr>
          <w:jc w:val="center"/>
        </w:trPr>
        <w:tc>
          <w:tcPr>
            <w:tcW w:w="1680" w:type="pct"/>
            <w:tcMar>
              <w:top w:w="45" w:type="dxa"/>
              <w:left w:w="45" w:type="dxa"/>
              <w:bottom w:w="45" w:type="dxa"/>
              <w:right w:w="45" w:type="dxa"/>
            </w:tcMar>
            <w:vAlign w:val="center"/>
          </w:tcPr>
          <w:p w:rsidR="006B5850" w:rsidRPr="006F3005" w:rsidRDefault="006B5850" w:rsidP="0064796E">
            <w:pPr>
              <w:spacing w:line="312" w:lineRule="auto"/>
              <w:jc w:val="left"/>
              <w:rPr>
                <w:kern w:val="0"/>
                <w:szCs w:val="21"/>
              </w:rPr>
            </w:pPr>
            <w:r w:rsidRPr="006F3005">
              <w:rPr>
                <w:kern w:val="0"/>
                <w:szCs w:val="21"/>
              </w:rPr>
              <w:t>基金注册登记机构名称</w:t>
            </w:r>
          </w:p>
        </w:tc>
        <w:tc>
          <w:tcPr>
            <w:tcW w:w="3320" w:type="pct"/>
            <w:tcMar>
              <w:top w:w="45" w:type="dxa"/>
              <w:left w:w="45" w:type="dxa"/>
              <w:bottom w:w="45" w:type="dxa"/>
              <w:right w:w="45" w:type="dxa"/>
            </w:tcMar>
            <w:vAlign w:val="center"/>
          </w:tcPr>
          <w:p w:rsidR="006B5850" w:rsidRPr="006F3005" w:rsidRDefault="00652D5D" w:rsidP="0064796E">
            <w:pPr>
              <w:spacing w:line="312" w:lineRule="auto"/>
              <w:jc w:val="center"/>
              <w:rPr>
                <w:kern w:val="0"/>
                <w:szCs w:val="21"/>
              </w:rPr>
            </w:pPr>
            <w:r w:rsidRPr="006F3005">
              <w:rPr>
                <w:kern w:val="0"/>
                <w:szCs w:val="21"/>
              </w:rPr>
              <w:t>中国证券登记结算有限责任公司</w:t>
            </w:r>
          </w:p>
        </w:tc>
      </w:tr>
      <w:tr w:rsidR="006B5850" w:rsidRPr="006F3005" w:rsidTr="00826848">
        <w:trPr>
          <w:jc w:val="center"/>
        </w:trPr>
        <w:tc>
          <w:tcPr>
            <w:tcW w:w="1680" w:type="pct"/>
            <w:tcMar>
              <w:top w:w="45" w:type="dxa"/>
              <w:left w:w="45" w:type="dxa"/>
              <w:bottom w:w="45" w:type="dxa"/>
              <w:right w:w="45" w:type="dxa"/>
            </w:tcMar>
            <w:vAlign w:val="center"/>
          </w:tcPr>
          <w:p w:rsidR="006B5850" w:rsidRPr="006F3005" w:rsidRDefault="006B5850" w:rsidP="0064796E">
            <w:pPr>
              <w:spacing w:line="312" w:lineRule="auto"/>
              <w:jc w:val="left"/>
              <w:rPr>
                <w:kern w:val="0"/>
                <w:szCs w:val="21"/>
              </w:rPr>
            </w:pPr>
            <w:r w:rsidRPr="006F3005">
              <w:rPr>
                <w:kern w:val="0"/>
                <w:szCs w:val="21"/>
              </w:rPr>
              <w:t>公告依据</w:t>
            </w:r>
          </w:p>
        </w:tc>
        <w:tc>
          <w:tcPr>
            <w:tcW w:w="3320" w:type="pct"/>
            <w:tcMar>
              <w:top w:w="45" w:type="dxa"/>
              <w:left w:w="45" w:type="dxa"/>
              <w:bottom w:w="45" w:type="dxa"/>
              <w:right w:w="45" w:type="dxa"/>
            </w:tcMar>
            <w:vAlign w:val="center"/>
          </w:tcPr>
          <w:p w:rsidR="006B5850" w:rsidRPr="006F3005" w:rsidRDefault="0048770A" w:rsidP="0064796E">
            <w:pPr>
              <w:spacing w:line="312" w:lineRule="auto"/>
              <w:jc w:val="left"/>
              <w:rPr>
                <w:kern w:val="0"/>
                <w:szCs w:val="21"/>
              </w:rPr>
            </w:pPr>
            <w:r w:rsidRPr="006F3005">
              <w:rPr>
                <w:kern w:val="0"/>
                <w:szCs w:val="21"/>
              </w:rPr>
              <w:t>《中华人民共和国证券投资基金法》、《公开募集证券投资基金运作管理办法》</w:t>
            </w:r>
            <w:r w:rsidR="00EC7ED9" w:rsidRPr="006F3005">
              <w:rPr>
                <w:kern w:val="0"/>
                <w:szCs w:val="21"/>
              </w:rPr>
              <w:t>等法律法规</w:t>
            </w:r>
            <w:r w:rsidRPr="006F3005">
              <w:rPr>
                <w:kern w:val="0"/>
                <w:szCs w:val="21"/>
              </w:rPr>
              <w:t>、《</w:t>
            </w:r>
            <w:r w:rsidR="00112398">
              <w:rPr>
                <w:kern w:val="0"/>
                <w:szCs w:val="21"/>
              </w:rPr>
              <w:t>万家国证新能源车电池交易型开放式指数证券投资基金</w:t>
            </w:r>
            <w:r w:rsidRPr="006F3005">
              <w:rPr>
                <w:kern w:val="0"/>
                <w:szCs w:val="21"/>
              </w:rPr>
              <w:t>基金合同》、《</w:t>
            </w:r>
            <w:r w:rsidR="00112398">
              <w:rPr>
                <w:kern w:val="0"/>
                <w:szCs w:val="21"/>
              </w:rPr>
              <w:t>万家国证新能源车电池交易型开放式指数证券投资基金</w:t>
            </w:r>
            <w:r w:rsidRPr="006F3005">
              <w:rPr>
                <w:kern w:val="0"/>
                <w:szCs w:val="21"/>
              </w:rPr>
              <w:t>招募说明书》</w:t>
            </w:r>
          </w:p>
        </w:tc>
      </w:tr>
      <w:tr w:rsidR="00A711E9" w:rsidRPr="006F3005" w:rsidTr="00826848">
        <w:trPr>
          <w:jc w:val="center"/>
        </w:trPr>
        <w:tc>
          <w:tcPr>
            <w:tcW w:w="1680" w:type="pct"/>
            <w:tcMar>
              <w:top w:w="45" w:type="dxa"/>
              <w:left w:w="45" w:type="dxa"/>
              <w:bottom w:w="45" w:type="dxa"/>
              <w:right w:w="45" w:type="dxa"/>
            </w:tcMar>
            <w:vAlign w:val="center"/>
          </w:tcPr>
          <w:p w:rsidR="00A711E9" w:rsidRPr="006F3005" w:rsidRDefault="00A711E9" w:rsidP="0064796E">
            <w:pPr>
              <w:spacing w:line="312" w:lineRule="auto"/>
              <w:jc w:val="left"/>
              <w:rPr>
                <w:kern w:val="0"/>
                <w:szCs w:val="21"/>
              </w:rPr>
            </w:pPr>
            <w:r w:rsidRPr="006F3005">
              <w:rPr>
                <w:kern w:val="0"/>
                <w:szCs w:val="21"/>
              </w:rPr>
              <w:t>申购起始日</w:t>
            </w:r>
          </w:p>
        </w:tc>
        <w:tc>
          <w:tcPr>
            <w:tcW w:w="3320" w:type="pct"/>
            <w:tcMar>
              <w:top w:w="45" w:type="dxa"/>
              <w:left w:w="45" w:type="dxa"/>
              <w:bottom w:w="45" w:type="dxa"/>
              <w:right w:w="45" w:type="dxa"/>
            </w:tcMar>
            <w:vAlign w:val="center"/>
          </w:tcPr>
          <w:p w:rsidR="00A711E9" w:rsidRPr="006F3005" w:rsidRDefault="00206B70" w:rsidP="00566605">
            <w:pPr>
              <w:spacing w:line="312" w:lineRule="auto"/>
              <w:jc w:val="center"/>
              <w:rPr>
                <w:kern w:val="0"/>
                <w:szCs w:val="21"/>
              </w:rPr>
            </w:pPr>
            <w:r w:rsidRPr="00206B70">
              <w:rPr>
                <w:rFonts w:hint="eastAsia"/>
                <w:kern w:val="0"/>
                <w:szCs w:val="21"/>
              </w:rPr>
              <w:t>2026</w:t>
            </w:r>
            <w:r w:rsidRPr="00206B70">
              <w:rPr>
                <w:rFonts w:hint="eastAsia"/>
                <w:kern w:val="0"/>
                <w:szCs w:val="21"/>
              </w:rPr>
              <w:t>年</w:t>
            </w:r>
            <w:r w:rsidRPr="00206B70">
              <w:rPr>
                <w:rFonts w:hint="eastAsia"/>
                <w:kern w:val="0"/>
                <w:szCs w:val="21"/>
              </w:rPr>
              <w:t>2</w:t>
            </w:r>
            <w:r w:rsidRPr="00206B70">
              <w:rPr>
                <w:rFonts w:hint="eastAsia"/>
                <w:kern w:val="0"/>
                <w:szCs w:val="21"/>
              </w:rPr>
              <w:t>月</w:t>
            </w:r>
            <w:r w:rsidRPr="00206B70">
              <w:rPr>
                <w:rFonts w:hint="eastAsia"/>
                <w:kern w:val="0"/>
                <w:szCs w:val="21"/>
              </w:rPr>
              <w:t>12</w:t>
            </w:r>
            <w:r w:rsidRPr="00206B70">
              <w:rPr>
                <w:rFonts w:hint="eastAsia"/>
                <w:kern w:val="0"/>
                <w:szCs w:val="21"/>
              </w:rPr>
              <w:t>日</w:t>
            </w:r>
          </w:p>
        </w:tc>
      </w:tr>
      <w:tr w:rsidR="006B5850" w:rsidRPr="006F3005" w:rsidTr="00826848">
        <w:trPr>
          <w:jc w:val="center"/>
        </w:trPr>
        <w:tc>
          <w:tcPr>
            <w:tcW w:w="1680" w:type="pct"/>
            <w:tcMar>
              <w:top w:w="45" w:type="dxa"/>
              <w:left w:w="45" w:type="dxa"/>
              <w:bottom w:w="45" w:type="dxa"/>
              <w:right w:w="45" w:type="dxa"/>
            </w:tcMar>
            <w:vAlign w:val="center"/>
          </w:tcPr>
          <w:p w:rsidR="006B5850" w:rsidRPr="006F3005" w:rsidRDefault="006B5850" w:rsidP="0064796E">
            <w:pPr>
              <w:spacing w:line="312" w:lineRule="auto"/>
              <w:jc w:val="left"/>
              <w:rPr>
                <w:kern w:val="0"/>
                <w:szCs w:val="21"/>
              </w:rPr>
            </w:pPr>
            <w:r w:rsidRPr="006F3005">
              <w:rPr>
                <w:kern w:val="0"/>
                <w:szCs w:val="21"/>
              </w:rPr>
              <w:t>赎回起始日</w:t>
            </w:r>
          </w:p>
        </w:tc>
        <w:tc>
          <w:tcPr>
            <w:tcW w:w="3320" w:type="pct"/>
            <w:tcMar>
              <w:top w:w="45" w:type="dxa"/>
              <w:left w:w="45" w:type="dxa"/>
              <w:bottom w:w="45" w:type="dxa"/>
              <w:right w:w="45" w:type="dxa"/>
            </w:tcMar>
            <w:vAlign w:val="center"/>
          </w:tcPr>
          <w:p w:rsidR="006B5850" w:rsidRPr="006F3005" w:rsidRDefault="00206B70" w:rsidP="00566605">
            <w:pPr>
              <w:spacing w:line="312" w:lineRule="auto"/>
              <w:jc w:val="center"/>
              <w:rPr>
                <w:kern w:val="0"/>
                <w:szCs w:val="21"/>
              </w:rPr>
            </w:pPr>
            <w:r w:rsidRPr="00206B70">
              <w:rPr>
                <w:rFonts w:hint="eastAsia"/>
                <w:kern w:val="0"/>
                <w:szCs w:val="21"/>
              </w:rPr>
              <w:t>2026</w:t>
            </w:r>
            <w:r w:rsidRPr="00206B70">
              <w:rPr>
                <w:rFonts w:hint="eastAsia"/>
                <w:kern w:val="0"/>
                <w:szCs w:val="21"/>
              </w:rPr>
              <w:t>年</w:t>
            </w:r>
            <w:r w:rsidRPr="00206B70">
              <w:rPr>
                <w:rFonts w:hint="eastAsia"/>
                <w:kern w:val="0"/>
                <w:szCs w:val="21"/>
              </w:rPr>
              <w:t>2</w:t>
            </w:r>
            <w:r w:rsidRPr="00206B70">
              <w:rPr>
                <w:rFonts w:hint="eastAsia"/>
                <w:kern w:val="0"/>
                <w:szCs w:val="21"/>
              </w:rPr>
              <w:t>月</w:t>
            </w:r>
            <w:r w:rsidRPr="00206B70">
              <w:rPr>
                <w:rFonts w:hint="eastAsia"/>
                <w:kern w:val="0"/>
                <w:szCs w:val="21"/>
              </w:rPr>
              <w:t>12</w:t>
            </w:r>
            <w:r w:rsidRPr="00206B70">
              <w:rPr>
                <w:rFonts w:hint="eastAsia"/>
                <w:kern w:val="0"/>
                <w:szCs w:val="21"/>
              </w:rPr>
              <w:t>日</w:t>
            </w:r>
          </w:p>
        </w:tc>
      </w:tr>
    </w:tbl>
    <w:p w:rsidR="00963904" w:rsidRPr="006F3005" w:rsidRDefault="00963904" w:rsidP="0064796E">
      <w:pPr>
        <w:spacing w:line="360" w:lineRule="auto"/>
        <w:ind w:firstLineChars="200" w:firstLine="422"/>
        <w:rPr>
          <w:b/>
          <w:kern w:val="0"/>
          <w:szCs w:val="21"/>
        </w:rPr>
      </w:pPr>
    </w:p>
    <w:p w:rsidR="00A711E9" w:rsidRPr="006F3005" w:rsidRDefault="00A711E9" w:rsidP="0064796E">
      <w:pPr>
        <w:spacing w:line="360" w:lineRule="auto"/>
        <w:ind w:firstLineChars="200" w:firstLine="422"/>
        <w:rPr>
          <w:b/>
          <w:kern w:val="0"/>
          <w:szCs w:val="21"/>
        </w:rPr>
      </w:pPr>
      <w:r w:rsidRPr="006F3005">
        <w:rPr>
          <w:b/>
          <w:kern w:val="0"/>
          <w:szCs w:val="21"/>
        </w:rPr>
        <w:t>2.</w:t>
      </w:r>
      <w:r w:rsidR="00203F4D" w:rsidRPr="006F3005">
        <w:rPr>
          <w:b/>
          <w:kern w:val="0"/>
          <w:szCs w:val="21"/>
        </w:rPr>
        <w:t>日常</w:t>
      </w:r>
      <w:r w:rsidRPr="006F3005">
        <w:rPr>
          <w:b/>
          <w:kern w:val="0"/>
          <w:szCs w:val="21"/>
        </w:rPr>
        <w:t>申购、赎回业务的办理时间</w:t>
      </w:r>
    </w:p>
    <w:p w:rsidR="00181EB4" w:rsidRPr="006F3005" w:rsidRDefault="00D27F18" w:rsidP="0064796E">
      <w:pPr>
        <w:spacing w:line="360" w:lineRule="auto"/>
        <w:ind w:firstLineChars="200" w:firstLine="420"/>
        <w:rPr>
          <w:kern w:val="0"/>
          <w:szCs w:val="21"/>
        </w:rPr>
      </w:pPr>
      <w:r w:rsidRPr="006F3005">
        <w:t>本基金管理人将于</w:t>
      </w:r>
      <w:r w:rsidR="00206B70" w:rsidRPr="00206B70">
        <w:rPr>
          <w:rFonts w:hint="eastAsia"/>
        </w:rPr>
        <w:t>2026</w:t>
      </w:r>
      <w:r w:rsidR="00206B70" w:rsidRPr="00206B70">
        <w:rPr>
          <w:rFonts w:hint="eastAsia"/>
        </w:rPr>
        <w:t>年</w:t>
      </w:r>
      <w:r w:rsidR="00206B70" w:rsidRPr="00206B70">
        <w:rPr>
          <w:rFonts w:hint="eastAsia"/>
        </w:rPr>
        <w:t>2</w:t>
      </w:r>
      <w:r w:rsidR="00206B70" w:rsidRPr="00206B70">
        <w:rPr>
          <w:rFonts w:hint="eastAsia"/>
        </w:rPr>
        <w:t>月</w:t>
      </w:r>
      <w:r w:rsidR="00206B70" w:rsidRPr="00206B70">
        <w:rPr>
          <w:rFonts w:hint="eastAsia"/>
        </w:rPr>
        <w:t>12</w:t>
      </w:r>
      <w:r w:rsidR="00206B70" w:rsidRPr="00206B70">
        <w:rPr>
          <w:rFonts w:hint="eastAsia"/>
        </w:rPr>
        <w:t>日</w:t>
      </w:r>
      <w:r w:rsidRPr="006F3005">
        <w:t>起开始办理本基金的申购、赎回业务</w:t>
      </w:r>
      <w:r w:rsidRPr="006F3005">
        <w:rPr>
          <w:kern w:val="0"/>
          <w:szCs w:val="21"/>
        </w:rPr>
        <w:t>。</w:t>
      </w:r>
    </w:p>
    <w:p w:rsidR="00F04BD7" w:rsidRDefault="00566605" w:rsidP="00F04BD7">
      <w:pPr>
        <w:spacing w:line="360" w:lineRule="auto"/>
        <w:ind w:firstLineChars="200" w:firstLine="420"/>
        <w:rPr>
          <w:rFonts w:hint="eastAsia"/>
        </w:rPr>
      </w:pPr>
      <w:r w:rsidRPr="00566605">
        <w:rPr>
          <w:rFonts w:hint="eastAsia"/>
        </w:rPr>
        <w:t>投资人在开放日办理基金份额的申购和赎回，具体办理时间为上海证券交易所、深圳证券交易所的正常交易日的交易时间，基金管理人根据法律法规、中国证监会的要求或基金合同的规定公告暂停申购、赎回时除外。</w:t>
      </w:r>
    </w:p>
    <w:p w:rsidR="00566605" w:rsidRDefault="00566605" w:rsidP="0064796E">
      <w:pPr>
        <w:spacing w:line="360" w:lineRule="auto"/>
        <w:ind w:firstLineChars="200" w:firstLine="420"/>
      </w:pPr>
      <w:r w:rsidRPr="00566605">
        <w:rPr>
          <w:rFonts w:hint="eastAsia"/>
        </w:rPr>
        <w:t>基金合同生效后，若出现新的证券</w:t>
      </w:r>
      <w:r w:rsidRPr="00566605">
        <w:rPr>
          <w:rFonts w:hint="eastAsia"/>
        </w:rPr>
        <w:t>/</w:t>
      </w:r>
      <w:r w:rsidRPr="00566605">
        <w:rPr>
          <w:rFonts w:hint="eastAsia"/>
        </w:rPr>
        <w:t>期货交易市场、证券</w:t>
      </w:r>
      <w:r w:rsidRPr="00566605">
        <w:rPr>
          <w:rFonts w:hint="eastAsia"/>
        </w:rPr>
        <w:t>/</w:t>
      </w:r>
      <w:r w:rsidRPr="00566605">
        <w:rPr>
          <w:rFonts w:hint="eastAsia"/>
        </w:rPr>
        <w:t>期货交易所交易时间变更、其他特殊</w:t>
      </w:r>
      <w:r w:rsidRPr="00566605">
        <w:rPr>
          <w:rFonts w:hint="eastAsia"/>
        </w:rPr>
        <w:lastRenderedPageBreak/>
        <w:t>情况或根据业务需要，基金管理人将视情况对前述开放日及开放时间进行相应的调整，但应在调整实施前依照</w:t>
      </w:r>
      <w:r w:rsidRPr="006F3005">
        <w:t>《公开募集证券投资基金信息披露管理办法》（以下简称</w:t>
      </w:r>
      <w:r w:rsidRPr="006F3005">
        <w:t>“</w:t>
      </w:r>
      <w:r w:rsidRPr="006F3005">
        <w:t>《信息披露办法》</w:t>
      </w:r>
      <w:r w:rsidRPr="006F3005">
        <w:t>”</w:t>
      </w:r>
      <w:r w:rsidRPr="006F3005">
        <w:t>）</w:t>
      </w:r>
      <w:r w:rsidRPr="00566605">
        <w:rPr>
          <w:rFonts w:hint="eastAsia"/>
        </w:rPr>
        <w:t>的有关规定在规定媒介上公告。</w:t>
      </w:r>
    </w:p>
    <w:p w:rsidR="00F6379D" w:rsidRPr="006F3005" w:rsidRDefault="00F6379D" w:rsidP="0064796E">
      <w:pPr>
        <w:spacing w:line="360" w:lineRule="auto"/>
        <w:ind w:firstLineChars="196" w:firstLine="413"/>
        <w:rPr>
          <w:b/>
          <w:kern w:val="0"/>
          <w:szCs w:val="21"/>
        </w:rPr>
      </w:pPr>
    </w:p>
    <w:p w:rsidR="00A711E9" w:rsidRPr="0064796E" w:rsidRDefault="00A711E9" w:rsidP="0064796E">
      <w:pPr>
        <w:spacing w:line="360" w:lineRule="auto"/>
        <w:ind w:firstLineChars="200" w:firstLine="422"/>
        <w:rPr>
          <w:b/>
          <w:szCs w:val="21"/>
        </w:rPr>
      </w:pPr>
      <w:r w:rsidRPr="0064796E">
        <w:rPr>
          <w:b/>
          <w:szCs w:val="21"/>
        </w:rPr>
        <w:t>3.</w:t>
      </w:r>
      <w:r w:rsidR="004772D4" w:rsidRPr="0064796E">
        <w:rPr>
          <w:rFonts w:hint="eastAsia"/>
          <w:b/>
          <w:szCs w:val="21"/>
        </w:rPr>
        <w:t>日常</w:t>
      </w:r>
      <w:r w:rsidRPr="0064796E">
        <w:rPr>
          <w:b/>
          <w:szCs w:val="21"/>
        </w:rPr>
        <w:t>申购业务</w:t>
      </w:r>
    </w:p>
    <w:p w:rsidR="00A711E9" w:rsidRPr="0064796E" w:rsidRDefault="00A711E9" w:rsidP="0064796E">
      <w:pPr>
        <w:spacing w:line="360" w:lineRule="auto"/>
        <w:ind w:firstLineChars="200" w:firstLine="422"/>
        <w:rPr>
          <w:b/>
          <w:szCs w:val="21"/>
        </w:rPr>
      </w:pPr>
      <w:r w:rsidRPr="0064796E">
        <w:rPr>
          <w:b/>
          <w:szCs w:val="21"/>
        </w:rPr>
        <w:t>3.1</w:t>
      </w:r>
      <w:r w:rsidRPr="0064796E">
        <w:rPr>
          <w:b/>
          <w:szCs w:val="21"/>
        </w:rPr>
        <w:t>申购</w:t>
      </w:r>
      <w:r w:rsidR="000D3E02">
        <w:rPr>
          <w:rFonts w:hint="eastAsia"/>
          <w:b/>
          <w:szCs w:val="21"/>
        </w:rPr>
        <w:t>的数量</w:t>
      </w:r>
      <w:r w:rsidRPr="0064796E">
        <w:rPr>
          <w:b/>
          <w:szCs w:val="21"/>
        </w:rPr>
        <w:t>限制</w:t>
      </w:r>
    </w:p>
    <w:p w:rsidR="007B69E6" w:rsidRPr="007B69E6" w:rsidRDefault="007B69E6" w:rsidP="007B69E6">
      <w:pPr>
        <w:spacing w:line="360" w:lineRule="auto"/>
        <w:ind w:firstLineChars="200" w:firstLine="420"/>
        <w:rPr>
          <w:rFonts w:hint="eastAsia"/>
          <w:szCs w:val="21"/>
        </w:rPr>
      </w:pPr>
      <w:r>
        <w:rPr>
          <w:rFonts w:hint="eastAsia"/>
          <w:szCs w:val="21"/>
        </w:rPr>
        <w:t>（</w:t>
      </w:r>
      <w:r w:rsidRPr="007B69E6">
        <w:rPr>
          <w:rFonts w:hint="eastAsia"/>
          <w:szCs w:val="21"/>
        </w:rPr>
        <w:t>1</w:t>
      </w:r>
      <w:r>
        <w:rPr>
          <w:rFonts w:hint="eastAsia"/>
          <w:szCs w:val="21"/>
        </w:rPr>
        <w:t>）</w:t>
      </w:r>
      <w:r w:rsidRPr="007B69E6">
        <w:rPr>
          <w:rFonts w:hint="eastAsia"/>
          <w:szCs w:val="21"/>
        </w:rPr>
        <w:t>投资人申购的基金份额需为最小申购、赎回单位的整数倍。本基金</w:t>
      </w:r>
      <w:r w:rsidR="00921C50">
        <w:rPr>
          <w:rFonts w:hint="eastAsia"/>
          <w:szCs w:val="21"/>
        </w:rPr>
        <w:t>目前</w:t>
      </w:r>
      <w:r w:rsidRPr="007B69E6">
        <w:rPr>
          <w:rFonts w:hint="eastAsia"/>
          <w:szCs w:val="21"/>
        </w:rPr>
        <w:t>的最小申购、赎回单位</w:t>
      </w:r>
      <w:r w:rsidR="003F5AA1" w:rsidRPr="003F5AA1">
        <w:rPr>
          <w:rFonts w:hint="eastAsia"/>
          <w:szCs w:val="21"/>
        </w:rPr>
        <w:t>为</w:t>
      </w:r>
      <w:r w:rsidR="003F5AA1" w:rsidRPr="003F5AA1">
        <w:rPr>
          <w:rFonts w:hint="eastAsia"/>
          <w:szCs w:val="21"/>
        </w:rPr>
        <w:t>100</w:t>
      </w:r>
      <w:r w:rsidR="003F5AA1" w:rsidRPr="003F5AA1">
        <w:rPr>
          <w:rFonts w:hint="eastAsia"/>
          <w:szCs w:val="21"/>
        </w:rPr>
        <w:t>万份基金份额</w:t>
      </w:r>
      <w:r w:rsidRPr="007B69E6">
        <w:rPr>
          <w:rFonts w:hint="eastAsia"/>
          <w:szCs w:val="21"/>
        </w:rPr>
        <w:t>。基金管理人可根据市场情况、市场变化以及投资者需求等因素对其进行调整，并在调整实施前依照《信息披露办法》的有关规定在规定媒介上公告。</w:t>
      </w:r>
    </w:p>
    <w:p w:rsidR="007B69E6" w:rsidRPr="007B69E6" w:rsidRDefault="007B69E6" w:rsidP="007B69E6">
      <w:pPr>
        <w:spacing w:line="360" w:lineRule="auto"/>
        <w:ind w:firstLineChars="200" w:firstLine="420"/>
        <w:rPr>
          <w:rFonts w:hint="eastAsia"/>
          <w:szCs w:val="21"/>
        </w:rPr>
      </w:pPr>
      <w:r>
        <w:rPr>
          <w:rFonts w:hint="eastAsia"/>
          <w:szCs w:val="21"/>
        </w:rPr>
        <w:t>（</w:t>
      </w:r>
      <w:r w:rsidRPr="007B69E6">
        <w:rPr>
          <w:rFonts w:hint="eastAsia"/>
          <w:szCs w:val="21"/>
        </w:rPr>
        <w:t>2</w:t>
      </w:r>
      <w:r>
        <w:rPr>
          <w:rFonts w:hint="eastAsia"/>
          <w:szCs w:val="21"/>
        </w:rPr>
        <w:t>）</w:t>
      </w:r>
      <w:r w:rsidRPr="007B69E6">
        <w:rPr>
          <w:rFonts w:hint="eastAsia"/>
          <w:szCs w:val="21"/>
        </w:rPr>
        <w:t>基金管理人可设定申购份额上限，以对当日的申购总规模进行控制，具体规定请参见更新的招募说明书或相关公告。</w:t>
      </w:r>
    </w:p>
    <w:p w:rsidR="007B69E6" w:rsidRPr="007B69E6" w:rsidRDefault="007B69E6" w:rsidP="007B69E6">
      <w:pPr>
        <w:spacing w:line="360" w:lineRule="auto"/>
        <w:ind w:firstLineChars="200" w:firstLine="420"/>
        <w:rPr>
          <w:rFonts w:hint="eastAsia"/>
          <w:szCs w:val="21"/>
        </w:rPr>
      </w:pPr>
      <w:r>
        <w:rPr>
          <w:rFonts w:hint="eastAsia"/>
          <w:szCs w:val="21"/>
        </w:rPr>
        <w:t>（</w:t>
      </w:r>
      <w:r w:rsidR="00B122C3">
        <w:rPr>
          <w:szCs w:val="21"/>
        </w:rPr>
        <w:t>3</w:t>
      </w:r>
      <w:r>
        <w:rPr>
          <w:rFonts w:hint="eastAsia"/>
          <w:szCs w:val="21"/>
        </w:rPr>
        <w:t>）</w:t>
      </w:r>
      <w:r w:rsidRPr="007B69E6">
        <w:rPr>
          <w:rFonts w:hint="eastAsia"/>
          <w:szCs w:val="21"/>
        </w:rPr>
        <w:t>基金管理人可以规定单个投资人累计持有的基金份额上限、单日或单笔申购份额上限和净申购比例上限，具体规定请参见更新的招募说明书或相关公告。</w:t>
      </w:r>
    </w:p>
    <w:p w:rsidR="007B69E6" w:rsidRPr="007B69E6" w:rsidRDefault="007B69E6" w:rsidP="007B69E6">
      <w:pPr>
        <w:spacing w:line="360" w:lineRule="auto"/>
        <w:ind w:firstLineChars="200" w:firstLine="420"/>
        <w:rPr>
          <w:rFonts w:hint="eastAsia"/>
          <w:szCs w:val="21"/>
        </w:rPr>
      </w:pPr>
      <w:r>
        <w:rPr>
          <w:rFonts w:hint="eastAsia"/>
          <w:szCs w:val="21"/>
        </w:rPr>
        <w:t>（</w:t>
      </w:r>
      <w:r w:rsidR="00B122C3">
        <w:rPr>
          <w:szCs w:val="21"/>
        </w:rPr>
        <w:t>4</w:t>
      </w:r>
      <w:r>
        <w:rPr>
          <w:rFonts w:hint="eastAsia"/>
          <w:szCs w:val="21"/>
        </w:rPr>
        <w:t>）</w:t>
      </w:r>
      <w:r w:rsidRPr="007B69E6">
        <w:rPr>
          <w:rFonts w:hint="eastAsia"/>
          <w:szCs w:val="21"/>
        </w:rPr>
        <w:t>当接受申购申请对存量基金份额持有人利益构成潜在重大不利影响时，基金管理人可以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F229A4" w:rsidRPr="00840DCA" w:rsidRDefault="007B69E6" w:rsidP="0064796E">
      <w:pPr>
        <w:spacing w:line="360" w:lineRule="auto"/>
        <w:ind w:firstLineChars="200" w:firstLine="420"/>
        <w:rPr>
          <w:szCs w:val="21"/>
        </w:rPr>
      </w:pPr>
      <w:r>
        <w:rPr>
          <w:rFonts w:hint="eastAsia"/>
          <w:szCs w:val="21"/>
        </w:rPr>
        <w:t>（</w:t>
      </w:r>
      <w:r w:rsidR="00B122C3">
        <w:rPr>
          <w:szCs w:val="21"/>
        </w:rPr>
        <w:t>5</w:t>
      </w:r>
      <w:r>
        <w:rPr>
          <w:rFonts w:hint="eastAsia"/>
          <w:szCs w:val="21"/>
        </w:rPr>
        <w:t>）</w:t>
      </w:r>
      <w:r w:rsidRPr="007B69E6">
        <w:rPr>
          <w:rFonts w:hint="eastAsia"/>
          <w:szCs w:val="21"/>
        </w:rPr>
        <w:t>基金管理人可根据基金运作情况、市场情况和投资人需求，在法律法规允许的情况下，调整上述规定申购的数量或比例限制，或者新增基金规模控制措施。基金管理人必须在调整实施前依照《信息披露办法》的有关规定在规定媒介上公告。</w:t>
      </w:r>
    </w:p>
    <w:p w:rsidR="00A711E9" w:rsidRPr="00840DCA" w:rsidRDefault="00A711E9" w:rsidP="0064796E">
      <w:pPr>
        <w:spacing w:line="360" w:lineRule="auto"/>
        <w:ind w:firstLineChars="200" w:firstLine="422"/>
        <w:rPr>
          <w:b/>
          <w:szCs w:val="21"/>
        </w:rPr>
      </w:pPr>
      <w:r w:rsidRPr="00840DCA">
        <w:rPr>
          <w:b/>
          <w:szCs w:val="21"/>
        </w:rPr>
        <w:t>3.2</w:t>
      </w:r>
      <w:r w:rsidRPr="00840DCA">
        <w:rPr>
          <w:b/>
          <w:szCs w:val="21"/>
        </w:rPr>
        <w:t>申购费率</w:t>
      </w:r>
    </w:p>
    <w:p w:rsidR="00904B5E" w:rsidRPr="00840DCA" w:rsidRDefault="007B69E6" w:rsidP="0064796E">
      <w:pPr>
        <w:spacing w:line="360" w:lineRule="auto"/>
        <w:ind w:firstLineChars="200" w:firstLine="420"/>
        <w:rPr>
          <w:szCs w:val="21"/>
        </w:rPr>
      </w:pPr>
      <w:r w:rsidRPr="007B69E6">
        <w:rPr>
          <w:rFonts w:hint="eastAsia"/>
          <w:szCs w:val="21"/>
        </w:rPr>
        <w:t>投资者在申购基金份额时，申购赎回代理券商可按照不超过</w:t>
      </w:r>
      <w:r w:rsidRPr="007B69E6">
        <w:rPr>
          <w:rFonts w:hint="eastAsia"/>
          <w:szCs w:val="21"/>
        </w:rPr>
        <w:t>0.50%</w:t>
      </w:r>
      <w:r w:rsidRPr="007B69E6">
        <w:rPr>
          <w:rFonts w:hint="eastAsia"/>
          <w:szCs w:val="21"/>
        </w:rPr>
        <w:t>的标准收取佣金，其中包含证券交易所、登记机构等收取的相关费用。</w:t>
      </w:r>
    </w:p>
    <w:p w:rsidR="00F6379D" w:rsidRPr="00840DCA" w:rsidRDefault="00F6379D" w:rsidP="0064796E">
      <w:pPr>
        <w:spacing w:line="360" w:lineRule="auto"/>
        <w:ind w:firstLineChars="200" w:firstLine="420"/>
        <w:rPr>
          <w:kern w:val="0"/>
          <w:szCs w:val="21"/>
        </w:rPr>
      </w:pPr>
    </w:p>
    <w:p w:rsidR="00A711E9" w:rsidRPr="00840DCA" w:rsidRDefault="00A711E9" w:rsidP="0064796E">
      <w:pPr>
        <w:spacing w:line="360" w:lineRule="auto"/>
        <w:ind w:firstLineChars="200" w:firstLine="422"/>
        <w:rPr>
          <w:b/>
          <w:kern w:val="0"/>
          <w:szCs w:val="21"/>
        </w:rPr>
      </w:pPr>
      <w:r w:rsidRPr="00840DCA">
        <w:rPr>
          <w:b/>
          <w:kern w:val="0"/>
          <w:szCs w:val="21"/>
        </w:rPr>
        <w:t>4.</w:t>
      </w:r>
      <w:r w:rsidR="00CC529C" w:rsidRPr="00840DCA">
        <w:rPr>
          <w:rFonts w:hint="eastAsia"/>
          <w:b/>
          <w:kern w:val="0"/>
          <w:szCs w:val="21"/>
        </w:rPr>
        <w:t>日常</w:t>
      </w:r>
      <w:r w:rsidRPr="00840DCA">
        <w:rPr>
          <w:b/>
          <w:kern w:val="0"/>
          <w:szCs w:val="21"/>
        </w:rPr>
        <w:t>赎回业务</w:t>
      </w:r>
    </w:p>
    <w:p w:rsidR="00A711E9" w:rsidRPr="00840DCA" w:rsidRDefault="00A711E9" w:rsidP="0064796E">
      <w:pPr>
        <w:spacing w:line="360" w:lineRule="auto"/>
        <w:ind w:firstLineChars="200" w:firstLine="422"/>
        <w:rPr>
          <w:b/>
          <w:kern w:val="0"/>
          <w:szCs w:val="21"/>
        </w:rPr>
      </w:pPr>
      <w:r w:rsidRPr="00840DCA">
        <w:rPr>
          <w:b/>
          <w:kern w:val="0"/>
          <w:szCs w:val="21"/>
        </w:rPr>
        <w:t>4.1</w:t>
      </w:r>
      <w:r w:rsidRPr="00840DCA">
        <w:rPr>
          <w:b/>
          <w:kern w:val="0"/>
          <w:szCs w:val="21"/>
        </w:rPr>
        <w:t>赎回</w:t>
      </w:r>
      <w:r w:rsidR="000D3E02" w:rsidRPr="00840DCA">
        <w:rPr>
          <w:rFonts w:hint="eastAsia"/>
          <w:b/>
          <w:kern w:val="0"/>
          <w:szCs w:val="21"/>
        </w:rPr>
        <w:t>的数量</w:t>
      </w:r>
      <w:r w:rsidRPr="00840DCA">
        <w:rPr>
          <w:b/>
          <w:kern w:val="0"/>
          <w:szCs w:val="21"/>
        </w:rPr>
        <w:t>限制</w:t>
      </w:r>
    </w:p>
    <w:p w:rsidR="00B122C3" w:rsidRDefault="00B122C3" w:rsidP="00B122C3">
      <w:pPr>
        <w:spacing w:line="360" w:lineRule="auto"/>
        <w:ind w:firstLineChars="200" w:firstLine="420"/>
        <w:rPr>
          <w:rFonts w:hint="eastAsia"/>
        </w:rPr>
      </w:pPr>
      <w:r>
        <w:rPr>
          <w:rFonts w:hint="eastAsia"/>
        </w:rPr>
        <w:t>（</w:t>
      </w:r>
      <w:r>
        <w:rPr>
          <w:rFonts w:hint="eastAsia"/>
        </w:rPr>
        <w:t>1</w:t>
      </w:r>
      <w:r>
        <w:rPr>
          <w:rFonts w:hint="eastAsia"/>
        </w:rPr>
        <w:t>）投资人赎回的基金份额需为最小申购、赎回单位的整数倍。本基金</w:t>
      </w:r>
      <w:r w:rsidR="00921C50">
        <w:rPr>
          <w:rFonts w:hint="eastAsia"/>
          <w:szCs w:val="21"/>
        </w:rPr>
        <w:t>目前</w:t>
      </w:r>
      <w:r w:rsidR="00921C50" w:rsidRPr="007B69E6">
        <w:rPr>
          <w:rFonts w:hint="eastAsia"/>
          <w:szCs w:val="21"/>
        </w:rPr>
        <w:t>的最小申购、赎回单位</w:t>
      </w:r>
      <w:r w:rsidR="00921C50" w:rsidRPr="003F5AA1">
        <w:rPr>
          <w:rFonts w:hint="eastAsia"/>
          <w:szCs w:val="21"/>
        </w:rPr>
        <w:t>为</w:t>
      </w:r>
      <w:r w:rsidR="00921C50" w:rsidRPr="003F5AA1">
        <w:rPr>
          <w:rFonts w:hint="eastAsia"/>
          <w:szCs w:val="21"/>
        </w:rPr>
        <w:t>100</w:t>
      </w:r>
      <w:r w:rsidR="00921C50" w:rsidRPr="003F5AA1">
        <w:rPr>
          <w:rFonts w:hint="eastAsia"/>
          <w:szCs w:val="21"/>
        </w:rPr>
        <w:t>万份基金份额</w:t>
      </w:r>
      <w:r>
        <w:rPr>
          <w:rFonts w:hint="eastAsia"/>
        </w:rPr>
        <w:t>。基金管理人可根据市场情况、市场变化以及投资者需求等因素对其</w:t>
      </w:r>
      <w:r>
        <w:rPr>
          <w:rFonts w:hint="eastAsia"/>
        </w:rPr>
        <w:lastRenderedPageBreak/>
        <w:t>进行调整，并在调整实施前依照《信息披露办法》的有关规定在规定媒介上公告。</w:t>
      </w:r>
    </w:p>
    <w:p w:rsidR="00B122C3" w:rsidRDefault="00B122C3" w:rsidP="00B122C3">
      <w:pPr>
        <w:spacing w:line="360" w:lineRule="auto"/>
        <w:ind w:firstLineChars="200" w:firstLine="420"/>
        <w:rPr>
          <w:rFonts w:hint="eastAsia"/>
        </w:rPr>
      </w:pPr>
      <w:r>
        <w:rPr>
          <w:rFonts w:hint="eastAsia"/>
        </w:rPr>
        <w:t>（</w:t>
      </w:r>
      <w:r>
        <w:rPr>
          <w:rFonts w:hint="eastAsia"/>
        </w:rPr>
        <w:t>2</w:t>
      </w:r>
      <w:r>
        <w:rPr>
          <w:rFonts w:hint="eastAsia"/>
        </w:rPr>
        <w:t>）基金管理人可设定赎回份额上限，以对当日的赎回总规模进行控制，具体规定请参见更新的招募说明书或相关公告。</w:t>
      </w:r>
    </w:p>
    <w:p w:rsidR="00B122C3" w:rsidRDefault="00B122C3" w:rsidP="00B122C3">
      <w:pPr>
        <w:spacing w:line="360" w:lineRule="auto"/>
        <w:ind w:firstLineChars="200" w:firstLine="420"/>
        <w:rPr>
          <w:rFonts w:hint="eastAsia"/>
        </w:rPr>
      </w:pPr>
      <w:r>
        <w:rPr>
          <w:rFonts w:hint="eastAsia"/>
        </w:rPr>
        <w:t>（</w:t>
      </w:r>
      <w:r>
        <w:rPr>
          <w:rFonts w:hint="eastAsia"/>
        </w:rPr>
        <w:t>3</w:t>
      </w:r>
      <w:r>
        <w:rPr>
          <w:rFonts w:hint="eastAsia"/>
        </w:rPr>
        <w:t>）基金管理人可以规定投资人每个交易账户的最低基金份额余额，具体规定请参见更新的招募说明书或相关公告。</w:t>
      </w:r>
    </w:p>
    <w:p w:rsidR="00F6379D" w:rsidRPr="006F3005" w:rsidRDefault="00B122C3" w:rsidP="00B122C3">
      <w:pPr>
        <w:spacing w:line="360" w:lineRule="auto"/>
        <w:ind w:firstLineChars="200" w:firstLine="420"/>
      </w:pPr>
      <w:r>
        <w:rPr>
          <w:rFonts w:hint="eastAsia"/>
        </w:rPr>
        <w:t>（</w:t>
      </w:r>
      <w:r>
        <w:rPr>
          <w:rFonts w:hint="eastAsia"/>
        </w:rPr>
        <w:t>4</w:t>
      </w:r>
      <w:r>
        <w:rPr>
          <w:rFonts w:hint="eastAsia"/>
        </w:rPr>
        <w:t>）基金管理人可根据基金运作情况、市场情况和投资人需求，在法律法规允许的情况下，调整上述规定赎回的数量或比例限制，或者新增基金规模控制措施。基金管理人必须在调整实施前依照《信息披露办法》的有关规定在规定媒介上公告。</w:t>
      </w:r>
    </w:p>
    <w:p w:rsidR="00A711E9" w:rsidRPr="006F3005" w:rsidRDefault="00A711E9" w:rsidP="0064796E">
      <w:pPr>
        <w:spacing w:line="360" w:lineRule="auto"/>
        <w:ind w:firstLineChars="200" w:firstLine="422"/>
        <w:rPr>
          <w:b/>
          <w:kern w:val="0"/>
          <w:szCs w:val="21"/>
        </w:rPr>
      </w:pPr>
      <w:r w:rsidRPr="006F3005">
        <w:rPr>
          <w:b/>
          <w:kern w:val="0"/>
          <w:szCs w:val="21"/>
        </w:rPr>
        <w:t>4.2</w:t>
      </w:r>
      <w:r w:rsidRPr="006F3005">
        <w:rPr>
          <w:b/>
          <w:kern w:val="0"/>
          <w:szCs w:val="21"/>
        </w:rPr>
        <w:t>赎回费率</w:t>
      </w:r>
    </w:p>
    <w:p w:rsidR="0045373B" w:rsidRPr="008B5DC6" w:rsidRDefault="00610F8C" w:rsidP="0064796E">
      <w:pPr>
        <w:spacing w:line="360" w:lineRule="auto"/>
        <w:ind w:firstLineChars="200" w:firstLine="420"/>
      </w:pPr>
      <w:r w:rsidRPr="00610F8C">
        <w:rPr>
          <w:rFonts w:hint="eastAsia"/>
        </w:rPr>
        <w:t>投资者在</w:t>
      </w:r>
      <w:r>
        <w:rPr>
          <w:rFonts w:hint="eastAsia"/>
        </w:rPr>
        <w:t>赎回</w:t>
      </w:r>
      <w:r w:rsidRPr="00610F8C">
        <w:rPr>
          <w:rFonts w:hint="eastAsia"/>
        </w:rPr>
        <w:t>基金份额时，申购赎回代理券商可按照不超过</w:t>
      </w:r>
      <w:r w:rsidRPr="00610F8C">
        <w:rPr>
          <w:rFonts w:hint="eastAsia"/>
        </w:rPr>
        <w:t>0.50%</w:t>
      </w:r>
      <w:r w:rsidRPr="00610F8C">
        <w:rPr>
          <w:rFonts w:hint="eastAsia"/>
        </w:rPr>
        <w:t>的标准收取佣金，其中包含证券交易所、登记机构等收取的相关费用。</w:t>
      </w:r>
    </w:p>
    <w:p w:rsidR="0042053A" w:rsidRPr="006F3005" w:rsidRDefault="0042053A" w:rsidP="0064796E">
      <w:pPr>
        <w:spacing w:line="360" w:lineRule="auto"/>
        <w:rPr>
          <w:kern w:val="0"/>
          <w:szCs w:val="21"/>
        </w:rPr>
      </w:pPr>
    </w:p>
    <w:p w:rsidR="00A711E9" w:rsidRPr="006F3005" w:rsidRDefault="00B861E8" w:rsidP="0064796E">
      <w:pPr>
        <w:spacing w:line="360" w:lineRule="auto"/>
        <w:ind w:firstLineChars="200" w:firstLine="422"/>
        <w:rPr>
          <w:kern w:val="0"/>
          <w:szCs w:val="21"/>
        </w:rPr>
      </w:pPr>
      <w:r>
        <w:rPr>
          <w:b/>
          <w:bCs/>
          <w:kern w:val="0"/>
          <w:szCs w:val="21"/>
        </w:rPr>
        <w:t>5</w:t>
      </w:r>
      <w:r w:rsidR="00A711E9" w:rsidRPr="006F3005">
        <w:rPr>
          <w:b/>
          <w:bCs/>
          <w:kern w:val="0"/>
          <w:szCs w:val="21"/>
        </w:rPr>
        <w:t>.</w:t>
      </w:r>
      <w:r w:rsidR="00A711E9" w:rsidRPr="006F3005">
        <w:rPr>
          <w:b/>
          <w:bCs/>
          <w:kern w:val="0"/>
          <w:szCs w:val="21"/>
        </w:rPr>
        <w:t>基金销售机构</w:t>
      </w:r>
    </w:p>
    <w:p w:rsidR="00181E0E" w:rsidRDefault="00181E0E" w:rsidP="0064796E">
      <w:pPr>
        <w:spacing w:line="360" w:lineRule="auto"/>
        <w:ind w:firstLineChars="200" w:firstLine="420"/>
        <w:rPr>
          <w:kern w:val="0"/>
          <w:szCs w:val="21"/>
        </w:rPr>
      </w:pPr>
      <w:r w:rsidRPr="006F3005">
        <w:rPr>
          <w:kern w:val="0"/>
          <w:szCs w:val="21"/>
        </w:rPr>
        <w:t>本基金</w:t>
      </w:r>
      <w:r w:rsidR="00D04F24" w:rsidRPr="00D04F24">
        <w:rPr>
          <w:rFonts w:hint="eastAsia"/>
          <w:kern w:val="0"/>
          <w:szCs w:val="21"/>
        </w:rPr>
        <w:t>申购赎回代理券商</w:t>
      </w:r>
      <w:r w:rsidR="00D04F24">
        <w:rPr>
          <w:rFonts w:hint="eastAsia"/>
          <w:kern w:val="0"/>
          <w:szCs w:val="21"/>
        </w:rPr>
        <w:t>如下：</w:t>
      </w:r>
    </w:p>
    <w:p w:rsidR="005450FA" w:rsidRPr="0062603F" w:rsidRDefault="00C0402E" w:rsidP="0062603F">
      <w:pPr>
        <w:spacing w:line="360" w:lineRule="auto"/>
        <w:ind w:firstLineChars="200" w:firstLine="420"/>
        <w:rPr>
          <w:rFonts w:hint="eastAsia"/>
          <w:kern w:val="0"/>
          <w:szCs w:val="21"/>
        </w:rPr>
      </w:pPr>
      <w:r w:rsidRPr="00C0402E">
        <w:rPr>
          <w:rFonts w:hint="eastAsia"/>
          <w:kern w:val="0"/>
          <w:szCs w:val="21"/>
        </w:rPr>
        <w:t>渤海证券股份有限公司、财通证券股份有限公司、长城证券股份有限公司、长江证券股份有限公司、德邦证券股份有限公司、东北证券股份有限公司、东方证券股份有限公司、东方财富证券股份有限公司、东莞证券股份有限公司、东海证券股份有限公司、东吴证券股份有限公司、东兴证券股份有限公司、方正证券股份有限公司、光大证券股份有限公司、广发证券股份有限公司、国海证券股份有限公司</w:t>
      </w:r>
      <w:r w:rsidRPr="00C0402E">
        <w:rPr>
          <w:rFonts w:hint="eastAsia"/>
          <w:kern w:val="0"/>
          <w:szCs w:val="21"/>
        </w:rPr>
        <w:t xml:space="preserve"> </w:t>
      </w:r>
      <w:r w:rsidRPr="00C0402E">
        <w:rPr>
          <w:rFonts w:hint="eastAsia"/>
          <w:kern w:val="0"/>
          <w:szCs w:val="21"/>
        </w:rPr>
        <w:t>、国金证券股份有限公司、国联民生证券股份有限公司、国盛证券有限责任公司、国泰海通证券股份有限公司、国投证券股份有限公司、国新证券股份有限公司、国信证券股份有限公司、红塔证券股份有限公司、华宝证券股份有限公司、华创证券有限责任公司、华福证券有限责任公司、华泰证券股份有限公司、华西证券股份有限公司、华鑫证券有限责任公司、金融街证券股份有限公司、江海证券有限公司、联储证券股份有限公司、民生证券股份有限公司、南京证券股份有限公司、平安证券股份有限公司、山西证券股份有限公司、申万宏源西部证券有限公司、申万宏源证券有限公司、万联证券股份有限公司、西部证券股份有限公司、西南证券股份有限公司</w:t>
      </w:r>
      <w:r w:rsidRPr="00C0402E">
        <w:rPr>
          <w:rFonts w:hint="eastAsia"/>
          <w:kern w:val="0"/>
          <w:szCs w:val="21"/>
        </w:rPr>
        <w:t xml:space="preserve"> </w:t>
      </w:r>
      <w:r w:rsidRPr="00C0402E">
        <w:rPr>
          <w:rFonts w:hint="eastAsia"/>
          <w:kern w:val="0"/>
          <w:szCs w:val="21"/>
        </w:rPr>
        <w:t>、湘财证券股份有限公司、兴业证券股份有限公司、甬兴证券有限公司、招商证券股份有限公司、浙商证券股份有限公司、中国国际金融股份有限公司、中国银河证券股份有限公司、中国中金财富证券有限公司、中泰证券股份有限公司、中信建投证券股份有限公司、中信证券（山东）有限责任公司、中信证券股份有限公司以及中信证券华南股份有限公司。</w:t>
      </w:r>
    </w:p>
    <w:p w:rsidR="009B116F" w:rsidRPr="006F3005" w:rsidRDefault="00D04F24" w:rsidP="0064796E">
      <w:pPr>
        <w:spacing w:line="360" w:lineRule="auto"/>
        <w:ind w:firstLineChars="200" w:firstLine="420"/>
        <w:rPr>
          <w:kern w:val="0"/>
          <w:szCs w:val="21"/>
        </w:rPr>
      </w:pPr>
      <w:r w:rsidRPr="00D04F24">
        <w:rPr>
          <w:rFonts w:hint="eastAsia"/>
          <w:kern w:val="0"/>
          <w:szCs w:val="21"/>
        </w:rPr>
        <w:t>本基金如有</w:t>
      </w:r>
      <w:r w:rsidR="000A463D" w:rsidRPr="00D04F24">
        <w:rPr>
          <w:rFonts w:hint="eastAsia"/>
          <w:kern w:val="0"/>
          <w:szCs w:val="21"/>
        </w:rPr>
        <w:t>申购赎回代理券商</w:t>
      </w:r>
      <w:r w:rsidRPr="00D04F24">
        <w:rPr>
          <w:rFonts w:hint="eastAsia"/>
          <w:kern w:val="0"/>
          <w:szCs w:val="21"/>
        </w:rPr>
        <w:t>的变更，将另行公告。</w:t>
      </w:r>
    </w:p>
    <w:p w:rsidR="008B2148" w:rsidRPr="006F3005" w:rsidRDefault="008B2148" w:rsidP="0064796E">
      <w:pPr>
        <w:spacing w:line="360" w:lineRule="auto"/>
        <w:ind w:firstLineChars="200" w:firstLine="420"/>
        <w:rPr>
          <w:kern w:val="0"/>
          <w:szCs w:val="21"/>
        </w:rPr>
      </w:pPr>
    </w:p>
    <w:p w:rsidR="00A711E9" w:rsidRPr="006F3005" w:rsidRDefault="00252FE0" w:rsidP="0064796E">
      <w:pPr>
        <w:spacing w:line="360" w:lineRule="auto"/>
        <w:ind w:firstLineChars="200" w:firstLine="422"/>
        <w:rPr>
          <w:b/>
          <w:bCs/>
          <w:kern w:val="0"/>
          <w:szCs w:val="21"/>
        </w:rPr>
      </w:pPr>
      <w:r>
        <w:rPr>
          <w:b/>
          <w:bCs/>
          <w:kern w:val="0"/>
          <w:szCs w:val="21"/>
        </w:rPr>
        <w:t>6</w:t>
      </w:r>
      <w:r w:rsidR="00F36FAD">
        <w:rPr>
          <w:rFonts w:hint="eastAsia"/>
          <w:b/>
          <w:bCs/>
          <w:kern w:val="0"/>
          <w:szCs w:val="21"/>
        </w:rPr>
        <w:t>.</w:t>
      </w:r>
      <w:r w:rsidR="00A711E9" w:rsidRPr="006F3005">
        <w:rPr>
          <w:b/>
          <w:bCs/>
          <w:kern w:val="0"/>
          <w:szCs w:val="21"/>
        </w:rPr>
        <w:t>基金份额净值公告的披露安排</w:t>
      </w:r>
    </w:p>
    <w:p w:rsidR="00610F8C" w:rsidRPr="00610F8C" w:rsidRDefault="005332A5" w:rsidP="00610F8C">
      <w:pPr>
        <w:spacing w:line="360" w:lineRule="auto"/>
        <w:ind w:firstLineChars="200" w:firstLine="420"/>
        <w:rPr>
          <w:rFonts w:hint="eastAsia"/>
          <w:kern w:val="0"/>
          <w:szCs w:val="21"/>
        </w:rPr>
      </w:pPr>
      <w:r w:rsidRPr="006F3005">
        <w:rPr>
          <w:kern w:val="0"/>
          <w:szCs w:val="21"/>
        </w:rPr>
        <w:t>自</w:t>
      </w:r>
      <w:r w:rsidR="00BC7B71" w:rsidRPr="00BC7B71">
        <w:rPr>
          <w:rFonts w:hint="eastAsia"/>
          <w:kern w:val="0"/>
          <w:szCs w:val="21"/>
        </w:rPr>
        <w:t>2026</w:t>
      </w:r>
      <w:r w:rsidR="00BC7B71" w:rsidRPr="00BC7B71">
        <w:rPr>
          <w:rFonts w:hint="eastAsia"/>
          <w:kern w:val="0"/>
          <w:szCs w:val="21"/>
        </w:rPr>
        <w:t>年</w:t>
      </w:r>
      <w:r w:rsidR="00BC7B71" w:rsidRPr="00BC7B71">
        <w:rPr>
          <w:rFonts w:hint="eastAsia"/>
          <w:kern w:val="0"/>
          <w:szCs w:val="21"/>
        </w:rPr>
        <w:t>2</w:t>
      </w:r>
      <w:r w:rsidR="00BC7B71" w:rsidRPr="00BC7B71">
        <w:rPr>
          <w:rFonts w:hint="eastAsia"/>
          <w:kern w:val="0"/>
          <w:szCs w:val="21"/>
        </w:rPr>
        <w:t>月</w:t>
      </w:r>
      <w:r w:rsidR="00BC7B71" w:rsidRPr="00BC7B71">
        <w:rPr>
          <w:rFonts w:hint="eastAsia"/>
          <w:kern w:val="0"/>
          <w:szCs w:val="21"/>
        </w:rPr>
        <w:t>12</w:t>
      </w:r>
      <w:r w:rsidR="00BC7B71" w:rsidRPr="00BC7B71">
        <w:rPr>
          <w:rFonts w:hint="eastAsia"/>
          <w:kern w:val="0"/>
          <w:szCs w:val="21"/>
        </w:rPr>
        <w:t>日</w:t>
      </w:r>
      <w:r w:rsidRPr="006F3005">
        <w:rPr>
          <w:kern w:val="0"/>
          <w:szCs w:val="21"/>
        </w:rPr>
        <w:t>起，</w:t>
      </w:r>
      <w:r w:rsidR="00610F8C" w:rsidRPr="00610F8C">
        <w:rPr>
          <w:rFonts w:hint="eastAsia"/>
          <w:kern w:val="0"/>
          <w:szCs w:val="21"/>
        </w:rPr>
        <w:t>基金管理人应当在不晚于每个开放日的次日，通过规定网站、基金销售机构网站或者营业网点披露开放日的基金份额净值和基金份额累计净值。</w:t>
      </w:r>
    </w:p>
    <w:p w:rsidR="0087184A" w:rsidRDefault="00610F8C" w:rsidP="00610F8C">
      <w:pPr>
        <w:spacing w:line="360" w:lineRule="auto"/>
        <w:ind w:firstLineChars="200" w:firstLine="420"/>
        <w:rPr>
          <w:kern w:val="0"/>
          <w:szCs w:val="21"/>
        </w:rPr>
      </w:pPr>
      <w:r w:rsidRPr="00610F8C">
        <w:rPr>
          <w:rFonts w:hint="eastAsia"/>
          <w:kern w:val="0"/>
          <w:szCs w:val="21"/>
        </w:rPr>
        <w:t>基金管理人应当在不晚于半年度和年度最后一日的次日，在规定网站披露半年度和年度最后一日的基金份额净值和基金份额累计净值。</w:t>
      </w:r>
    </w:p>
    <w:p w:rsidR="00D21557" w:rsidRPr="006F3005" w:rsidRDefault="00D21557" w:rsidP="0064796E">
      <w:pPr>
        <w:spacing w:line="312" w:lineRule="auto"/>
        <w:ind w:firstLineChars="245" w:firstLine="517"/>
        <w:rPr>
          <w:b/>
          <w:kern w:val="0"/>
          <w:szCs w:val="21"/>
        </w:rPr>
      </w:pPr>
    </w:p>
    <w:p w:rsidR="00A711E9" w:rsidRPr="006F3005" w:rsidRDefault="00252FE0" w:rsidP="0064796E">
      <w:pPr>
        <w:spacing w:line="312" w:lineRule="auto"/>
        <w:ind w:firstLineChars="245" w:firstLine="517"/>
        <w:rPr>
          <w:b/>
          <w:kern w:val="0"/>
          <w:szCs w:val="21"/>
        </w:rPr>
      </w:pPr>
      <w:r>
        <w:rPr>
          <w:b/>
          <w:kern w:val="0"/>
          <w:szCs w:val="21"/>
        </w:rPr>
        <w:t>7</w:t>
      </w:r>
      <w:r w:rsidR="00F36FAD">
        <w:rPr>
          <w:rFonts w:hint="eastAsia"/>
          <w:b/>
          <w:bCs/>
          <w:kern w:val="0"/>
          <w:szCs w:val="21"/>
        </w:rPr>
        <w:t>.</w:t>
      </w:r>
      <w:r w:rsidR="00A711E9" w:rsidRPr="006F3005">
        <w:rPr>
          <w:b/>
          <w:kern w:val="0"/>
          <w:szCs w:val="21"/>
        </w:rPr>
        <w:t>其他需要提示的事项</w:t>
      </w:r>
    </w:p>
    <w:p w:rsidR="00181E0E" w:rsidRPr="006F3005" w:rsidRDefault="00181E0E" w:rsidP="0064796E">
      <w:pPr>
        <w:spacing w:line="360" w:lineRule="auto"/>
        <w:ind w:firstLineChars="200" w:firstLine="420"/>
        <w:rPr>
          <w:kern w:val="0"/>
          <w:szCs w:val="21"/>
        </w:rPr>
      </w:pPr>
      <w:r w:rsidRPr="006F3005">
        <w:rPr>
          <w:kern w:val="0"/>
          <w:szCs w:val="21"/>
        </w:rPr>
        <w:t>（</w:t>
      </w:r>
      <w:r w:rsidRPr="006F3005">
        <w:rPr>
          <w:kern w:val="0"/>
          <w:szCs w:val="21"/>
        </w:rPr>
        <w:t>1</w:t>
      </w:r>
      <w:r w:rsidRPr="006F3005">
        <w:rPr>
          <w:kern w:val="0"/>
          <w:szCs w:val="21"/>
        </w:rPr>
        <w:t>）本公告仅对本基金开放</w:t>
      </w:r>
      <w:r w:rsidR="004069FD">
        <w:rPr>
          <w:rFonts w:hint="eastAsia"/>
          <w:kern w:val="0"/>
          <w:szCs w:val="21"/>
        </w:rPr>
        <w:t>日常</w:t>
      </w:r>
      <w:r w:rsidRPr="006F3005">
        <w:rPr>
          <w:kern w:val="0"/>
          <w:szCs w:val="21"/>
        </w:rPr>
        <w:t>申购、赎回业务的相关事项予以说明。投资者欲了解本基金的详细情况，请查阅本基金招募说明书。</w:t>
      </w:r>
    </w:p>
    <w:p w:rsidR="00181E0E" w:rsidRPr="006F3005" w:rsidRDefault="00181E0E" w:rsidP="0064796E">
      <w:pPr>
        <w:spacing w:line="360" w:lineRule="auto"/>
        <w:ind w:firstLineChars="200" w:firstLine="420"/>
        <w:rPr>
          <w:kern w:val="0"/>
          <w:szCs w:val="21"/>
        </w:rPr>
      </w:pPr>
      <w:r w:rsidRPr="006F3005">
        <w:rPr>
          <w:kern w:val="0"/>
          <w:szCs w:val="21"/>
        </w:rPr>
        <w:t>（</w:t>
      </w:r>
      <w:r w:rsidRPr="006F3005">
        <w:rPr>
          <w:kern w:val="0"/>
          <w:szCs w:val="21"/>
        </w:rPr>
        <w:t>2</w:t>
      </w:r>
      <w:r w:rsidRPr="006F3005">
        <w:rPr>
          <w:kern w:val="0"/>
          <w:szCs w:val="21"/>
        </w:rPr>
        <w:t>）投资者可拨打本公司的客户服务电话（</w:t>
      </w:r>
      <w:r w:rsidRPr="006F3005">
        <w:rPr>
          <w:kern w:val="0"/>
          <w:szCs w:val="21"/>
        </w:rPr>
        <w:t>400-888-0800</w:t>
      </w:r>
      <w:r w:rsidRPr="006F3005">
        <w:rPr>
          <w:kern w:val="0"/>
          <w:szCs w:val="21"/>
        </w:rPr>
        <w:t>）了解本基金申购、赎回资业务的相关事宜。</w:t>
      </w:r>
    </w:p>
    <w:p w:rsidR="004069FD" w:rsidRDefault="00181E0E" w:rsidP="004069FD">
      <w:pPr>
        <w:spacing w:line="360" w:lineRule="auto"/>
        <w:ind w:firstLineChars="200" w:firstLine="420"/>
        <w:rPr>
          <w:kern w:val="0"/>
          <w:szCs w:val="21"/>
        </w:rPr>
      </w:pPr>
      <w:r w:rsidRPr="006F3005">
        <w:rPr>
          <w:kern w:val="0"/>
          <w:szCs w:val="21"/>
        </w:rPr>
        <w:t>（</w:t>
      </w:r>
      <w:r w:rsidRPr="006F3005">
        <w:rPr>
          <w:kern w:val="0"/>
          <w:szCs w:val="21"/>
        </w:rPr>
        <w:t>3</w:t>
      </w:r>
      <w:r w:rsidRPr="006F3005">
        <w:rPr>
          <w:kern w:val="0"/>
          <w:szCs w:val="21"/>
        </w:rPr>
        <w:t>）</w:t>
      </w:r>
      <w:r w:rsidR="004069FD" w:rsidRPr="004069FD">
        <w:rPr>
          <w:rFonts w:hint="eastAsia"/>
          <w:kern w:val="0"/>
          <w:szCs w:val="21"/>
        </w:rPr>
        <w:t>有关本基金上市交易事宜本公司将另行公告。</w:t>
      </w:r>
    </w:p>
    <w:p w:rsidR="004069FD" w:rsidRPr="004069FD" w:rsidRDefault="004069FD" w:rsidP="004069FD">
      <w:pPr>
        <w:spacing w:line="360" w:lineRule="auto"/>
        <w:ind w:firstLineChars="200" w:firstLine="420"/>
        <w:rPr>
          <w:rFonts w:hint="eastAsia"/>
          <w:kern w:val="0"/>
          <w:szCs w:val="21"/>
        </w:rPr>
      </w:pPr>
      <w:r w:rsidRPr="004069FD">
        <w:rPr>
          <w:rFonts w:hint="eastAsia"/>
          <w:kern w:val="0"/>
          <w:szCs w:val="21"/>
        </w:rPr>
        <w:t>（</w:t>
      </w:r>
      <w:r>
        <w:rPr>
          <w:rFonts w:hint="eastAsia"/>
          <w:kern w:val="0"/>
          <w:szCs w:val="21"/>
        </w:rPr>
        <w:t>4</w:t>
      </w:r>
      <w:r w:rsidRPr="004069FD">
        <w:rPr>
          <w:rFonts w:hint="eastAsia"/>
          <w:kern w:val="0"/>
          <w:szCs w:val="21"/>
        </w:rPr>
        <w:t>）申购与赎回的原则</w:t>
      </w:r>
    </w:p>
    <w:p w:rsidR="00EF37DC" w:rsidRPr="00EF37DC" w:rsidRDefault="00EF37DC" w:rsidP="00EF37DC">
      <w:pPr>
        <w:spacing w:line="360" w:lineRule="auto"/>
        <w:ind w:firstLineChars="200" w:firstLine="420"/>
        <w:rPr>
          <w:rFonts w:hint="eastAsia"/>
          <w:kern w:val="0"/>
          <w:szCs w:val="21"/>
        </w:rPr>
      </w:pPr>
      <w:r w:rsidRPr="00EF37DC">
        <w:rPr>
          <w:rFonts w:hint="eastAsia"/>
          <w:kern w:val="0"/>
          <w:szCs w:val="21"/>
        </w:rPr>
        <w:t>1</w:t>
      </w:r>
      <w:r>
        <w:rPr>
          <w:rFonts w:hint="eastAsia"/>
          <w:kern w:val="0"/>
          <w:szCs w:val="21"/>
        </w:rPr>
        <w:t>）</w:t>
      </w:r>
      <w:r w:rsidRPr="00EF37DC">
        <w:rPr>
          <w:rFonts w:hint="eastAsia"/>
          <w:kern w:val="0"/>
          <w:szCs w:val="21"/>
        </w:rPr>
        <w:t>本基金采用份额申购和份额赎回的方式，即申购和赎回均以份额申请；</w:t>
      </w:r>
    </w:p>
    <w:p w:rsidR="00EF37DC" w:rsidRPr="00EF37DC" w:rsidRDefault="00EF37DC" w:rsidP="00EF37DC">
      <w:pPr>
        <w:spacing w:line="360" w:lineRule="auto"/>
        <w:ind w:firstLineChars="200" w:firstLine="420"/>
        <w:rPr>
          <w:rFonts w:hint="eastAsia"/>
          <w:kern w:val="0"/>
          <w:szCs w:val="21"/>
        </w:rPr>
      </w:pPr>
      <w:r w:rsidRPr="00EF37DC">
        <w:rPr>
          <w:rFonts w:hint="eastAsia"/>
          <w:kern w:val="0"/>
          <w:szCs w:val="21"/>
        </w:rPr>
        <w:t>2</w:t>
      </w:r>
      <w:r>
        <w:rPr>
          <w:rFonts w:hint="eastAsia"/>
          <w:kern w:val="0"/>
          <w:szCs w:val="21"/>
        </w:rPr>
        <w:t>）</w:t>
      </w:r>
      <w:r w:rsidRPr="00EF37DC">
        <w:rPr>
          <w:rFonts w:hint="eastAsia"/>
          <w:kern w:val="0"/>
          <w:szCs w:val="21"/>
        </w:rPr>
        <w:t>本基金的申购对价、赎回对价包括组合证券、现金替代、现金差额及其他对价；</w:t>
      </w:r>
    </w:p>
    <w:p w:rsidR="00EF37DC" w:rsidRPr="00EF37DC" w:rsidRDefault="00EF37DC" w:rsidP="00EF37DC">
      <w:pPr>
        <w:spacing w:line="360" w:lineRule="auto"/>
        <w:ind w:firstLineChars="200" w:firstLine="420"/>
        <w:rPr>
          <w:rFonts w:hint="eastAsia"/>
          <w:kern w:val="0"/>
          <w:szCs w:val="21"/>
        </w:rPr>
      </w:pPr>
      <w:r w:rsidRPr="00EF37DC">
        <w:rPr>
          <w:rFonts w:hint="eastAsia"/>
          <w:kern w:val="0"/>
          <w:szCs w:val="21"/>
        </w:rPr>
        <w:t>3</w:t>
      </w:r>
      <w:r>
        <w:rPr>
          <w:rFonts w:hint="eastAsia"/>
          <w:kern w:val="0"/>
          <w:szCs w:val="21"/>
        </w:rPr>
        <w:t>）</w:t>
      </w:r>
      <w:r w:rsidRPr="00EF37DC">
        <w:rPr>
          <w:rFonts w:hint="eastAsia"/>
          <w:kern w:val="0"/>
          <w:szCs w:val="21"/>
        </w:rPr>
        <w:t>申购、赎回申请提交后不得撤销；</w:t>
      </w:r>
    </w:p>
    <w:p w:rsidR="00EF37DC" w:rsidRPr="00EF37DC" w:rsidRDefault="00EF37DC" w:rsidP="00EF37DC">
      <w:pPr>
        <w:spacing w:line="360" w:lineRule="auto"/>
        <w:ind w:firstLineChars="200" w:firstLine="420"/>
        <w:rPr>
          <w:rFonts w:hint="eastAsia"/>
          <w:kern w:val="0"/>
          <w:szCs w:val="21"/>
        </w:rPr>
      </w:pPr>
      <w:r w:rsidRPr="00EF37DC">
        <w:rPr>
          <w:rFonts w:hint="eastAsia"/>
          <w:kern w:val="0"/>
          <w:szCs w:val="21"/>
        </w:rPr>
        <w:t>4</w:t>
      </w:r>
      <w:r>
        <w:rPr>
          <w:rFonts w:hint="eastAsia"/>
          <w:kern w:val="0"/>
          <w:szCs w:val="21"/>
        </w:rPr>
        <w:t>）</w:t>
      </w:r>
      <w:r w:rsidRPr="00EF37DC">
        <w:rPr>
          <w:rFonts w:hint="eastAsia"/>
          <w:kern w:val="0"/>
          <w:szCs w:val="21"/>
        </w:rPr>
        <w:t>申购、赎回应遵守深圳证券交易所和中国证券登记结算有限责任公司的相关业务规则和规定；</w:t>
      </w:r>
    </w:p>
    <w:p w:rsidR="00EF37DC" w:rsidRPr="00EF37DC" w:rsidRDefault="00EF37DC" w:rsidP="00EF37DC">
      <w:pPr>
        <w:spacing w:line="360" w:lineRule="auto"/>
        <w:ind w:firstLineChars="200" w:firstLine="420"/>
        <w:rPr>
          <w:rFonts w:hint="eastAsia"/>
          <w:kern w:val="0"/>
          <w:szCs w:val="21"/>
        </w:rPr>
      </w:pPr>
      <w:r w:rsidRPr="00EF37DC">
        <w:rPr>
          <w:rFonts w:hint="eastAsia"/>
          <w:kern w:val="0"/>
          <w:szCs w:val="21"/>
        </w:rPr>
        <w:t>5</w:t>
      </w:r>
      <w:r>
        <w:rPr>
          <w:rFonts w:hint="eastAsia"/>
          <w:kern w:val="0"/>
          <w:szCs w:val="21"/>
        </w:rPr>
        <w:t>）</w:t>
      </w:r>
      <w:r w:rsidRPr="00EF37DC">
        <w:rPr>
          <w:rFonts w:hint="eastAsia"/>
          <w:kern w:val="0"/>
          <w:szCs w:val="21"/>
        </w:rPr>
        <w:t>办理申购、赎回业务时，应当遵循基金份额持有人利益优先原则，确保投资者的合法权益不受损害并得到公平对待。</w:t>
      </w:r>
    </w:p>
    <w:p w:rsidR="004069FD" w:rsidRDefault="00EF37DC" w:rsidP="004069FD">
      <w:pPr>
        <w:spacing w:line="360" w:lineRule="auto"/>
        <w:ind w:firstLineChars="200" w:firstLine="420"/>
        <w:rPr>
          <w:kern w:val="0"/>
          <w:szCs w:val="21"/>
        </w:rPr>
      </w:pPr>
      <w:r w:rsidRPr="00EF37DC">
        <w:rPr>
          <w:rFonts w:hint="eastAsia"/>
          <w:kern w:val="0"/>
          <w:szCs w:val="21"/>
        </w:rPr>
        <w:t>基金管理人可根据基金运作的实际情况，在不违反法律法规且对持有人利益无实质性不利影响的情况下调整上述原则，或依据深圳证券交易所或登记机构相关规则及其变更调整上述规则。基金管理人必须在新规则开始实施前依照《信息披露办法》的有关规定在规定媒介上公告。</w:t>
      </w:r>
    </w:p>
    <w:p w:rsidR="004069FD" w:rsidRPr="004069FD" w:rsidRDefault="004069FD" w:rsidP="004069FD">
      <w:pPr>
        <w:spacing w:line="360" w:lineRule="auto"/>
        <w:ind w:firstLineChars="200" w:firstLine="420"/>
        <w:rPr>
          <w:rFonts w:hint="eastAsia"/>
          <w:kern w:val="0"/>
          <w:szCs w:val="21"/>
        </w:rPr>
      </w:pPr>
      <w:r w:rsidRPr="004069FD">
        <w:rPr>
          <w:rFonts w:hint="eastAsia"/>
          <w:kern w:val="0"/>
          <w:szCs w:val="21"/>
        </w:rPr>
        <w:t>（</w:t>
      </w:r>
      <w:r>
        <w:rPr>
          <w:kern w:val="0"/>
          <w:szCs w:val="21"/>
        </w:rPr>
        <w:t>5</w:t>
      </w:r>
      <w:r w:rsidRPr="004069FD">
        <w:rPr>
          <w:rFonts w:hint="eastAsia"/>
          <w:kern w:val="0"/>
          <w:szCs w:val="21"/>
        </w:rPr>
        <w:t>）申购与赎回的程序</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1</w:t>
      </w:r>
      <w:r>
        <w:rPr>
          <w:rFonts w:hint="eastAsia"/>
          <w:kern w:val="0"/>
          <w:szCs w:val="21"/>
        </w:rPr>
        <w:t>）</w:t>
      </w:r>
      <w:r w:rsidRPr="00714ADA">
        <w:rPr>
          <w:rFonts w:hint="eastAsia"/>
          <w:kern w:val="0"/>
          <w:szCs w:val="21"/>
        </w:rPr>
        <w:t>申购和赎回的申请方式</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投资人必须根据申购赎回代理券商或基金管理人规定的程序，在开放日的具体业务办理时间内提出申购或赎回的申请。</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投资人在提交申购申请时，须根据申购赎回清单备足申购对价，否则所提交的申购申请无效。基金份额持有人提交赎回申请时，必须持有足够的基金份额余额和现金，否则所提交的赎回申请无效。投资人办理申购、赎回等业务时应提交的文件和办理手续、办理时间、处理规则等在遵守基金合同和招募说明书规定的前提下，以各申购赎回代理券商或届时基金管理人的具体规定为准。</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2</w:t>
      </w:r>
      <w:r>
        <w:rPr>
          <w:rFonts w:hint="eastAsia"/>
          <w:kern w:val="0"/>
          <w:szCs w:val="21"/>
        </w:rPr>
        <w:t>）</w:t>
      </w:r>
      <w:r w:rsidRPr="00714ADA">
        <w:rPr>
          <w:rFonts w:hint="eastAsia"/>
          <w:kern w:val="0"/>
          <w:szCs w:val="21"/>
        </w:rPr>
        <w:t>申购和赎回申请的确认</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正常情况下，投资人申购、赎回申请在受理当日进行确认。如投资人未能提供符合要求的申购对价，则申购申请失败。如基金份额持有人持有的符合要求的可用基金份额不足或未能根据要求准备足额的现金，或本基金投资组合内不具备足额的符合要求的赎回对价，则赎回申请失败。</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申购赎回代理券商对申购、赎回申请的受理并不代表该申请一定成功，而仅代表申购赎回代理券商确实接收到该申请。申购、赎回的确认以登记机构的确认结果为准。对于申购、赎回申请的确认情况，投资人应及时查询并妥善行使合法权利。否则，由此产生的投资人的任何损失由投资人自行承担。</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投资者申购的基金份额当日可竞价卖出；投资者赎回获得的股票当日可竞价卖出。</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本基金申购赎回的确认规则适用深圳证券交易所、中国证券登记结算有限责任公司的相关规定和参与各方相关协议的有关规定。如深圳证券交易所、中国证券登记结算有限责任公司修改或更新上述规则并适用于本基金的，则按照新的规则执行，届时基金管理人将发布公告予以披露，无须召开基金份额持有人大会审议。</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3</w:t>
      </w:r>
      <w:r>
        <w:rPr>
          <w:rFonts w:hint="eastAsia"/>
          <w:kern w:val="0"/>
          <w:szCs w:val="21"/>
        </w:rPr>
        <w:t>）</w:t>
      </w:r>
      <w:r w:rsidRPr="00714ADA">
        <w:rPr>
          <w:rFonts w:hint="eastAsia"/>
          <w:kern w:val="0"/>
          <w:szCs w:val="21"/>
        </w:rPr>
        <w:t>申购和赎回的清算交收与登记</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本基金申购、赎回过程中涉及的基金份额、组合证券、现金替代、现金差额及其他对价的清算交收适用深圳证券交易所、中国证券登记结算有限责任公司相关业务实施细则和参与各方相关协议的有关规定，其中对于深市组合证券及深市现金替代部分，深市组合证券</w:t>
      </w:r>
      <w:r w:rsidRPr="00714ADA">
        <w:rPr>
          <w:rFonts w:hint="eastAsia"/>
          <w:kern w:val="0"/>
          <w:szCs w:val="21"/>
        </w:rPr>
        <w:t>T</w:t>
      </w:r>
      <w:r w:rsidRPr="00714ADA">
        <w:rPr>
          <w:rFonts w:hint="eastAsia"/>
          <w:kern w:val="0"/>
          <w:szCs w:val="21"/>
        </w:rPr>
        <w:t>日日终过户，深市现金替代部分采用净额担保交收；对于非深市组合证券所对应的现金替代部分采用净额担保交收；申赎份额于</w:t>
      </w:r>
      <w:r w:rsidRPr="00714ADA">
        <w:rPr>
          <w:rFonts w:hint="eastAsia"/>
          <w:kern w:val="0"/>
          <w:szCs w:val="21"/>
        </w:rPr>
        <w:t>T</w:t>
      </w:r>
      <w:r w:rsidRPr="00714ADA">
        <w:rPr>
          <w:rFonts w:hint="eastAsia"/>
          <w:kern w:val="0"/>
          <w:szCs w:val="21"/>
        </w:rPr>
        <w:t>日日终完成登记和注销；现金差额、现金替代退补款部分采用代收代付方式。</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投资者</w:t>
      </w:r>
      <w:r w:rsidRPr="00714ADA">
        <w:rPr>
          <w:rFonts w:hint="eastAsia"/>
          <w:kern w:val="0"/>
          <w:szCs w:val="21"/>
        </w:rPr>
        <w:t>T</w:t>
      </w:r>
      <w:r w:rsidRPr="00714ADA">
        <w:rPr>
          <w:rFonts w:hint="eastAsia"/>
          <w:kern w:val="0"/>
          <w:szCs w:val="21"/>
        </w:rPr>
        <w:t>日申购成功后，登记机构在</w:t>
      </w:r>
      <w:r w:rsidRPr="00714ADA">
        <w:rPr>
          <w:rFonts w:hint="eastAsia"/>
          <w:kern w:val="0"/>
          <w:szCs w:val="21"/>
        </w:rPr>
        <w:t>T</w:t>
      </w:r>
      <w:r w:rsidRPr="00714ADA">
        <w:rPr>
          <w:rFonts w:hint="eastAsia"/>
          <w:kern w:val="0"/>
          <w:szCs w:val="21"/>
        </w:rPr>
        <w:t>日收市后办理基金份额与深市组合证券交收以及现金替代的清算；在</w:t>
      </w:r>
      <w:r w:rsidRPr="00714ADA">
        <w:rPr>
          <w:rFonts w:hint="eastAsia"/>
          <w:kern w:val="0"/>
          <w:szCs w:val="21"/>
        </w:rPr>
        <w:t>T+1</w:t>
      </w:r>
      <w:r w:rsidRPr="00714ADA">
        <w:rPr>
          <w:rFonts w:hint="eastAsia"/>
          <w:kern w:val="0"/>
          <w:szCs w:val="21"/>
        </w:rPr>
        <w:t>日办理现金替代的交收以及现金差额的清算；在</w:t>
      </w:r>
      <w:r w:rsidRPr="00714ADA">
        <w:rPr>
          <w:rFonts w:hint="eastAsia"/>
          <w:kern w:val="0"/>
          <w:szCs w:val="21"/>
        </w:rPr>
        <w:t>T+2</w:t>
      </w:r>
      <w:r w:rsidRPr="00714ADA">
        <w:rPr>
          <w:rFonts w:hint="eastAsia"/>
          <w:kern w:val="0"/>
          <w:szCs w:val="21"/>
        </w:rPr>
        <w:t>日办理现金差额的交收，并将结果发送给申购赎回代理券商、基金管理人和基金托管人。</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投资者</w:t>
      </w:r>
      <w:r w:rsidRPr="00714ADA">
        <w:rPr>
          <w:rFonts w:hint="eastAsia"/>
          <w:kern w:val="0"/>
          <w:szCs w:val="21"/>
        </w:rPr>
        <w:t>T</w:t>
      </w:r>
      <w:r w:rsidRPr="00714ADA">
        <w:rPr>
          <w:rFonts w:hint="eastAsia"/>
          <w:kern w:val="0"/>
          <w:szCs w:val="21"/>
        </w:rPr>
        <w:t>日赎回成功后，登记机构在</w:t>
      </w:r>
      <w:r w:rsidRPr="00714ADA">
        <w:rPr>
          <w:rFonts w:hint="eastAsia"/>
          <w:kern w:val="0"/>
          <w:szCs w:val="21"/>
        </w:rPr>
        <w:t>T</w:t>
      </w:r>
      <w:r w:rsidRPr="00714ADA">
        <w:rPr>
          <w:rFonts w:hint="eastAsia"/>
          <w:kern w:val="0"/>
          <w:szCs w:val="21"/>
        </w:rPr>
        <w:t>日收市后办理基金份额的注销与深市组合证券交收以及现金替代的清算；在</w:t>
      </w:r>
      <w:r w:rsidRPr="00714ADA">
        <w:rPr>
          <w:rFonts w:hint="eastAsia"/>
          <w:kern w:val="0"/>
          <w:szCs w:val="21"/>
        </w:rPr>
        <w:t>T+1</w:t>
      </w:r>
      <w:r w:rsidRPr="00714ADA">
        <w:rPr>
          <w:rFonts w:hint="eastAsia"/>
          <w:kern w:val="0"/>
          <w:szCs w:val="21"/>
        </w:rPr>
        <w:t>日办理现金替代的交收以及现金差额的清算；在</w:t>
      </w:r>
      <w:r w:rsidRPr="00714ADA">
        <w:rPr>
          <w:rFonts w:hint="eastAsia"/>
          <w:kern w:val="0"/>
          <w:szCs w:val="21"/>
        </w:rPr>
        <w:t>T+2</w:t>
      </w:r>
      <w:r w:rsidRPr="00714ADA">
        <w:rPr>
          <w:rFonts w:hint="eastAsia"/>
          <w:kern w:val="0"/>
          <w:szCs w:val="21"/>
        </w:rPr>
        <w:t>日办理现金差额的交收，并将结果发送给申购赎回代理券商、基金管理人和基金托管人。</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如果登记机构和基金管理人在清算交收时发现不能正常履约的情形，则依据深圳证券交易所、中国证券登记结算有限责任公司相关业务规则和参与各方相关协议及其不时修订的有关规定进行处理。</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投资人应按照基金合同的约定和申购赎回代理券商的规定按时足额支付应付的现金差额和现金替代补款。因投资人原因导致现金差额或现金替代补款未能按时足额交收的，基金管理人有权为基金的利益向该投资人追偿，并要求其承担由此导致的其他基金份额持有人或基金资产的损失。</w:t>
      </w:r>
    </w:p>
    <w:p w:rsidR="00714ADA" w:rsidRPr="00714ADA" w:rsidRDefault="00714ADA" w:rsidP="00714ADA">
      <w:pPr>
        <w:spacing w:line="360" w:lineRule="auto"/>
        <w:ind w:firstLineChars="200" w:firstLine="420"/>
        <w:rPr>
          <w:rFonts w:hint="eastAsia"/>
          <w:kern w:val="0"/>
          <w:szCs w:val="21"/>
        </w:rPr>
      </w:pPr>
      <w:r w:rsidRPr="00714ADA">
        <w:rPr>
          <w:rFonts w:hint="eastAsia"/>
          <w:kern w:val="0"/>
          <w:szCs w:val="21"/>
        </w:rPr>
        <w:t>若投资人用以申购的部分或全部组合证券或者用以赎回的部分或全部基金份额因被国家有权机关冻结或强制执行导致不足额的，基金管理人有权指示申购赎回代理券商及登记机构依法进行相应处置；如该情况导致其他基金份额持有人或基金资产遭受损失的，基金管理人有权代表其他基金份额持有人或基金资产要求该投资人进行赔偿。</w:t>
      </w:r>
    </w:p>
    <w:p w:rsidR="00181E0E" w:rsidRPr="006F3005" w:rsidRDefault="00714ADA" w:rsidP="0064796E">
      <w:pPr>
        <w:spacing w:line="360" w:lineRule="auto"/>
        <w:ind w:firstLineChars="200" w:firstLine="420"/>
        <w:rPr>
          <w:kern w:val="0"/>
          <w:szCs w:val="21"/>
        </w:rPr>
      </w:pPr>
      <w:r w:rsidRPr="00714ADA">
        <w:rPr>
          <w:rFonts w:hint="eastAsia"/>
          <w:kern w:val="0"/>
          <w:szCs w:val="21"/>
        </w:rPr>
        <w:t>4</w:t>
      </w:r>
      <w:r>
        <w:rPr>
          <w:rFonts w:hint="eastAsia"/>
          <w:kern w:val="0"/>
          <w:szCs w:val="21"/>
        </w:rPr>
        <w:t>）</w:t>
      </w:r>
      <w:r w:rsidRPr="00714ADA">
        <w:rPr>
          <w:rFonts w:hint="eastAsia"/>
          <w:kern w:val="0"/>
          <w:szCs w:val="21"/>
        </w:rPr>
        <w:t>基金管理人、深圳证券交易所、登记机构可在不违反法律法规规定的情况下，对基金份额申购和赎回的程序以及清算交收和登记的办理时间、方式、处理规则等进行调整，无须召开基金份额持有人大会审议。</w:t>
      </w:r>
    </w:p>
    <w:p w:rsidR="00181E0E" w:rsidRPr="006F3005" w:rsidRDefault="00181E0E" w:rsidP="0064796E">
      <w:pPr>
        <w:spacing w:line="360" w:lineRule="auto"/>
        <w:ind w:firstLineChars="200" w:firstLine="420"/>
        <w:rPr>
          <w:kern w:val="0"/>
          <w:szCs w:val="21"/>
        </w:rPr>
      </w:pPr>
      <w:r w:rsidRPr="006F3005">
        <w:rPr>
          <w:kern w:val="0"/>
          <w:szCs w:val="21"/>
        </w:rPr>
        <w:t>（</w:t>
      </w:r>
      <w:r w:rsidR="004069FD">
        <w:rPr>
          <w:kern w:val="0"/>
          <w:szCs w:val="21"/>
        </w:rPr>
        <w:t>6</w:t>
      </w:r>
      <w:r w:rsidRPr="006F3005">
        <w:rPr>
          <w:kern w:val="0"/>
          <w:szCs w:val="21"/>
        </w:rPr>
        <w:t>）风险提示：</w:t>
      </w:r>
    </w:p>
    <w:p w:rsidR="00916D63" w:rsidRPr="00916D63" w:rsidRDefault="00916D63" w:rsidP="00916D63">
      <w:pPr>
        <w:spacing w:line="360" w:lineRule="auto"/>
        <w:ind w:firstLineChars="200" w:firstLine="420"/>
        <w:rPr>
          <w:rFonts w:hint="eastAsia"/>
          <w:kern w:val="0"/>
          <w:szCs w:val="21"/>
        </w:rPr>
      </w:pPr>
      <w:r w:rsidRPr="00916D63">
        <w:rPr>
          <w:rFonts w:hint="eastAsia"/>
          <w:kern w:val="0"/>
          <w:szCs w:val="21"/>
        </w:rPr>
        <w:t>本基金投资于证券市场，基金净值会因为证券市场波动等因素产生波动，投资有风险，投资者在投资本基金前，应当认真阅读基金招募说明书、基金合同、基金产品资料概要等信息披露文件，全面认识本基金产品的风险收益特征和产品特性，充分考虑自身的风险承受能力，理性判断市场，自主判断基金的投资价值，对</w:t>
      </w:r>
      <w:r>
        <w:rPr>
          <w:rFonts w:hint="eastAsia"/>
          <w:kern w:val="0"/>
          <w:szCs w:val="21"/>
        </w:rPr>
        <w:t>申购</w:t>
      </w:r>
      <w:r w:rsidRPr="00916D63">
        <w:rPr>
          <w:rFonts w:hint="eastAsia"/>
          <w:kern w:val="0"/>
          <w:szCs w:val="21"/>
        </w:rPr>
        <w:t>基金的意愿、时机、数量等投资行为作出独立决策，承担基金投资中出现的各类风险。投资本基金可能遇到的风险包括：市场风险、管理风险、流动性风险、本基金的特有风险和其他风险等。本基金的特有风险包括：（</w:t>
      </w:r>
      <w:r w:rsidRPr="00916D63">
        <w:rPr>
          <w:rFonts w:hint="eastAsia"/>
          <w:kern w:val="0"/>
          <w:szCs w:val="21"/>
        </w:rPr>
        <w:t>1</w:t>
      </w:r>
      <w:r w:rsidRPr="00916D63">
        <w:rPr>
          <w:rFonts w:hint="eastAsia"/>
          <w:kern w:val="0"/>
          <w:szCs w:val="21"/>
        </w:rPr>
        <w:t>）指数化投资的风险，包括标的指数回报与股票市场平均回报偏离的风险、标的指数波动的风险、标的指数成份股行业集中风险、成份股权重较大的风险、基金投资组合回报与标的指数回报偏离的风险、跟踪误差控制未达约定目标的风险、标的指数值计算出错的风险、标的指数变更的风险、指数编制机构停止服务的风险等；（</w:t>
      </w:r>
      <w:r w:rsidRPr="00916D63">
        <w:rPr>
          <w:rFonts w:hint="eastAsia"/>
          <w:kern w:val="0"/>
          <w:szCs w:val="21"/>
        </w:rPr>
        <w:t>2</w:t>
      </w:r>
      <w:r w:rsidRPr="00916D63">
        <w:rPr>
          <w:rFonts w:hint="eastAsia"/>
          <w:kern w:val="0"/>
          <w:szCs w:val="21"/>
        </w:rPr>
        <w:t>）</w:t>
      </w:r>
      <w:r w:rsidRPr="00916D63">
        <w:rPr>
          <w:rFonts w:hint="eastAsia"/>
          <w:kern w:val="0"/>
          <w:szCs w:val="21"/>
        </w:rPr>
        <w:t>ETF</w:t>
      </w:r>
      <w:r w:rsidRPr="00916D63">
        <w:rPr>
          <w:rFonts w:hint="eastAsia"/>
          <w:kern w:val="0"/>
          <w:szCs w:val="21"/>
        </w:rPr>
        <w:t>运作的风险，包括可接受股票认购导致的风险、参考</w:t>
      </w:r>
      <w:r w:rsidRPr="00916D63">
        <w:rPr>
          <w:rFonts w:hint="eastAsia"/>
          <w:kern w:val="0"/>
          <w:szCs w:val="21"/>
        </w:rPr>
        <w:t>IOPV</w:t>
      </w:r>
      <w:r w:rsidRPr="00916D63">
        <w:rPr>
          <w:rFonts w:hint="eastAsia"/>
          <w:kern w:val="0"/>
          <w:szCs w:val="21"/>
        </w:rPr>
        <w:t>决策和</w:t>
      </w:r>
      <w:r w:rsidRPr="00916D63">
        <w:rPr>
          <w:rFonts w:hint="eastAsia"/>
          <w:kern w:val="0"/>
          <w:szCs w:val="21"/>
        </w:rPr>
        <w:t>IOPV</w:t>
      </w:r>
      <w:r w:rsidRPr="00916D63">
        <w:rPr>
          <w:rFonts w:hint="eastAsia"/>
          <w:kern w:val="0"/>
          <w:szCs w:val="21"/>
        </w:rPr>
        <w:t>计算错误的风险、基金交易价格与份额净值发生偏离的风险、成份股停牌的风险、投资人申购失败的风险、投资人赎回失败的风险、非深市成份证券申赎处理规则带来的风险、申购赎回清单差错风险、申购赎回清单标识设置不合理的风险、基金份额赎回对价的变现风险、套利风险、基金收益分配后基金份额净值低于面值的风险、第三方机构服务的风险、退市风险等；（</w:t>
      </w:r>
      <w:r w:rsidRPr="00916D63">
        <w:rPr>
          <w:rFonts w:hint="eastAsia"/>
          <w:kern w:val="0"/>
          <w:szCs w:val="21"/>
        </w:rPr>
        <w:t>3</w:t>
      </w:r>
      <w:r w:rsidRPr="00916D63">
        <w:rPr>
          <w:rFonts w:hint="eastAsia"/>
          <w:kern w:val="0"/>
          <w:szCs w:val="21"/>
        </w:rPr>
        <w:t>）本基金投资特定品种的特有风险，包括参与股指期货交易风险、股票期权投资风险、参与国债期货交易风险、资产支持证券投资风险、存托凭证投资风险、参与融资和转融通证券出借业务的风险、投资北交所股票资产的风险等。</w:t>
      </w:r>
    </w:p>
    <w:p w:rsidR="00916D63" w:rsidRPr="00916D63" w:rsidRDefault="00916D63" w:rsidP="00916D63">
      <w:pPr>
        <w:spacing w:line="360" w:lineRule="auto"/>
        <w:ind w:firstLineChars="200" w:firstLine="420"/>
        <w:rPr>
          <w:rFonts w:hint="eastAsia"/>
          <w:kern w:val="0"/>
          <w:szCs w:val="21"/>
        </w:rPr>
      </w:pPr>
      <w:r w:rsidRPr="00916D63">
        <w:rPr>
          <w:rFonts w:hint="eastAsia"/>
          <w:kern w:val="0"/>
          <w:szCs w:val="21"/>
        </w:rPr>
        <w:t>本基金的投资范围包括存托凭证，除与其他仅投资于境内市场股票的基金所面临的共同风险外，本基金还将面临投资存托凭证的特殊风险。</w:t>
      </w:r>
    </w:p>
    <w:p w:rsidR="00916D63" w:rsidRPr="00916D63" w:rsidRDefault="00916D63" w:rsidP="00916D63">
      <w:pPr>
        <w:spacing w:line="360" w:lineRule="auto"/>
        <w:ind w:firstLineChars="200" w:firstLine="420"/>
        <w:rPr>
          <w:rFonts w:hint="eastAsia"/>
          <w:kern w:val="0"/>
          <w:szCs w:val="21"/>
        </w:rPr>
      </w:pPr>
      <w:r w:rsidRPr="00916D63">
        <w:rPr>
          <w:rFonts w:hint="eastAsia"/>
          <w:kern w:val="0"/>
          <w:szCs w:val="21"/>
        </w:rPr>
        <w:t>本基金为股票型基金，其长期平均风险和预期收益率理论上高于混合型基金、债券型基金和货币市场基金。</w:t>
      </w:r>
    </w:p>
    <w:p w:rsidR="00916D63" w:rsidRPr="00916D63" w:rsidRDefault="00916D63" w:rsidP="00916D63">
      <w:pPr>
        <w:spacing w:line="360" w:lineRule="auto"/>
        <w:ind w:firstLineChars="200" w:firstLine="420"/>
        <w:rPr>
          <w:rFonts w:hint="eastAsia"/>
          <w:kern w:val="0"/>
          <w:szCs w:val="21"/>
        </w:rPr>
      </w:pPr>
      <w:r w:rsidRPr="00916D63">
        <w:rPr>
          <w:rFonts w:hint="eastAsia"/>
          <w:kern w:val="0"/>
          <w:szCs w:val="21"/>
        </w:rPr>
        <w:t>本基金为指数型基金，主要采用完全复制法跟踪国证新能源车电池指数，其风险收益特征与标的指数所表征的市场组合的风险收益特征相似。</w:t>
      </w:r>
    </w:p>
    <w:p w:rsidR="00916D63" w:rsidRPr="00916D63" w:rsidRDefault="00916D63" w:rsidP="00916D63">
      <w:pPr>
        <w:spacing w:line="360" w:lineRule="auto"/>
        <w:ind w:firstLineChars="200" w:firstLine="420"/>
        <w:rPr>
          <w:rFonts w:hint="eastAsia"/>
          <w:kern w:val="0"/>
          <w:szCs w:val="21"/>
        </w:rPr>
      </w:pPr>
      <w:r w:rsidRPr="00916D63">
        <w:rPr>
          <w:rFonts w:hint="eastAsia"/>
          <w:kern w:val="0"/>
          <w:szCs w:val="21"/>
        </w:rPr>
        <w:t>本基金所投资的北京证券交易所股票资产，会面临北交所机制下因投资标的、市场制度以及交易规则等差异带来的特有风险，包括流动性风险、上市公司经营风险、股价波动风险等。</w:t>
      </w:r>
    </w:p>
    <w:p w:rsidR="00916D63" w:rsidRPr="00916D63" w:rsidRDefault="00916D63" w:rsidP="00916D63">
      <w:pPr>
        <w:spacing w:line="360" w:lineRule="auto"/>
        <w:ind w:firstLineChars="200" w:firstLine="420"/>
        <w:rPr>
          <w:rFonts w:hint="eastAsia"/>
          <w:kern w:val="0"/>
          <w:szCs w:val="21"/>
        </w:rPr>
      </w:pPr>
      <w:r>
        <w:rPr>
          <w:rFonts w:hint="eastAsia"/>
          <w:kern w:val="0"/>
          <w:szCs w:val="21"/>
        </w:rPr>
        <w:t>本基金的具体风险详见</w:t>
      </w:r>
      <w:r w:rsidRPr="00916D63">
        <w:rPr>
          <w:rFonts w:hint="eastAsia"/>
          <w:kern w:val="0"/>
          <w:szCs w:val="21"/>
        </w:rPr>
        <w:t>招募说明书的“风险揭示”部分。</w:t>
      </w:r>
    </w:p>
    <w:p w:rsidR="00916D63" w:rsidRPr="00916D63" w:rsidRDefault="00916D63" w:rsidP="00916D63">
      <w:pPr>
        <w:spacing w:line="360" w:lineRule="auto"/>
        <w:ind w:firstLineChars="200" w:firstLine="420"/>
        <w:rPr>
          <w:rFonts w:hint="eastAsia"/>
          <w:kern w:val="0"/>
          <w:szCs w:val="21"/>
        </w:rPr>
      </w:pPr>
      <w:r w:rsidRPr="00916D63">
        <w:rPr>
          <w:rFonts w:hint="eastAsia"/>
          <w:kern w:val="0"/>
          <w:szCs w:val="21"/>
        </w:rPr>
        <w:t>在现有结算规则下，当日竞价买入的基金份额，当日可以赎回；当日申购的基金份额，当日可以竞价卖出，次一交易日可以赎回。</w:t>
      </w:r>
    </w:p>
    <w:p w:rsidR="00916D63" w:rsidRPr="00916D63" w:rsidRDefault="00916D63" w:rsidP="00916D63">
      <w:pPr>
        <w:spacing w:line="360" w:lineRule="auto"/>
        <w:ind w:firstLineChars="200" w:firstLine="420"/>
        <w:rPr>
          <w:rFonts w:hint="eastAsia"/>
          <w:kern w:val="0"/>
          <w:szCs w:val="21"/>
        </w:rPr>
      </w:pPr>
      <w:r w:rsidRPr="00916D63">
        <w:rPr>
          <w:rFonts w:hint="eastAsia"/>
          <w:kern w:val="0"/>
          <w:szCs w:val="21"/>
        </w:rPr>
        <w:t>投资者投资于本基金前请认真阅读证券交易所及登记机构的相关业务规则及其不时的更新，确保具备相关专业知识、清楚了解相关规则流程后方可参与本基金的申购、赎回及交易。投资者一旦申购或赎回本基金，即表示对基金申购和赎回所涉及的基金份额的证券变更登记方式以及申购赎回所涉及组合证券、现金替代、现金差额及其他对价等相关的交收方式已经认可。</w:t>
      </w:r>
    </w:p>
    <w:p w:rsidR="00916D63" w:rsidRPr="00916D63" w:rsidRDefault="00916D63" w:rsidP="00916D63">
      <w:pPr>
        <w:spacing w:line="360" w:lineRule="auto"/>
        <w:ind w:firstLineChars="200" w:firstLine="420"/>
        <w:rPr>
          <w:rFonts w:hint="eastAsia"/>
          <w:kern w:val="0"/>
          <w:szCs w:val="21"/>
        </w:rPr>
      </w:pPr>
      <w:r w:rsidRPr="00916D63">
        <w:rPr>
          <w:rFonts w:hint="eastAsia"/>
          <w:kern w:val="0"/>
          <w:szCs w:val="21"/>
        </w:rPr>
        <w:t>基金管理人提醒投资者基金投资的“买者自负”原则，在投资者作出投资决策后，基金运营状况与基金净值变化引致的投资风险，由投资者自行负责。此外，本基金以</w:t>
      </w:r>
      <w:r w:rsidRPr="00916D63">
        <w:rPr>
          <w:rFonts w:hint="eastAsia"/>
          <w:kern w:val="0"/>
          <w:szCs w:val="21"/>
        </w:rPr>
        <w:t>1.00</w:t>
      </w:r>
      <w:r w:rsidRPr="00916D63">
        <w:rPr>
          <w:rFonts w:hint="eastAsia"/>
          <w:kern w:val="0"/>
          <w:szCs w:val="21"/>
        </w:rPr>
        <w:t>元初始面值进行募集，在市场波动等因素的影响下，存在单位份额净值跌破</w:t>
      </w:r>
      <w:r w:rsidRPr="00916D63">
        <w:rPr>
          <w:rFonts w:hint="eastAsia"/>
          <w:kern w:val="0"/>
          <w:szCs w:val="21"/>
        </w:rPr>
        <w:t>1.00</w:t>
      </w:r>
      <w:r w:rsidRPr="00916D63">
        <w:rPr>
          <w:rFonts w:hint="eastAsia"/>
          <w:kern w:val="0"/>
          <w:szCs w:val="21"/>
        </w:rPr>
        <w:t>元初始面值的风险。</w:t>
      </w:r>
    </w:p>
    <w:p w:rsidR="00916D63" w:rsidRPr="00916D63" w:rsidRDefault="00916D63" w:rsidP="00916D63">
      <w:pPr>
        <w:spacing w:line="360" w:lineRule="auto"/>
        <w:ind w:firstLineChars="200" w:firstLine="420"/>
        <w:rPr>
          <w:rFonts w:hint="eastAsia"/>
          <w:kern w:val="0"/>
          <w:szCs w:val="21"/>
        </w:rPr>
      </w:pPr>
      <w:r w:rsidRPr="00916D63">
        <w:rPr>
          <w:rFonts w:hint="eastAsia"/>
          <w:kern w:val="0"/>
          <w:szCs w:val="21"/>
        </w:rPr>
        <w:t>基金不同于银行储蓄与债券，基金投资者有可能获得较高的收益，也有可能损失本金。投资有风险，投资者在进行投资决策前，请仔细阅读本基金的招募说明书、《基金合同》及基金产品资料概要。</w:t>
      </w:r>
    </w:p>
    <w:p w:rsidR="00916D63" w:rsidRDefault="00916D63" w:rsidP="0064796E">
      <w:pPr>
        <w:spacing w:line="360" w:lineRule="auto"/>
        <w:ind w:firstLineChars="200" w:firstLine="420"/>
        <w:rPr>
          <w:kern w:val="0"/>
          <w:szCs w:val="21"/>
        </w:rPr>
      </w:pPr>
      <w:r w:rsidRPr="00916D63">
        <w:rPr>
          <w:rFonts w:hint="eastAsia"/>
          <w:kern w:val="0"/>
          <w:szCs w:val="21"/>
        </w:rPr>
        <w:t>基金管理人依照恪尽职守、诚实信用、谨慎勤勉的原则管理和运用基金财产，但不保证基金一定盈利，也不保证最低收益。基金的过往业绩并不预示其未来表现。基金管理人管理的其他基金的业绩不构成对本基金业绩表现的保证。</w:t>
      </w:r>
    </w:p>
    <w:p w:rsidR="00A711E9" w:rsidRDefault="00A711E9" w:rsidP="0064796E">
      <w:pPr>
        <w:spacing w:line="360" w:lineRule="auto"/>
        <w:ind w:firstLineChars="200" w:firstLine="420"/>
        <w:rPr>
          <w:kern w:val="0"/>
          <w:szCs w:val="21"/>
        </w:rPr>
      </w:pPr>
      <w:r w:rsidRPr="006F3005">
        <w:rPr>
          <w:kern w:val="0"/>
          <w:szCs w:val="21"/>
        </w:rPr>
        <w:t>特此公告。</w:t>
      </w:r>
    </w:p>
    <w:p w:rsidR="00CD6F2E" w:rsidRPr="006F3005" w:rsidRDefault="00CD6F2E" w:rsidP="0064796E">
      <w:pPr>
        <w:spacing w:line="360" w:lineRule="auto"/>
        <w:ind w:firstLineChars="200" w:firstLine="420"/>
        <w:rPr>
          <w:rFonts w:hint="eastAsia"/>
          <w:kern w:val="0"/>
          <w:szCs w:val="21"/>
        </w:rPr>
      </w:pPr>
    </w:p>
    <w:p w:rsidR="008409CB" w:rsidRPr="006F3005" w:rsidRDefault="008409CB" w:rsidP="0064796E">
      <w:pPr>
        <w:spacing w:line="312" w:lineRule="auto"/>
        <w:ind w:firstLineChars="200" w:firstLine="420"/>
        <w:jc w:val="right"/>
        <w:rPr>
          <w:kern w:val="0"/>
          <w:szCs w:val="21"/>
        </w:rPr>
      </w:pPr>
      <w:r w:rsidRPr="006F3005">
        <w:rPr>
          <w:kern w:val="0"/>
          <w:szCs w:val="21"/>
        </w:rPr>
        <w:t>万家基金管理有限公司</w:t>
      </w:r>
    </w:p>
    <w:p w:rsidR="006C79C5" w:rsidRPr="006F3005" w:rsidRDefault="00BC7B71" w:rsidP="0064796E">
      <w:pPr>
        <w:spacing w:line="312" w:lineRule="auto"/>
        <w:ind w:firstLineChars="200" w:firstLine="420"/>
        <w:jc w:val="right"/>
        <w:rPr>
          <w:kern w:val="0"/>
          <w:szCs w:val="21"/>
        </w:rPr>
      </w:pPr>
      <w:r>
        <w:rPr>
          <w:kern w:val="0"/>
          <w:szCs w:val="21"/>
        </w:rPr>
        <w:t>2026</w:t>
      </w:r>
      <w:r w:rsidR="009559C4">
        <w:rPr>
          <w:kern w:val="0"/>
          <w:szCs w:val="21"/>
        </w:rPr>
        <w:t>年</w:t>
      </w:r>
      <w:r>
        <w:rPr>
          <w:kern w:val="0"/>
          <w:szCs w:val="21"/>
        </w:rPr>
        <w:t>2</w:t>
      </w:r>
      <w:r w:rsidR="009559C4">
        <w:rPr>
          <w:kern w:val="0"/>
          <w:szCs w:val="21"/>
        </w:rPr>
        <w:t>月</w:t>
      </w:r>
      <w:r>
        <w:rPr>
          <w:kern w:val="0"/>
          <w:szCs w:val="21"/>
        </w:rPr>
        <w:t>9</w:t>
      </w:r>
      <w:r w:rsidR="009559C4">
        <w:rPr>
          <w:kern w:val="0"/>
          <w:szCs w:val="21"/>
        </w:rPr>
        <w:t>日</w:t>
      </w:r>
    </w:p>
    <w:sectPr w:rsidR="006C79C5" w:rsidRPr="006F3005" w:rsidSect="00757C1C">
      <w:footerReference w:type="even" r:id="rId8"/>
      <w:footerReference w:type="default" r:id="rId9"/>
      <w:pgSz w:w="11906" w:h="16838" w:code="9"/>
      <w:pgMar w:top="209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90C" w:rsidRDefault="002D390C">
      <w:r>
        <w:separator/>
      </w:r>
    </w:p>
  </w:endnote>
  <w:endnote w:type="continuationSeparator" w:id="0">
    <w:p w:rsidR="002D390C" w:rsidRDefault="002D3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C87" w:rsidRPr="00D14A64" w:rsidRDefault="00D62C87" w:rsidP="00D14A64">
    <w:pPr>
      <w:pStyle w:val="a4"/>
      <w:framePr w:w="4620" w:wrap="around" w:vAnchor="text" w:hAnchor="page" w:x="1532" w:y="7"/>
      <w:rPr>
        <w:rStyle w:val="a5"/>
        <w:rFonts w:ascii="宋体" w:hAnsi="宋体"/>
        <w:sz w:val="28"/>
        <w:szCs w:val="28"/>
      </w:rPr>
    </w:pPr>
    <w:r>
      <w:rPr>
        <w:rStyle w:val="a5"/>
        <w:rFonts w:ascii="宋体" w:hAnsi="宋体" w:hint="eastAsia"/>
        <w:sz w:val="28"/>
        <w:szCs w:val="28"/>
      </w:rPr>
      <w:t>-</w:t>
    </w:r>
    <w:r w:rsidRPr="00D14A64">
      <w:rPr>
        <w:rStyle w:val="a5"/>
        <w:rFonts w:ascii="宋体" w:hAnsi="宋体"/>
        <w:sz w:val="28"/>
        <w:szCs w:val="28"/>
      </w:rPr>
      <w:fldChar w:fldCharType="begin"/>
    </w:r>
    <w:r w:rsidRPr="00D14A64">
      <w:rPr>
        <w:rStyle w:val="a5"/>
        <w:rFonts w:ascii="宋体" w:hAnsi="宋体"/>
        <w:sz w:val="28"/>
        <w:szCs w:val="28"/>
      </w:rPr>
      <w:instrText xml:space="preserve">PAGE  </w:instrText>
    </w:r>
    <w:r w:rsidRPr="00D14A64">
      <w:rPr>
        <w:rStyle w:val="a5"/>
        <w:rFonts w:ascii="宋体" w:hAnsi="宋体"/>
        <w:sz w:val="28"/>
        <w:szCs w:val="28"/>
      </w:rPr>
      <w:fldChar w:fldCharType="separate"/>
    </w:r>
    <w:r>
      <w:rPr>
        <w:rStyle w:val="a5"/>
        <w:rFonts w:ascii="宋体" w:hAnsi="宋体"/>
        <w:noProof/>
        <w:sz w:val="28"/>
        <w:szCs w:val="28"/>
      </w:rPr>
      <w:t>2</w:t>
    </w:r>
    <w:r w:rsidRPr="00D14A64">
      <w:rPr>
        <w:rStyle w:val="a5"/>
        <w:rFonts w:ascii="宋体" w:hAnsi="宋体"/>
        <w:sz w:val="28"/>
        <w:szCs w:val="28"/>
      </w:rPr>
      <w:fldChar w:fldCharType="end"/>
    </w:r>
    <w:r>
      <w:rPr>
        <w:rStyle w:val="a5"/>
        <w:rFonts w:ascii="宋体" w:hAnsi="宋体" w:hint="eastAsia"/>
        <w:sz w:val="28"/>
        <w:szCs w:val="28"/>
      </w:rPr>
      <w:t>-</w:t>
    </w:r>
  </w:p>
  <w:p w:rsidR="00D62C87" w:rsidRDefault="00D62C8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C87" w:rsidRPr="00395177" w:rsidRDefault="00D62C87" w:rsidP="00395177">
    <w:pPr>
      <w:pStyle w:val="a4"/>
      <w:framePr w:w="4905" w:wrap="around" w:vAnchor="text" w:hAnchor="page" w:x="5482" w:y="7"/>
      <w:ind w:firstLineChars="1500" w:firstLine="4200"/>
      <w:rPr>
        <w:rStyle w:val="a5"/>
        <w:rFonts w:ascii="宋体" w:hAnsi="宋体"/>
        <w:sz w:val="28"/>
        <w:szCs w:val="28"/>
      </w:rPr>
    </w:pPr>
    <w:r>
      <w:rPr>
        <w:rStyle w:val="a5"/>
        <w:rFonts w:ascii="宋体" w:hAnsi="宋体" w:hint="eastAsia"/>
        <w:sz w:val="28"/>
        <w:szCs w:val="28"/>
      </w:rPr>
      <w:t>-</w:t>
    </w:r>
    <w:r w:rsidRPr="00395177">
      <w:rPr>
        <w:rStyle w:val="a5"/>
        <w:rFonts w:ascii="宋体" w:hAnsi="宋体"/>
        <w:sz w:val="28"/>
        <w:szCs w:val="28"/>
      </w:rPr>
      <w:fldChar w:fldCharType="begin"/>
    </w:r>
    <w:r w:rsidRPr="00395177">
      <w:rPr>
        <w:rStyle w:val="a5"/>
        <w:rFonts w:ascii="宋体" w:hAnsi="宋体"/>
        <w:sz w:val="28"/>
        <w:szCs w:val="28"/>
      </w:rPr>
      <w:instrText xml:space="preserve">PAGE  </w:instrText>
    </w:r>
    <w:r w:rsidRPr="00395177">
      <w:rPr>
        <w:rStyle w:val="a5"/>
        <w:rFonts w:ascii="宋体" w:hAnsi="宋体"/>
        <w:sz w:val="28"/>
        <w:szCs w:val="28"/>
      </w:rPr>
      <w:fldChar w:fldCharType="separate"/>
    </w:r>
    <w:r w:rsidR="00BF5AD0">
      <w:rPr>
        <w:rStyle w:val="a5"/>
        <w:rFonts w:ascii="宋体" w:hAnsi="宋体"/>
        <w:noProof/>
        <w:sz w:val="28"/>
        <w:szCs w:val="28"/>
      </w:rPr>
      <w:t>2</w:t>
    </w:r>
    <w:r w:rsidRPr="00395177">
      <w:rPr>
        <w:rStyle w:val="a5"/>
        <w:rFonts w:ascii="宋体" w:hAnsi="宋体"/>
        <w:sz w:val="28"/>
        <w:szCs w:val="28"/>
      </w:rPr>
      <w:fldChar w:fldCharType="end"/>
    </w:r>
    <w:r>
      <w:rPr>
        <w:rStyle w:val="a5"/>
        <w:rFonts w:ascii="宋体" w:hAnsi="宋体" w:hint="eastAsia"/>
        <w:sz w:val="28"/>
        <w:szCs w:val="28"/>
      </w:rPr>
      <w:t>-</w:t>
    </w:r>
  </w:p>
  <w:p w:rsidR="00D62C87" w:rsidRDefault="00D62C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90C" w:rsidRDefault="002D390C">
      <w:r>
        <w:separator/>
      </w:r>
    </w:p>
  </w:footnote>
  <w:footnote w:type="continuationSeparator" w:id="0">
    <w:p w:rsidR="002D390C" w:rsidRDefault="002D39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44AC2"/>
    <w:multiLevelType w:val="hybridMultilevel"/>
    <w:tmpl w:val="E670F364"/>
    <w:lvl w:ilvl="0" w:tplc="0528237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0110DB4"/>
    <w:multiLevelType w:val="hybridMultilevel"/>
    <w:tmpl w:val="1A9667B8"/>
    <w:lvl w:ilvl="0" w:tplc="01E280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24711DC"/>
    <w:multiLevelType w:val="multilevel"/>
    <w:tmpl w:val="CE6CA67A"/>
    <w:lvl w:ilvl="0">
      <w:start w:val="7"/>
      <w:numFmt w:val="decimal"/>
      <w:lvlText w:val="%1"/>
      <w:lvlJc w:val="left"/>
      <w:pPr>
        <w:ind w:left="360" w:hanging="360"/>
      </w:pPr>
      <w:rPr>
        <w:rFonts w:hint="default"/>
        <w:b/>
      </w:rPr>
    </w:lvl>
    <w:lvl w:ilvl="1">
      <w:start w:val="2"/>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040" w:hanging="1800"/>
      </w:pPr>
      <w:rPr>
        <w:rFonts w:hint="default"/>
        <w:b/>
      </w:rPr>
    </w:lvl>
  </w:abstractNum>
  <w:abstractNum w:abstractNumId="3">
    <w:nsid w:val="3F5D0897"/>
    <w:multiLevelType w:val="hybridMultilevel"/>
    <w:tmpl w:val="70CCC1F6"/>
    <w:lvl w:ilvl="0" w:tplc="75F6BAE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trackRevisions/>
  <w:doNotTrackMoves/>
  <w:defaultTabStop w:val="420"/>
  <w:drawingGridHorizontalSpacing w:val="158"/>
  <w:drawingGridVerticalSpacing w:val="59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2125"/>
    <w:rsid w:val="00001914"/>
    <w:rsid w:val="00002A76"/>
    <w:rsid w:val="00002AD8"/>
    <w:rsid w:val="00003C81"/>
    <w:rsid w:val="00003F24"/>
    <w:rsid w:val="00006850"/>
    <w:rsid w:val="00006D13"/>
    <w:rsid w:val="00007BC7"/>
    <w:rsid w:val="00013F62"/>
    <w:rsid w:val="00020C00"/>
    <w:rsid w:val="00020CA2"/>
    <w:rsid w:val="0002170B"/>
    <w:rsid w:val="0002194A"/>
    <w:rsid w:val="0002611D"/>
    <w:rsid w:val="00026A35"/>
    <w:rsid w:val="00026D3B"/>
    <w:rsid w:val="000277A4"/>
    <w:rsid w:val="000345B4"/>
    <w:rsid w:val="0003681D"/>
    <w:rsid w:val="00036FBB"/>
    <w:rsid w:val="00037F7A"/>
    <w:rsid w:val="000400E3"/>
    <w:rsid w:val="000414BA"/>
    <w:rsid w:val="00044F39"/>
    <w:rsid w:val="0004533C"/>
    <w:rsid w:val="0004603D"/>
    <w:rsid w:val="000469DF"/>
    <w:rsid w:val="000510AB"/>
    <w:rsid w:val="00051C9C"/>
    <w:rsid w:val="00051D9B"/>
    <w:rsid w:val="00051FBD"/>
    <w:rsid w:val="00052CC7"/>
    <w:rsid w:val="00057B85"/>
    <w:rsid w:val="00060B88"/>
    <w:rsid w:val="0006182B"/>
    <w:rsid w:val="0006220C"/>
    <w:rsid w:val="000631C3"/>
    <w:rsid w:val="000649B3"/>
    <w:rsid w:val="000672EC"/>
    <w:rsid w:val="000673C9"/>
    <w:rsid w:val="000713EC"/>
    <w:rsid w:val="0007165E"/>
    <w:rsid w:val="0007256C"/>
    <w:rsid w:val="00074CAB"/>
    <w:rsid w:val="0007627C"/>
    <w:rsid w:val="00080611"/>
    <w:rsid w:val="0008415C"/>
    <w:rsid w:val="0008491D"/>
    <w:rsid w:val="00084A59"/>
    <w:rsid w:val="00086EBE"/>
    <w:rsid w:val="00090E67"/>
    <w:rsid w:val="000925DF"/>
    <w:rsid w:val="00092D6C"/>
    <w:rsid w:val="000A379D"/>
    <w:rsid w:val="000A3E18"/>
    <w:rsid w:val="000A463D"/>
    <w:rsid w:val="000A4A17"/>
    <w:rsid w:val="000A50C9"/>
    <w:rsid w:val="000A7D58"/>
    <w:rsid w:val="000A7E43"/>
    <w:rsid w:val="000B1063"/>
    <w:rsid w:val="000B1AE4"/>
    <w:rsid w:val="000B65C7"/>
    <w:rsid w:val="000B6EEA"/>
    <w:rsid w:val="000C2119"/>
    <w:rsid w:val="000C3589"/>
    <w:rsid w:val="000C405D"/>
    <w:rsid w:val="000C5AD5"/>
    <w:rsid w:val="000C79BA"/>
    <w:rsid w:val="000D0739"/>
    <w:rsid w:val="000D1A87"/>
    <w:rsid w:val="000D1BBC"/>
    <w:rsid w:val="000D3392"/>
    <w:rsid w:val="000D3835"/>
    <w:rsid w:val="000D387E"/>
    <w:rsid w:val="000D3E02"/>
    <w:rsid w:val="000D5C52"/>
    <w:rsid w:val="000D6B1D"/>
    <w:rsid w:val="000D765A"/>
    <w:rsid w:val="000D7B7F"/>
    <w:rsid w:val="000E00B0"/>
    <w:rsid w:val="000E083F"/>
    <w:rsid w:val="000E0C17"/>
    <w:rsid w:val="000E28FA"/>
    <w:rsid w:val="000E5B2F"/>
    <w:rsid w:val="000E6DEB"/>
    <w:rsid w:val="000E78FB"/>
    <w:rsid w:val="000F3162"/>
    <w:rsid w:val="000F390A"/>
    <w:rsid w:val="000F5396"/>
    <w:rsid w:val="000F5406"/>
    <w:rsid w:val="0010017E"/>
    <w:rsid w:val="00103854"/>
    <w:rsid w:val="00104332"/>
    <w:rsid w:val="00104DD6"/>
    <w:rsid w:val="001110B8"/>
    <w:rsid w:val="001110F9"/>
    <w:rsid w:val="00111508"/>
    <w:rsid w:val="00112398"/>
    <w:rsid w:val="001129EF"/>
    <w:rsid w:val="00115C54"/>
    <w:rsid w:val="00117A54"/>
    <w:rsid w:val="001215EB"/>
    <w:rsid w:val="00122A2A"/>
    <w:rsid w:val="0013289D"/>
    <w:rsid w:val="00133604"/>
    <w:rsid w:val="001353B0"/>
    <w:rsid w:val="00137154"/>
    <w:rsid w:val="00137369"/>
    <w:rsid w:val="001405BD"/>
    <w:rsid w:val="00141B12"/>
    <w:rsid w:val="001420EF"/>
    <w:rsid w:val="0014277C"/>
    <w:rsid w:val="00142E64"/>
    <w:rsid w:val="00143FCE"/>
    <w:rsid w:val="00144C9D"/>
    <w:rsid w:val="001458A3"/>
    <w:rsid w:val="00146C06"/>
    <w:rsid w:val="001472B7"/>
    <w:rsid w:val="00147B02"/>
    <w:rsid w:val="00147ED9"/>
    <w:rsid w:val="00152A36"/>
    <w:rsid w:val="00154232"/>
    <w:rsid w:val="001548A4"/>
    <w:rsid w:val="00154B2C"/>
    <w:rsid w:val="00155776"/>
    <w:rsid w:val="00155AFD"/>
    <w:rsid w:val="00156868"/>
    <w:rsid w:val="001579EC"/>
    <w:rsid w:val="00157B8A"/>
    <w:rsid w:val="00161608"/>
    <w:rsid w:val="0016284F"/>
    <w:rsid w:val="00163623"/>
    <w:rsid w:val="00163DE1"/>
    <w:rsid w:val="00167205"/>
    <w:rsid w:val="00167393"/>
    <w:rsid w:val="00172CD7"/>
    <w:rsid w:val="00173218"/>
    <w:rsid w:val="0017433E"/>
    <w:rsid w:val="00176878"/>
    <w:rsid w:val="00177D21"/>
    <w:rsid w:val="001811CA"/>
    <w:rsid w:val="00181414"/>
    <w:rsid w:val="00181E0E"/>
    <w:rsid w:val="00181EB4"/>
    <w:rsid w:val="00183E5F"/>
    <w:rsid w:val="0018559C"/>
    <w:rsid w:val="00186207"/>
    <w:rsid w:val="001867DF"/>
    <w:rsid w:val="0019149B"/>
    <w:rsid w:val="001927F4"/>
    <w:rsid w:val="00193B12"/>
    <w:rsid w:val="00193E59"/>
    <w:rsid w:val="00194421"/>
    <w:rsid w:val="0019453B"/>
    <w:rsid w:val="001A332F"/>
    <w:rsid w:val="001A36B9"/>
    <w:rsid w:val="001A636E"/>
    <w:rsid w:val="001A652C"/>
    <w:rsid w:val="001A6C6F"/>
    <w:rsid w:val="001A75ED"/>
    <w:rsid w:val="001B0B20"/>
    <w:rsid w:val="001B4AAA"/>
    <w:rsid w:val="001B65B3"/>
    <w:rsid w:val="001B7564"/>
    <w:rsid w:val="001B7DAE"/>
    <w:rsid w:val="001B7E35"/>
    <w:rsid w:val="001C03E5"/>
    <w:rsid w:val="001C13C6"/>
    <w:rsid w:val="001C1E60"/>
    <w:rsid w:val="001C27B7"/>
    <w:rsid w:val="001C3B53"/>
    <w:rsid w:val="001C48DB"/>
    <w:rsid w:val="001C635D"/>
    <w:rsid w:val="001D1EC2"/>
    <w:rsid w:val="001D4439"/>
    <w:rsid w:val="001D655D"/>
    <w:rsid w:val="001D7167"/>
    <w:rsid w:val="001D7DC3"/>
    <w:rsid w:val="001E1134"/>
    <w:rsid w:val="001E2375"/>
    <w:rsid w:val="001E2759"/>
    <w:rsid w:val="001E3297"/>
    <w:rsid w:val="001E4FA3"/>
    <w:rsid w:val="001F19EE"/>
    <w:rsid w:val="001F1A0E"/>
    <w:rsid w:val="001F3D4D"/>
    <w:rsid w:val="001F5EF5"/>
    <w:rsid w:val="001F799C"/>
    <w:rsid w:val="00200380"/>
    <w:rsid w:val="00202605"/>
    <w:rsid w:val="0020354A"/>
    <w:rsid w:val="00203F4D"/>
    <w:rsid w:val="00203FCB"/>
    <w:rsid w:val="00203FD9"/>
    <w:rsid w:val="002049E6"/>
    <w:rsid w:val="002049F4"/>
    <w:rsid w:val="002057FB"/>
    <w:rsid w:val="002060AD"/>
    <w:rsid w:val="00206B70"/>
    <w:rsid w:val="00211D5A"/>
    <w:rsid w:val="002129ED"/>
    <w:rsid w:val="00212D78"/>
    <w:rsid w:val="00221D69"/>
    <w:rsid w:val="00221E3B"/>
    <w:rsid w:val="00223262"/>
    <w:rsid w:val="00223B80"/>
    <w:rsid w:val="002302F2"/>
    <w:rsid w:val="00232579"/>
    <w:rsid w:val="00232870"/>
    <w:rsid w:val="002345C5"/>
    <w:rsid w:val="0023547A"/>
    <w:rsid w:val="00237AC6"/>
    <w:rsid w:val="002437AB"/>
    <w:rsid w:val="00244E90"/>
    <w:rsid w:val="00245328"/>
    <w:rsid w:val="00245C43"/>
    <w:rsid w:val="00251921"/>
    <w:rsid w:val="00252FE0"/>
    <w:rsid w:val="002542A0"/>
    <w:rsid w:val="00256508"/>
    <w:rsid w:val="00256629"/>
    <w:rsid w:val="00260941"/>
    <w:rsid w:val="00267BCA"/>
    <w:rsid w:val="00270FE3"/>
    <w:rsid w:val="002713E0"/>
    <w:rsid w:val="00271721"/>
    <w:rsid w:val="0027347B"/>
    <w:rsid w:val="00275DBA"/>
    <w:rsid w:val="00277A1E"/>
    <w:rsid w:val="0028042F"/>
    <w:rsid w:val="00282054"/>
    <w:rsid w:val="002855EE"/>
    <w:rsid w:val="00286368"/>
    <w:rsid w:val="0028657E"/>
    <w:rsid w:val="00286DC0"/>
    <w:rsid w:val="00286EEA"/>
    <w:rsid w:val="002901D1"/>
    <w:rsid w:val="00290AAA"/>
    <w:rsid w:val="00290C74"/>
    <w:rsid w:val="00291B96"/>
    <w:rsid w:val="00296B71"/>
    <w:rsid w:val="002A1BA2"/>
    <w:rsid w:val="002A6733"/>
    <w:rsid w:val="002A7E51"/>
    <w:rsid w:val="002B0B3D"/>
    <w:rsid w:val="002B0E9A"/>
    <w:rsid w:val="002B25E1"/>
    <w:rsid w:val="002B484E"/>
    <w:rsid w:val="002B4ACF"/>
    <w:rsid w:val="002B562C"/>
    <w:rsid w:val="002B77F9"/>
    <w:rsid w:val="002B7B40"/>
    <w:rsid w:val="002C0904"/>
    <w:rsid w:val="002C25CC"/>
    <w:rsid w:val="002C2AC4"/>
    <w:rsid w:val="002C2D7E"/>
    <w:rsid w:val="002C544A"/>
    <w:rsid w:val="002C7F0F"/>
    <w:rsid w:val="002D049D"/>
    <w:rsid w:val="002D1E86"/>
    <w:rsid w:val="002D22E5"/>
    <w:rsid w:val="002D2CC7"/>
    <w:rsid w:val="002D314C"/>
    <w:rsid w:val="002D390C"/>
    <w:rsid w:val="002D61E8"/>
    <w:rsid w:val="002D7DF5"/>
    <w:rsid w:val="002E0CB4"/>
    <w:rsid w:val="002E1055"/>
    <w:rsid w:val="002E26FD"/>
    <w:rsid w:val="002E2ADA"/>
    <w:rsid w:val="002E3B96"/>
    <w:rsid w:val="002E4500"/>
    <w:rsid w:val="002E6181"/>
    <w:rsid w:val="002E63D1"/>
    <w:rsid w:val="002F01CB"/>
    <w:rsid w:val="002F13FA"/>
    <w:rsid w:val="002F32F6"/>
    <w:rsid w:val="002F3874"/>
    <w:rsid w:val="002F5069"/>
    <w:rsid w:val="002F7071"/>
    <w:rsid w:val="002F7A3C"/>
    <w:rsid w:val="003019FD"/>
    <w:rsid w:val="00304CDD"/>
    <w:rsid w:val="00312A72"/>
    <w:rsid w:val="00314E70"/>
    <w:rsid w:val="00315311"/>
    <w:rsid w:val="00315A52"/>
    <w:rsid w:val="00315DCC"/>
    <w:rsid w:val="00320340"/>
    <w:rsid w:val="0032145A"/>
    <w:rsid w:val="003215CB"/>
    <w:rsid w:val="0032174E"/>
    <w:rsid w:val="00321C14"/>
    <w:rsid w:val="00321DAD"/>
    <w:rsid w:val="00322338"/>
    <w:rsid w:val="00322C07"/>
    <w:rsid w:val="00323B57"/>
    <w:rsid w:val="00326424"/>
    <w:rsid w:val="00327E2C"/>
    <w:rsid w:val="003302C6"/>
    <w:rsid w:val="00330892"/>
    <w:rsid w:val="00330A75"/>
    <w:rsid w:val="0033212C"/>
    <w:rsid w:val="003324B6"/>
    <w:rsid w:val="003342DD"/>
    <w:rsid w:val="003344E4"/>
    <w:rsid w:val="003353EB"/>
    <w:rsid w:val="003378DB"/>
    <w:rsid w:val="003379CF"/>
    <w:rsid w:val="00340042"/>
    <w:rsid w:val="0034008F"/>
    <w:rsid w:val="00340CB9"/>
    <w:rsid w:val="003451A9"/>
    <w:rsid w:val="00345DB1"/>
    <w:rsid w:val="003506B7"/>
    <w:rsid w:val="0035165C"/>
    <w:rsid w:val="0035561C"/>
    <w:rsid w:val="003557D6"/>
    <w:rsid w:val="00355DF3"/>
    <w:rsid w:val="00356B5E"/>
    <w:rsid w:val="003578A8"/>
    <w:rsid w:val="00360410"/>
    <w:rsid w:val="00360F4C"/>
    <w:rsid w:val="00361D9C"/>
    <w:rsid w:val="00362742"/>
    <w:rsid w:val="00362A9D"/>
    <w:rsid w:val="003631FE"/>
    <w:rsid w:val="00363B72"/>
    <w:rsid w:val="00364259"/>
    <w:rsid w:val="0036475D"/>
    <w:rsid w:val="0036610D"/>
    <w:rsid w:val="00366F62"/>
    <w:rsid w:val="00367279"/>
    <w:rsid w:val="00371C2D"/>
    <w:rsid w:val="003724C7"/>
    <w:rsid w:val="003730E6"/>
    <w:rsid w:val="00375D2F"/>
    <w:rsid w:val="00376595"/>
    <w:rsid w:val="003801C5"/>
    <w:rsid w:val="0038033C"/>
    <w:rsid w:val="00380A94"/>
    <w:rsid w:val="00383B16"/>
    <w:rsid w:val="00384F5E"/>
    <w:rsid w:val="00386230"/>
    <w:rsid w:val="0038630D"/>
    <w:rsid w:val="003876BD"/>
    <w:rsid w:val="00387C23"/>
    <w:rsid w:val="003901E5"/>
    <w:rsid w:val="003937B8"/>
    <w:rsid w:val="00393971"/>
    <w:rsid w:val="00394FBB"/>
    <w:rsid w:val="00395177"/>
    <w:rsid w:val="00395473"/>
    <w:rsid w:val="0039556E"/>
    <w:rsid w:val="003955E4"/>
    <w:rsid w:val="00396398"/>
    <w:rsid w:val="00396411"/>
    <w:rsid w:val="00396A7B"/>
    <w:rsid w:val="003A0BDE"/>
    <w:rsid w:val="003A0C23"/>
    <w:rsid w:val="003A1C65"/>
    <w:rsid w:val="003A43A5"/>
    <w:rsid w:val="003A67CC"/>
    <w:rsid w:val="003A71CA"/>
    <w:rsid w:val="003B0E5F"/>
    <w:rsid w:val="003B1039"/>
    <w:rsid w:val="003B1A59"/>
    <w:rsid w:val="003B238A"/>
    <w:rsid w:val="003B239D"/>
    <w:rsid w:val="003B3029"/>
    <w:rsid w:val="003B3803"/>
    <w:rsid w:val="003B5417"/>
    <w:rsid w:val="003B65F6"/>
    <w:rsid w:val="003B7664"/>
    <w:rsid w:val="003C0413"/>
    <w:rsid w:val="003C4B4B"/>
    <w:rsid w:val="003C6457"/>
    <w:rsid w:val="003D15D8"/>
    <w:rsid w:val="003D2B4A"/>
    <w:rsid w:val="003D2CD3"/>
    <w:rsid w:val="003D3031"/>
    <w:rsid w:val="003D3FC3"/>
    <w:rsid w:val="003D4AA2"/>
    <w:rsid w:val="003D5267"/>
    <w:rsid w:val="003D6853"/>
    <w:rsid w:val="003D6F7F"/>
    <w:rsid w:val="003D7C4B"/>
    <w:rsid w:val="003E0A64"/>
    <w:rsid w:val="003E0A9C"/>
    <w:rsid w:val="003E1DCB"/>
    <w:rsid w:val="003E208F"/>
    <w:rsid w:val="003E4F9E"/>
    <w:rsid w:val="003E54B4"/>
    <w:rsid w:val="003E5DA6"/>
    <w:rsid w:val="003E6659"/>
    <w:rsid w:val="003E74B2"/>
    <w:rsid w:val="003F0576"/>
    <w:rsid w:val="003F3971"/>
    <w:rsid w:val="003F3A36"/>
    <w:rsid w:val="003F451F"/>
    <w:rsid w:val="003F51B6"/>
    <w:rsid w:val="003F5AA1"/>
    <w:rsid w:val="003F7EB3"/>
    <w:rsid w:val="0040245E"/>
    <w:rsid w:val="00402630"/>
    <w:rsid w:val="004055E5"/>
    <w:rsid w:val="004057B9"/>
    <w:rsid w:val="0040593E"/>
    <w:rsid w:val="004069FD"/>
    <w:rsid w:val="0041271A"/>
    <w:rsid w:val="00412EDF"/>
    <w:rsid w:val="00413531"/>
    <w:rsid w:val="00413C3C"/>
    <w:rsid w:val="004144EB"/>
    <w:rsid w:val="00414DF3"/>
    <w:rsid w:val="0042008E"/>
    <w:rsid w:val="0042053A"/>
    <w:rsid w:val="00420EA0"/>
    <w:rsid w:val="0042361E"/>
    <w:rsid w:val="00424225"/>
    <w:rsid w:val="00425B90"/>
    <w:rsid w:val="004263EC"/>
    <w:rsid w:val="00426C02"/>
    <w:rsid w:val="004316EA"/>
    <w:rsid w:val="00432D4D"/>
    <w:rsid w:val="00434C64"/>
    <w:rsid w:val="00441598"/>
    <w:rsid w:val="0044628A"/>
    <w:rsid w:val="00446B35"/>
    <w:rsid w:val="00447B81"/>
    <w:rsid w:val="004500CB"/>
    <w:rsid w:val="004506D2"/>
    <w:rsid w:val="00451474"/>
    <w:rsid w:val="004522E8"/>
    <w:rsid w:val="004533FF"/>
    <w:rsid w:val="0045373B"/>
    <w:rsid w:val="00453D0F"/>
    <w:rsid w:val="00453EED"/>
    <w:rsid w:val="00455916"/>
    <w:rsid w:val="0046110D"/>
    <w:rsid w:val="004627E9"/>
    <w:rsid w:val="00466BB6"/>
    <w:rsid w:val="00470788"/>
    <w:rsid w:val="00471241"/>
    <w:rsid w:val="00471E6D"/>
    <w:rsid w:val="004741FF"/>
    <w:rsid w:val="00475074"/>
    <w:rsid w:val="00476577"/>
    <w:rsid w:val="004772D4"/>
    <w:rsid w:val="0047752E"/>
    <w:rsid w:val="004806FE"/>
    <w:rsid w:val="00481096"/>
    <w:rsid w:val="0048229C"/>
    <w:rsid w:val="00482DCE"/>
    <w:rsid w:val="0048445B"/>
    <w:rsid w:val="0048588F"/>
    <w:rsid w:val="00485ED6"/>
    <w:rsid w:val="0048770A"/>
    <w:rsid w:val="00487B9B"/>
    <w:rsid w:val="004906B0"/>
    <w:rsid w:val="00490F0E"/>
    <w:rsid w:val="004928A9"/>
    <w:rsid w:val="00492C51"/>
    <w:rsid w:val="00494B09"/>
    <w:rsid w:val="0049690F"/>
    <w:rsid w:val="004A2013"/>
    <w:rsid w:val="004A3426"/>
    <w:rsid w:val="004A3668"/>
    <w:rsid w:val="004A5512"/>
    <w:rsid w:val="004A5B8B"/>
    <w:rsid w:val="004A5DD1"/>
    <w:rsid w:val="004A615A"/>
    <w:rsid w:val="004B0324"/>
    <w:rsid w:val="004B2ED6"/>
    <w:rsid w:val="004B54C5"/>
    <w:rsid w:val="004B5BA1"/>
    <w:rsid w:val="004C0DED"/>
    <w:rsid w:val="004C29CC"/>
    <w:rsid w:val="004C2CB2"/>
    <w:rsid w:val="004C3610"/>
    <w:rsid w:val="004C4039"/>
    <w:rsid w:val="004C5DBC"/>
    <w:rsid w:val="004C6A81"/>
    <w:rsid w:val="004C76BC"/>
    <w:rsid w:val="004D2B53"/>
    <w:rsid w:val="004D400B"/>
    <w:rsid w:val="004D4820"/>
    <w:rsid w:val="004D5BEA"/>
    <w:rsid w:val="004D6AC2"/>
    <w:rsid w:val="004E0109"/>
    <w:rsid w:val="004E16A1"/>
    <w:rsid w:val="004E295D"/>
    <w:rsid w:val="004E2C9E"/>
    <w:rsid w:val="004E70DE"/>
    <w:rsid w:val="004F0739"/>
    <w:rsid w:val="004F2DC6"/>
    <w:rsid w:val="004F4BF1"/>
    <w:rsid w:val="004F571A"/>
    <w:rsid w:val="004F6FF7"/>
    <w:rsid w:val="004F7F24"/>
    <w:rsid w:val="00501FC3"/>
    <w:rsid w:val="00502D50"/>
    <w:rsid w:val="00506518"/>
    <w:rsid w:val="00507EA1"/>
    <w:rsid w:val="0051027E"/>
    <w:rsid w:val="005104C5"/>
    <w:rsid w:val="00513600"/>
    <w:rsid w:val="00516CD3"/>
    <w:rsid w:val="00521726"/>
    <w:rsid w:val="0052393B"/>
    <w:rsid w:val="0052524C"/>
    <w:rsid w:val="0052666F"/>
    <w:rsid w:val="00526754"/>
    <w:rsid w:val="00530359"/>
    <w:rsid w:val="00532708"/>
    <w:rsid w:val="00532BC1"/>
    <w:rsid w:val="005332A5"/>
    <w:rsid w:val="00533DA1"/>
    <w:rsid w:val="00540DB2"/>
    <w:rsid w:val="0054109E"/>
    <w:rsid w:val="00541196"/>
    <w:rsid w:val="00541728"/>
    <w:rsid w:val="00541936"/>
    <w:rsid w:val="005450FA"/>
    <w:rsid w:val="005468DD"/>
    <w:rsid w:val="005469E4"/>
    <w:rsid w:val="00553E1E"/>
    <w:rsid w:val="00553FED"/>
    <w:rsid w:val="00554944"/>
    <w:rsid w:val="00554B3C"/>
    <w:rsid w:val="00556267"/>
    <w:rsid w:val="005571B8"/>
    <w:rsid w:val="00560763"/>
    <w:rsid w:val="00560B89"/>
    <w:rsid w:val="0056174A"/>
    <w:rsid w:val="00561B4F"/>
    <w:rsid w:val="00562BAD"/>
    <w:rsid w:val="00562D54"/>
    <w:rsid w:val="005630C3"/>
    <w:rsid w:val="005658D1"/>
    <w:rsid w:val="00566605"/>
    <w:rsid w:val="00567708"/>
    <w:rsid w:val="00570550"/>
    <w:rsid w:val="00571D5B"/>
    <w:rsid w:val="005739A2"/>
    <w:rsid w:val="00576B8F"/>
    <w:rsid w:val="005776CD"/>
    <w:rsid w:val="00581EC3"/>
    <w:rsid w:val="00582109"/>
    <w:rsid w:val="00582695"/>
    <w:rsid w:val="00583FE6"/>
    <w:rsid w:val="00584F46"/>
    <w:rsid w:val="00587D6E"/>
    <w:rsid w:val="00587F48"/>
    <w:rsid w:val="00591FA6"/>
    <w:rsid w:val="005948E7"/>
    <w:rsid w:val="00594FAF"/>
    <w:rsid w:val="005950E6"/>
    <w:rsid w:val="00595AAB"/>
    <w:rsid w:val="00597844"/>
    <w:rsid w:val="005A121C"/>
    <w:rsid w:val="005A19B0"/>
    <w:rsid w:val="005A300F"/>
    <w:rsid w:val="005A5072"/>
    <w:rsid w:val="005A6E4B"/>
    <w:rsid w:val="005B079A"/>
    <w:rsid w:val="005B0CE1"/>
    <w:rsid w:val="005B0EA6"/>
    <w:rsid w:val="005B1159"/>
    <w:rsid w:val="005B1634"/>
    <w:rsid w:val="005B1774"/>
    <w:rsid w:val="005B22E8"/>
    <w:rsid w:val="005B3829"/>
    <w:rsid w:val="005B3A28"/>
    <w:rsid w:val="005B4BF1"/>
    <w:rsid w:val="005C3747"/>
    <w:rsid w:val="005C5576"/>
    <w:rsid w:val="005C58E7"/>
    <w:rsid w:val="005C5C22"/>
    <w:rsid w:val="005D1C4D"/>
    <w:rsid w:val="005D39CE"/>
    <w:rsid w:val="005D7C59"/>
    <w:rsid w:val="005D7EE0"/>
    <w:rsid w:val="005E0225"/>
    <w:rsid w:val="005E1EBE"/>
    <w:rsid w:val="005E26AF"/>
    <w:rsid w:val="005E26E1"/>
    <w:rsid w:val="005E2C93"/>
    <w:rsid w:val="005E3936"/>
    <w:rsid w:val="005E3B94"/>
    <w:rsid w:val="005E40DB"/>
    <w:rsid w:val="005E4281"/>
    <w:rsid w:val="005E54B0"/>
    <w:rsid w:val="005E5503"/>
    <w:rsid w:val="005E61A4"/>
    <w:rsid w:val="005E65D7"/>
    <w:rsid w:val="005E65E4"/>
    <w:rsid w:val="005E7E4A"/>
    <w:rsid w:val="005F0676"/>
    <w:rsid w:val="005F22F7"/>
    <w:rsid w:val="005F542D"/>
    <w:rsid w:val="005F78EA"/>
    <w:rsid w:val="005F7C26"/>
    <w:rsid w:val="006016EA"/>
    <w:rsid w:val="0060465F"/>
    <w:rsid w:val="00605398"/>
    <w:rsid w:val="006063DC"/>
    <w:rsid w:val="006074C8"/>
    <w:rsid w:val="00610F8C"/>
    <w:rsid w:val="0061595C"/>
    <w:rsid w:val="00616AF3"/>
    <w:rsid w:val="0062018A"/>
    <w:rsid w:val="006202A9"/>
    <w:rsid w:val="006225C7"/>
    <w:rsid w:val="00625BA2"/>
    <w:rsid w:val="0062603F"/>
    <w:rsid w:val="00631720"/>
    <w:rsid w:val="00634D40"/>
    <w:rsid w:val="00636E76"/>
    <w:rsid w:val="0064009D"/>
    <w:rsid w:val="0064796E"/>
    <w:rsid w:val="0065048E"/>
    <w:rsid w:val="00651090"/>
    <w:rsid w:val="006519A7"/>
    <w:rsid w:val="00652D5D"/>
    <w:rsid w:val="00655167"/>
    <w:rsid w:val="00657333"/>
    <w:rsid w:val="00657DAE"/>
    <w:rsid w:val="0066110D"/>
    <w:rsid w:val="006611EA"/>
    <w:rsid w:val="00661C15"/>
    <w:rsid w:val="006653D6"/>
    <w:rsid w:val="00666980"/>
    <w:rsid w:val="0066740F"/>
    <w:rsid w:val="00670179"/>
    <w:rsid w:val="00670DF9"/>
    <w:rsid w:val="00674CBD"/>
    <w:rsid w:val="00675405"/>
    <w:rsid w:val="006765D0"/>
    <w:rsid w:val="00677654"/>
    <w:rsid w:val="0068005F"/>
    <w:rsid w:val="00680A90"/>
    <w:rsid w:val="00680BD0"/>
    <w:rsid w:val="006842EB"/>
    <w:rsid w:val="0068454F"/>
    <w:rsid w:val="00695310"/>
    <w:rsid w:val="006A128E"/>
    <w:rsid w:val="006A5755"/>
    <w:rsid w:val="006B5850"/>
    <w:rsid w:val="006C0A43"/>
    <w:rsid w:val="006C14DF"/>
    <w:rsid w:val="006C1BFD"/>
    <w:rsid w:val="006C3E32"/>
    <w:rsid w:val="006C3E99"/>
    <w:rsid w:val="006C417B"/>
    <w:rsid w:val="006C4CFF"/>
    <w:rsid w:val="006C526D"/>
    <w:rsid w:val="006C74ED"/>
    <w:rsid w:val="006C79C5"/>
    <w:rsid w:val="006C7D1E"/>
    <w:rsid w:val="006D03EA"/>
    <w:rsid w:val="006D0598"/>
    <w:rsid w:val="006D088B"/>
    <w:rsid w:val="006D1B60"/>
    <w:rsid w:val="006D6DDC"/>
    <w:rsid w:val="006D763C"/>
    <w:rsid w:val="006E048F"/>
    <w:rsid w:val="006E0FCF"/>
    <w:rsid w:val="006E16DE"/>
    <w:rsid w:val="006E1A33"/>
    <w:rsid w:val="006E1E37"/>
    <w:rsid w:val="006E57BD"/>
    <w:rsid w:val="006E67EE"/>
    <w:rsid w:val="006E6BA0"/>
    <w:rsid w:val="006F1DE2"/>
    <w:rsid w:val="006F22F9"/>
    <w:rsid w:val="006F2398"/>
    <w:rsid w:val="006F3005"/>
    <w:rsid w:val="006F4353"/>
    <w:rsid w:val="006F4D2F"/>
    <w:rsid w:val="00700B3B"/>
    <w:rsid w:val="007013EC"/>
    <w:rsid w:val="00702AA6"/>
    <w:rsid w:val="00702B21"/>
    <w:rsid w:val="00703819"/>
    <w:rsid w:val="007044DA"/>
    <w:rsid w:val="00704C59"/>
    <w:rsid w:val="0070583E"/>
    <w:rsid w:val="00706028"/>
    <w:rsid w:val="00707226"/>
    <w:rsid w:val="0071188E"/>
    <w:rsid w:val="00713A35"/>
    <w:rsid w:val="00713E88"/>
    <w:rsid w:val="00714ADA"/>
    <w:rsid w:val="00714DEB"/>
    <w:rsid w:val="00714DF1"/>
    <w:rsid w:val="00716042"/>
    <w:rsid w:val="0072364A"/>
    <w:rsid w:val="00723FE1"/>
    <w:rsid w:val="00725832"/>
    <w:rsid w:val="0072780E"/>
    <w:rsid w:val="007300DD"/>
    <w:rsid w:val="00730216"/>
    <w:rsid w:val="0073244B"/>
    <w:rsid w:val="0073440F"/>
    <w:rsid w:val="00735E07"/>
    <w:rsid w:val="00736EFA"/>
    <w:rsid w:val="00740346"/>
    <w:rsid w:val="007445DD"/>
    <w:rsid w:val="00744AC4"/>
    <w:rsid w:val="00745D88"/>
    <w:rsid w:val="007461BE"/>
    <w:rsid w:val="00747C69"/>
    <w:rsid w:val="00750648"/>
    <w:rsid w:val="00754316"/>
    <w:rsid w:val="00754648"/>
    <w:rsid w:val="0075478B"/>
    <w:rsid w:val="00756A9B"/>
    <w:rsid w:val="00757866"/>
    <w:rsid w:val="00757C1C"/>
    <w:rsid w:val="00757C9C"/>
    <w:rsid w:val="007600F3"/>
    <w:rsid w:val="007617C0"/>
    <w:rsid w:val="0076365B"/>
    <w:rsid w:val="007639C1"/>
    <w:rsid w:val="007653D9"/>
    <w:rsid w:val="00772605"/>
    <w:rsid w:val="0077341A"/>
    <w:rsid w:val="007737A5"/>
    <w:rsid w:val="0077457E"/>
    <w:rsid w:val="00774CD3"/>
    <w:rsid w:val="00775B77"/>
    <w:rsid w:val="00776EBF"/>
    <w:rsid w:val="007770B7"/>
    <w:rsid w:val="00777CC3"/>
    <w:rsid w:val="0078093F"/>
    <w:rsid w:val="007826BC"/>
    <w:rsid w:val="00782A6D"/>
    <w:rsid w:val="00783D8B"/>
    <w:rsid w:val="00784BEE"/>
    <w:rsid w:val="007876D9"/>
    <w:rsid w:val="00787700"/>
    <w:rsid w:val="00791806"/>
    <w:rsid w:val="007938D2"/>
    <w:rsid w:val="00794296"/>
    <w:rsid w:val="00796408"/>
    <w:rsid w:val="00797D1F"/>
    <w:rsid w:val="007A0B2A"/>
    <w:rsid w:val="007A1E42"/>
    <w:rsid w:val="007A1EBB"/>
    <w:rsid w:val="007A54B0"/>
    <w:rsid w:val="007A5918"/>
    <w:rsid w:val="007A67D9"/>
    <w:rsid w:val="007A7D2B"/>
    <w:rsid w:val="007B016D"/>
    <w:rsid w:val="007B077F"/>
    <w:rsid w:val="007B2CA4"/>
    <w:rsid w:val="007B30E8"/>
    <w:rsid w:val="007B43C2"/>
    <w:rsid w:val="007B545E"/>
    <w:rsid w:val="007B62B5"/>
    <w:rsid w:val="007B69E6"/>
    <w:rsid w:val="007B740F"/>
    <w:rsid w:val="007B7C72"/>
    <w:rsid w:val="007B7CD5"/>
    <w:rsid w:val="007C0655"/>
    <w:rsid w:val="007C35AC"/>
    <w:rsid w:val="007C4B97"/>
    <w:rsid w:val="007C4C15"/>
    <w:rsid w:val="007C6773"/>
    <w:rsid w:val="007C6E55"/>
    <w:rsid w:val="007D1F9D"/>
    <w:rsid w:val="007D2081"/>
    <w:rsid w:val="007D2F77"/>
    <w:rsid w:val="007D657E"/>
    <w:rsid w:val="007D6722"/>
    <w:rsid w:val="007E0507"/>
    <w:rsid w:val="007E0DB6"/>
    <w:rsid w:val="007E2958"/>
    <w:rsid w:val="007E5DE4"/>
    <w:rsid w:val="007E695B"/>
    <w:rsid w:val="007F3DED"/>
    <w:rsid w:val="007F5C5C"/>
    <w:rsid w:val="007F7834"/>
    <w:rsid w:val="00800793"/>
    <w:rsid w:val="00800C9D"/>
    <w:rsid w:val="00802390"/>
    <w:rsid w:val="00802751"/>
    <w:rsid w:val="0080466C"/>
    <w:rsid w:val="008059DB"/>
    <w:rsid w:val="00806378"/>
    <w:rsid w:val="00807224"/>
    <w:rsid w:val="0081114A"/>
    <w:rsid w:val="008117C9"/>
    <w:rsid w:val="00811B99"/>
    <w:rsid w:val="0081365F"/>
    <w:rsid w:val="00816CB5"/>
    <w:rsid w:val="00817C46"/>
    <w:rsid w:val="008226E6"/>
    <w:rsid w:val="0082590B"/>
    <w:rsid w:val="00825A3A"/>
    <w:rsid w:val="00826848"/>
    <w:rsid w:val="0083012B"/>
    <w:rsid w:val="00833C31"/>
    <w:rsid w:val="00833E2E"/>
    <w:rsid w:val="0083485D"/>
    <w:rsid w:val="00835484"/>
    <w:rsid w:val="008409CB"/>
    <w:rsid w:val="00840DCA"/>
    <w:rsid w:val="00842075"/>
    <w:rsid w:val="00843391"/>
    <w:rsid w:val="00843FC5"/>
    <w:rsid w:val="008441DB"/>
    <w:rsid w:val="0084536E"/>
    <w:rsid w:val="00847085"/>
    <w:rsid w:val="00847452"/>
    <w:rsid w:val="00847A4F"/>
    <w:rsid w:val="00850D01"/>
    <w:rsid w:val="00850DB8"/>
    <w:rsid w:val="008533F4"/>
    <w:rsid w:val="0085367F"/>
    <w:rsid w:val="00855928"/>
    <w:rsid w:val="0085680A"/>
    <w:rsid w:val="00857883"/>
    <w:rsid w:val="00857B28"/>
    <w:rsid w:val="00857E20"/>
    <w:rsid w:val="00861E6D"/>
    <w:rsid w:val="00863562"/>
    <w:rsid w:val="0086393F"/>
    <w:rsid w:val="00865548"/>
    <w:rsid w:val="0087184A"/>
    <w:rsid w:val="00872D3C"/>
    <w:rsid w:val="00873A3E"/>
    <w:rsid w:val="00875F4E"/>
    <w:rsid w:val="0087604E"/>
    <w:rsid w:val="00876A94"/>
    <w:rsid w:val="00877C2F"/>
    <w:rsid w:val="00880CEE"/>
    <w:rsid w:val="00882245"/>
    <w:rsid w:val="008828B3"/>
    <w:rsid w:val="008828C2"/>
    <w:rsid w:val="008829D0"/>
    <w:rsid w:val="00882C7E"/>
    <w:rsid w:val="00883F8B"/>
    <w:rsid w:val="00884028"/>
    <w:rsid w:val="00884D6C"/>
    <w:rsid w:val="00885063"/>
    <w:rsid w:val="00885C81"/>
    <w:rsid w:val="0088694E"/>
    <w:rsid w:val="00890A02"/>
    <w:rsid w:val="00890F3E"/>
    <w:rsid w:val="00891216"/>
    <w:rsid w:val="00891DB1"/>
    <w:rsid w:val="0089602D"/>
    <w:rsid w:val="008A10E3"/>
    <w:rsid w:val="008A1B3A"/>
    <w:rsid w:val="008A1D0D"/>
    <w:rsid w:val="008A2FF2"/>
    <w:rsid w:val="008A3392"/>
    <w:rsid w:val="008A4F1A"/>
    <w:rsid w:val="008A553E"/>
    <w:rsid w:val="008B1020"/>
    <w:rsid w:val="008B11B7"/>
    <w:rsid w:val="008B2148"/>
    <w:rsid w:val="008B3A03"/>
    <w:rsid w:val="008B41B6"/>
    <w:rsid w:val="008B504C"/>
    <w:rsid w:val="008B5CD6"/>
    <w:rsid w:val="008B5DC6"/>
    <w:rsid w:val="008B6CC5"/>
    <w:rsid w:val="008B72E4"/>
    <w:rsid w:val="008B7351"/>
    <w:rsid w:val="008C167D"/>
    <w:rsid w:val="008C270A"/>
    <w:rsid w:val="008C3667"/>
    <w:rsid w:val="008C36CF"/>
    <w:rsid w:val="008C6750"/>
    <w:rsid w:val="008C797B"/>
    <w:rsid w:val="008D4432"/>
    <w:rsid w:val="008D55B7"/>
    <w:rsid w:val="008D7D84"/>
    <w:rsid w:val="008D7D98"/>
    <w:rsid w:val="008E0119"/>
    <w:rsid w:val="008E2A03"/>
    <w:rsid w:val="008E2D58"/>
    <w:rsid w:val="008E2EA2"/>
    <w:rsid w:val="008E2EF7"/>
    <w:rsid w:val="008E4A55"/>
    <w:rsid w:val="008E6855"/>
    <w:rsid w:val="008E7315"/>
    <w:rsid w:val="008F04EE"/>
    <w:rsid w:val="008F1DAB"/>
    <w:rsid w:val="008F6199"/>
    <w:rsid w:val="008F67F1"/>
    <w:rsid w:val="008F7088"/>
    <w:rsid w:val="009006F8"/>
    <w:rsid w:val="0090185D"/>
    <w:rsid w:val="00904B5E"/>
    <w:rsid w:val="00906B2A"/>
    <w:rsid w:val="00907DF2"/>
    <w:rsid w:val="00916D63"/>
    <w:rsid w:val="00920E0B"/>
    <w:rsid w:val="00921C50"/>
    <w:rsid w:val="00925CC9"/>
    <w:rsid w:val="009269CB"/>
    <w:rsid w:val="009277DC"/>
    <w:rsid w:val="00931955"/>
    <w:rsid w:val="00931E04"/>
    <w:rsid w:val="0093489A"/>
    <w:rsid w:val="00935913"/>
    <w:rsid w:val="00935927"/>
    <w:rsid w:val="009365C5"/>
    <w:rsid w:val="009369AD"/>
    <w:rsid w:val="00937095"/>
    <w:rsid w:val="009430DB"/>
    <w:rsid w:val="0094358F"/>
    <w:rsid w:val="0094369F"/>
    <w:rsid w:val="009443BB"/>
    <w:rsid w:val="009451A6"/>
    <w:rsid w:val="00945343"/>
    <w:rsid w:val="0095065E"/>
    <w:rsid w:val="0095346D"/>
    <w:rsid w:val="009559C4"/>
    <w:rsid w:val="009560E7"/>
    <w:rsid w:val="009573E8"/>
    <w:rsid w:val="0095772A"/>
    <w:rsid w:val="009578B7"/>
    <w:rsid w:val="00957985"/>
    <w:rsid w:val="00960271"/>
    <w:rsid w:val="00963904"/>
    <w:rsid w:val="00963912"/>
    <w:rsid w:val="00964549"/>
    <w:rsid w:val="00964D40"/>
    <w:rsid w:val="00966F31"/>
    <w:rsid w:val="009672B0"/>
    <w:rsid w:val="00967CA1"/>
    <w:rsid w:val="009710E4"/>
    <w:rsid w:val="009746CA"/>
    <w:rsid w:val="00974FB5"/>
    <w:rsid w:val="009758D2"/>
    <w:rsid w:val="00976937"/>
    <w:rsid w:val="00977366"/>
    <w:rsid w:val="00980F04"/>
    <w:rsid w:val="009844D6"/>
    <w:rsid w:val="009852B2"/>
    <w:rsid w:val="0098565C"/>
    <w:rsid w:val="00991213"/>
    <w:rsid w:val="0099182B"/>
    <w:rsid w:val="00993BE9"/>
    <w:rsid w:val="00994ACB"/>
    <w:rsid w:val="00995862"/>
    <w:rsid w:val="009A1583"/>
    <w:rsid w:val="009A182A"/>
    <w:rsid w:val="009A1FCD"/>
    <w:rsid w:val="009A31F4"/>
    <w:rsid w:val="009A5A0D"/>
    <w:rsid w:val="009A5E66"/>
    <w:rsid w:val="009A609B"/>
    <w:rsid w:val="009B116F"/>
    <w:rsid w:val="009B1547"/>
    <w:rsid w:val="009B269E"/>
    <w:rsid w:val="009B4E2F"/>
    <w:rsid w:val="009B5E4C"/>
    <w:rsid w:val="009B60D6"/>
    <w:rsid w:val="009C0317"/>
    <w:rsid w:val="009C0C9C"/>
    <w:rsid w:val="009C1A8C"/>
    <w:rsid w:val="009C3766"/>
    <w:rsid w:val="009C3927"/>
    <w:rsid w:val="009C428B"/>
    <w:rsid w:val="009C549E"/>
    <w:rsid w:val="009C5579"/>
    <w:rsid w:val="009D0902"/>
    <w:rsid w:val="009D1122"/>
    <w:rsid w:val="009D13A8"/>
    <w:rsid w:val="009D3B67"/>
    <w:rsid w:val="009D4D6A"/>
    <w:rsid w:val="009E0595"/>
    <w:rsid w:val="009E409E"/>
    <w:rsid w:val="009E6413"/>
    <w:rsid w:val="009E6FB4"/>
    <w:rsid w:val="009F101A"/>
    <w:rsid w:val="009F15CC"/>
    <w:rsid w:val="009F2178"/>
    <w:rsid w:val="009F29D6"/>
    <w:rsid w:val="009F2FC3"/>
    <w:rsid w:val="009F329F"/>
    <w:rsid w:val="009F3690"/>
    <w:rsid w:val="009F531E"/>
    <w:rsid w:val="00A01E31"/>
    <w:rsid w:val="00A022BB"/>
    <w:rsid w:val="00A04D4D"/>
    <w:rsid w:val="00A0640D"/>
    <w:rsid w:val="00A06C07"/>
    <w:rsid w:val="00A070F8"/>
    <w:rsid w:val="00A07624"/>
    <w:rsid w:val="00A10C0D"/>
    <w:rsid w:val="00A1296C"/>
    <w:rsid w:val="00A13CF6"/>
    <w:rsid w:val="00A140EC"/>
    <w:rsid w:val="00A14E1D"/>
    <w:rsid w:val="00A15365"/>
    <w:rsid w:val="00A15971"/>
    <w:rsid w:val="00A2092B"/>
    <w:rsid w:val="00A22DBB"/>
    <w:rsid w:val="00A230A3"/>
    <w:rsid w:val="00A27974"/>
    <w:rsid w:val="00A30665"/>
    <w:rsid w:val="00A326F2"/>
    <w:rsid w:val="00A34858"/>
    <w:rsid w:val="00A34DB6"/>
    <w:rsid w:val="00A350DE"/>
    <w:rsid w:val="00A351EB"/>
    <w:rsid w:val="00A37ECD"/>
    <w:rsid w:val="00A4226B"/>
    <w:rsid w:val="00A426CD"/>
    <w:rsid w:val="00A445FE"/>
    <w:rsid w:val="00A46342"/>
    <w:rsid w:val="00A47983"/>
    <w:rsid w:val="00A52961"/>
    <w:rsid w:val="00A52C98"/>
    <w:rsid w:val="00A53C27"/>
    <w:rsid w:val="00A54379"/>
    <w:rsid w:val="00A550C5"/>
    <w:rsid w:val="00A559D2"/>
    <w:rsid w:val="00A56D6A"/>
    <w:rsid w:val="00A570EB"/>
    <w:rsid w:val="00A60D6B"/>
    <w:rsid w:val="00A616AD"/>
    <w:rsid w:val="00A6186F"/>
    <w:rsid w:val="00A64588"/>
    <w:rsid w:val="00A6465B"/>
    <w:rsid w:val="00A64727"/>
    <w:rsid w:val="00A66465"/>
    <w:rsid w:val="00A66837"/>
    <w:rsid w:val="00A709DC"/>
    <w:rsid w:val="00A711E9"/>
    <w:rsid w:val="00A712C2"/>
    <w:rsid w:val="00A71D96"/>
    <w:rsid w:val="00A71FEE"/>
    <w:rsid w:val="00A72A0D"/>
    <w:rsid w:val="00A735F1"/>
    <w:rsid w:val="00A73BD5"/>
    <w:rsid w:val="00A75107"/>
    <w:rsid w:val="00A75E24"/>
    <w:rsid w:val="00A777B6"/>
    <w:rsid w:val="00A802F0"/>
    <w:rsid w:val="00A83996"/>
    <w:rsid w:val="00AA0023"/>
    <w:rsid w:val="00AA21E8"/>
    <w:rsid w:val="00AA3466"/>
    <w:rsid w:val="00AA6633"/>
    <w:rsid w:val="00AB05A2"/>
    <w:rsid w:val="00AB0B0B"/>
    <w:rsid w:val="00AB20C2"/>
    <w:rsid w:val="00AB24EF"/>
    <w:rsid w:val="00AB2598"/>
    <w:rsid w:val="00AB4004"/>
    <w:rsid w:val="00AB6E0A"/>
    <w:rsid w:val="00AC1394"/>
    <w:rsid w:val="00AC4F10"/>
    <w:rsid w:val="00AC5916"/>
    <w:rsid w:val="00AC5ABA"/>
    <w:rsid w:val="00AC5F28"/>
    <w:rsid w:val="00AD00E6"/>
    <w:rsid w:val="00AD2954"/>
    <w:rsid w:val="00AD3622"/>
    <w:rsid w:val="00AD7D7B"/>
    <w:rsid w:val="00AE22EF"/>
    <w:rsid w:val="00AE26E2"/>
    <w:rsid w:val="00AE3DB2"/>
    <w:rsid w:val="00AE4728"/>
    <w:rsid w:val="00AF1EF0"/>
    <w:rsid w:val="00AF2FC1"/>
    <w:rsid w:val="00AF3415"/>
    <w:rsid w:val="00AF3C8A"/>
    <w:rsid w:val="00AF5FD3"/>
    <w:rsid w:val="00B013D7"/>
    <w:rsid w:val="00B01817"/>
    <w:rsid w:val="00B03500"/>
    <w:rsid w:val="00B044D5"/>
    <w:rsid w:val="00B06586"/>
    <w:rsid w:val="00B06BEC"/>
    <w:rsid w:val="00B073C8"/>
    <w:rsid w:val="00B122C3"/>
    <w:rsid w:val="00B13523"/>
    <w:rsid w:val="00B14065"/>
    <w:rsid w:val="00B1432D"/>
    <w:rsid w:val="00B14599"/>
    <w:rsid w:val="00B162D5"/>
    <w:rsid w:val="00B16CE7"/>
    <w:rsid w:val="00B1728A"/>
    <w:rsid w:val="00B17550"/>
    <w:rsid w:val="00B1759A"/>
    <w:rsid w:val="00B17B00"/>
    <w:rsid w:val="00B22316"/>
    <w:rsid w:val="00B25EEB"/>
    <w:rsid w:val="00B27686"/>
    <w:rsid w:val="00B300D6"/>
    <w:rsid w:val="00B3192F"/>
    <w:rsid w:val="00B31BAB"/>
    <w:rsid w:val="00B329C0"/>
    <w:rsid w:val="00B3598D"/>
    <w:rsid w:val="00B37A82"/>
    <w:rsid w:val="00B4426C"/>
    <w:rsid w:val="00B44DD4"/>
    <w:rsid w:val="00B45EB8"/>
    <w:rsid w:val="00B47190"/>
    <w:rsid w:val="00B47362"/>
    <w:rsid w:val="00B477DF"/>
    <w:rsid w:val="00B47D74"/>
    <w:rsid w:val="00B50930"/>
    <w:rsid w:val="00B52125"/>
    <w:rsid w:val="00B53BD4"/>
    <w:rsid w:val="00B54C46"/>
    <w:rsid w:val="00B5504B"/>
    <w:rsid w:val="00B55161"/>
    <w:rsid w:val="00B55949"/>
    <w:rsid w:val="00B5784E"/>
    <w:rsid w:val="00B57EBF"/>
    <w:rsid w:val="00B57ED0"/>
    <w:rsid w:val="00B60DB5"/>
    <w:rsid w:val="00B6140B"/>
    <w:rsid w:val="00B63188"/>
    <w:rsid w:val="00B63AA5"/>
    <w:rsid w:val="00B656E4"/>
    <w:rsid w:val="00B657D8"/>
    <w:rsid w:val="00B67AE4"/>
    <w:rsid w:val="00B71870"/>
    <w:rsid w:val="00B736FF"/>
    <w:rsid w:val="00B73CDD"/>
    <w:rsid w:val="00B74FCF"/>
    <w:rsid w:val="00B76173"/>
    <w:rsid w:val="00B76EDA"/>
    <w:rsid w:val="00B77580"/>
    <w:rsid w:val="00B77F7B"/>
    <w:rsid w:val="00B82429"/>
    <w:rsid w:val="00B82D7D"/>
    <w:rsid w:val="00B84901"/>
    <w:rsid w:val="00B8524C"/>
    <w:rsid w:val="00B85A5B"/>
    <w:rsid w:val="00B861E8"/>
    <w:rsid w:val="00B86AF5"/>
    <w:rsid w:val="00B9410B"/>
    <w:rsid w:val="00B95D45"/>
    <w:rsid w:val="00B97339"/>
    <w:rsid w:val="00B97660"/>
    <w:rsid w:val="00BA0C77"/>
    <w:rsid w:val="00BA2B92"/>
    <w:rsid w:val="00BA3E17"/>
    <w:rsid w:val="00BA52F7"/>
    <w:rsid w:val="00BA53B3"/>
    <w:rsid w:val="00BA76E8"/>
    <w:rsid w:val="00BB29E1"/>
    <w:rsid w:val="00BB2C19"/>
    <w:rsid w:val="00BB33FD"/>
    <w:rsid w:val="00BB40DB"/>
    <w:rsid w:val="00BB54E9"/>
    <w:rsid w:val="00BB57F1"/>
    <w:rsid w:val="00BB5A85"/>
    <w:rsid w:val="00BB76CD"/>
    <w:rsid w:val="00BB780C"/>
    <w:rsid w:val="00BB7F58"/>
    <w:rsid w:val="00BC00B6"/>
    <w:rsid w:val="00BC0DDC"/>
    <w:rsid w:val="00BC1B17"/>
    <w:rsid w:val="00BC27CC"/>
    <w:rsid w:val="00BC35F6"/>
    <w:rsid w:val="00BC4215"/>
    <w:rsid w:val="00BC7B71"/>
    <w:rsid w:val="00BD069D"/>
    <w:rsid w:val="00BD1457"/>
    <w:rsid w:val="00BD1877"/>
    <w:rsid w:val="00BD48B8"/>
    <w:rsid w:val="00BD5C6D"/>
    <w:rsid w:val="00BD7343"/>
    <w:rsid w:val="00BD736D"/>
    <w:rsid w:val="00BD758A"/>
    <w:rsid w:val="00BE2961"/>
    <w:rsid w:val="00BE52D1"/>
    <w:rsid w:val="00BF259E"/>
    <w:rsid w:val="00BF4D15"/>
    <w:rsid w:val="00BF597B"/>
    <w:rsid w:val="00BF5AD0"/>
    <w:rsid w:val="00BF6277"/>
    <w:rsid w:val="00C02773"/>
    <w:rsid w:val="00C0289A"/>
    <w:rsid w:val="00C03227"/>
    <w:rsid w:val="00C0402E"/>
    <w:rsid w:val="00C05E10"/>
    <w:rsid w:val="00C06361"/>
    <w:rsid w:val="00C07106"/>
    <w:rsid w:val="00C1018E"/>
    <w:rsid w:val="00C109D5"/>
    <w:rsid w:val="00C111E2"/>
    <w:rsid w:val="00C16594"/>
    <w:rsid w:val="00C23367"/>
    <w:rsid w:val="00C25A02"/>
    <w:rsid w:val="00C26126"/>
    <w:rsid w:val="00C26364"/>
    <w:rsid w:val="00C267A9"/>
    <w:rsid w:val="00C2716D"/>
    <w:rsid w:val="00C33066"/>
    <w:rsid w:val="00C345AD"/>
    <w:rsid w:val="00C34A48"/>
    <w:rsid w:val="00C34E3D"/>
    <w:rsid w:val="00C355D3"/>
    <w:rsid w:val="00C40BDA"/>
    <w:rsid w:val="00C417FD"/>
    <w:rsid w:val="00C42AC8"/>
    <w:rsid w:val="00C442FD"/>
    <w:rsid w:val="00C45257"/>
    <w:rsid w:val="00C45F82"/>
    <w:rsid w:val="00C53CB6"/>
    <w:rsid w:val="00C55E72"/>
    <w:rsid w:val="00C55EA0"/>
    <w:rsid w:val="00C56965"/>
    <w:rsid w:val="00C570FC"/>
    <w:rsid w:val="00C577F0"/>
    <w:rsid w:val="00C57E87"/>
    <w:rsid w:val="00C606B8"/>
    <w:rsid w:val="00C6501C"/>
    <w:rsid w:val="00C65AE7"/>
    <w:rsid w:val="00C67759"/>
    <w:rsid w:val="00C67769"/>
    <w:rsid w:val="00C71370"/>
    <w:rsid w:val="00C71412"/>
    <w:rsid w:val="00C71EF9"/>
    <w:rsid w:val="00C73D3F"/>
    <w:rsid w:val="00C753D3"/>
    <w:rsid w:val="00C75903"/>
    <w:rsid w:val="00C77451"/>
    <w:rsid w:val="00C9216A"/>
    <w:rsid w:val="00C9228E"/>
    <w:rsid w:val="00C934DA"/>
    <w:rsid w:val="00C93623"/>
    <w:rsid w:val="00C93E36"/>
    <w:rsid w:val="00C940C2"/>
    <w:rsid w:val="00C945FC"/>
    <w:rsid w:val="00C9467B"/>
    <w:rsid w:val="00CA249D"/>
    <w:rsid w:val="00CA3869"/>
    <w:rsid w:val="00CA3E4C"/>
    <w:rsid w:val="00CA6F6C"/>
    <w:rsid w:val="00CA7AFD"/>
    <w:rsid w:val="00CB0335"/>
    <w:rsid w:val="00CB1121"/>
    <w:rsid w:val="00CB17E0"/>
    <w:rsid w:val="00CB1B8F"/>
    <w:rsid w:val="00CB3B11"/>
    <w:rsid w:val="00CB3B3B"/>
    <w:rsid w:val="00CB6BF3"/>
    <w:rsid w:val="00CC11F9"/>
    <w:rsid w:val="00CC529C"/>
    <w:rsid w:val="00CD34EA"/>
    <w:rsid w:val="00CD6780"/>
    <w:rsid w:val="00CD6F2E"/>
    <w:rsid w:val="00CD71F5"/>
    <w:rsid w:val="00CD7E20"/>
    <w:rsid w:val="00CE031D"/>
    <w:rsid w:val="00CE26FD"/>
    <w:rsid w:val="00CE2833"/>
    <w:rsid w:val="00CE5959"/>
    <w:rsid w:val="00CE5B6A"/>
    <w:rsid w:val="00CE6CC7"/>
    <w:rsid w:val="00CE6DBB"/>
    <w:rsid w:val="00CF199A"/>
    <w:rsid w:val="00CF7262"/>
    <w:rsid w:val="00D0122F"/>
    <w:rsid w:val="00D04F24"/>
    <w:rsid w:val="00D05B7E"/>
    <w:rsid w:val="00D07093"/>
    <w:rsid w:val="00D11958"/>
    <w:rsid w:val="00D11EB6"/>
    <w:rsid w:val="00D137A7"/>
    <w:rsid w:val="00D14A64"/>
    <w:rsid w:val="00D14D36"/>
    <w:rsid w:val="00D16EFC"/>
    <w:rsid w:val="00D171AC"/>
    <w:rsid w:val="00D20017"/>
    <w:rsid w:val="00D21557"/>
    <w:rsid w:val="00D2165E"/>
    <w:rsid w:val="00D2186D"/>
    <w:rsid w:val="00D21AEE"/>
    <w:rsid w:val="00D22FD3"/>
    <w:rsid w:val="00D24535"/>
    <w:rsid w:val="00D24F06"/>
    <w:rsid w:val="00D263A3"/>
    <w:rsid w:val="00D276DD"/>
    <w:rsid w:val="00D27AEE"/>
    <w:rsid w:val="00D27F18"/>
    <w:rsid w:val="00D308A1"/>
    <w:rsid w:val="00D31830"/>
    <w:rsid w:val="00D323DC"/>
    <w:rsid w:val="00D323F7"/>
    <w:rsid w:val="00D354F4"/>
    <w:rsid w:val="00D37A47"/>
    <w:rsid w:val="00D4097A"/>
    <w:rsid w:val="00D4290D"/>
    <w:rsid w:val="00D43AD1"/>
    <w:rsid w:val="00D458CF"/>
    <w:rsid w:val="00D50213"/>
    <w:rsid w:val="00D50D51"/>
    <w:rsid w:val="00D510DD"/>
    <w:rsid w:val="00D511CC"/>
    <w:rsid w:val="00D54A01"/>
    <w:rsid w:val="00D61979"/>
    <w:rsid w:val="00D61DC1"/>
    <w:rsid w:val="00D62C87"/>
    <w:rsid w:val="00D65022"/>
    <w:rsid w:val="00D65D3D"/>
    <w:rsid w:val="00D66A53"/>
    <w:rsid w:val="00D70E07"/>
    <w:rsid w:val="00D7224D"/>
    <w:rsid w:val="00D72DB8"/>
    <w:rsid w:val="00D741DD"/>
    <w:rsid w:val="00D74390"/>
    <w:rsid w:val="00D74836"/>
    <w:rsid w:val="00D75CE8"/>
    <w:rsid w:val="00D75FAE"/>
    <w:rsid w:val="00D8205F"/>
    <w:rsid w:val="00D82F50"/>
    <w:rsid w:val="00D84A27"/>
    <w:rsid w:val="00D84DA9"/>
    <w:rsid w:val="00D935E0"/>
    <w:rsid w:val="00D95705"/>
    <w:rsid w:val="00D9667C"/>
    <w:rsid w:val="00D97767"/>
    <w:rsid w:val="00DA0554"/>
    <w:rsid w:val="00DA0B3F"/>
    <w:rsid w:val="00DA4F06"/>
    <w:rsid w:val="00DA50F3"/>
    <w:rsid w:val="00DA6745"/>
    <w:rsid w:val="00DA69DA"/>
    <w:rsid w:val="00DB1BE0"/>
    <w:rsid w:val="00DB1E9F"/>
    <w:rsid w:val="00DB2385"/>
    <w:rsid w:val="00DB2616"/>
    <w:rsid w:val="00DB2DEC"/>
    <w:rsid w:val="00DB3088"/>
    <w:rsid w:val="00DB386E"/>
    <w:rsid w:val="00DB544B"/>
    <w:rsid w:val="00DB597A"/>
    <w:rsid w:val="00DB5BC1"/>
    <w:rsid w:val="00DB6F7C"/>
    <w:rsid w:val="00DC079B"/>
    <w:rsid w:val="00DC3A3A"/>
    <w:rsid w:val="00DC62E9"/>
    <w:rsid w:val="00DC6603"/>
    <w:rsid w:val="00DC7456"/>
    <w:rsid w:val="00DD0781"/>
    <w:rsid w:val="00DD0817"/>
    <w:rsid w:val="00DD10E2"/>
    <w:rsid w:val="00DD11C1"/>
    <w:rsid w:val="00DD1E8E"/>
    <w:rsid w:val="00DD23E2"/>
    <w:rsid w:val="00DD23FA"/>
    <w:rsid w:val="00DD31F7"/>
    <w:rsid w:val="00DD3DCB"/>
    <w:rsid w:val="00DD4D77"/>
    <w:rsid w:val="00DD69B2"/>
    <w:rsid w:val="00DD6B80"/>
    <w:rsid w:val="00DE048C"/>
    <w:rsid w:val="00DE7796"/>
    <w:rsid w:val="00DF252E"/>
    <w:rsid w:val="00DF328D"/>
    <w:rsid w:val="00DF35FF"/>
    <w:rsid w:val="00DF5B18"/>
    <w:rsid w:val="00DF6F86"/>
    <w:rsid w:val="00DF7011"/>
    <w:rsid w:val="00E008D3"/>
    <w:rsid w:val="00E0193E"/>
    <w:rsid w:val="00E0274A"/>
    <w:rsid w:val="00E02A8A"/>
    <w:rsid w:val="00E031F1"/>
    <w:rsid w:val="00E0407A"/>
    <w:rsid w:val="00E06B19"/>
    <w:rsid w:val="00E06B2F"/>
    <w:rsid w:val="00E06B6D"/>
    <w:rsid w:val="00E109C0"/>
    <w:rsid w:val="00E12852"/>
    <w:rsid w:val="00E139A4"/>
    <w:rsid w:val="00E14EFF"/>
    <w:rsid w:val="00E155AE"/>
    <w:rsid w:val="00E15969"/>
    <w:rsid w:val="00E20A76"/>
    <w:rsid w:val="00E21579"/>
    <w:rsid w:val="00E21880"/>
    <w:rsid w:val="00E21AB4"/>
    <w:rsid w:val="00E23E1D"/>
    <w:rsid w:val="00E24E3A"/>
    <w:rsid w:val="00E27854"/>
    <w:rsid w:val="00E3019A"/>
    <w:rsid w:val="00E30376"/>
    <w:rsid w:val="00E3069B"/>
    <w:rsid w:val="00E30DFC"/>
    <w:rsid w:val="00E314E7"/>
    <w:rsid w:val="00E31BAA"/>
    <w:rsid w:val="00E31D56"/>
    <w:rsid w:val="00E32069"/>
    <w:rsid w:val="00E353D1"/>
    <w:rsid w:val="00E3704C"/>
    <w:rsid w:val="00E4278E"/>
    <w:rsid w:val="00E42A73"/>
    <w:rsid w:val="00E4688F"/>
    <w:rsid w:val="00E4766C"/>
    <w:rsid w:val="00E5375E"/>
    <w:rsid w:val="00E550BC"/>
    <w:rsid w:val="00E55313"/>
    <w:rsid w:val="00E56DD1"/>
    <w:rsid w:val="00E60DE4"/>
    <w:rsid w:val="00E65666"/>
    <w:rsid w:val="00E65FBE"/>
    <w:rsid w:val="00E677C3"/>
    <w:rsid w:val="00E707F9"/>
    <w:rsid w:val="00E74899"/>
    <w:rsid w:val="00E76017"/>
    <w:rsid w:val="00E77294"/>
    <w:rsid w:val="00E80993"/>
    <w:rsid w:val="00E81B21"/>
    <w:rsid w:val="00E81D3E"/>
    <w:rsid w:val="00E822F3"/>
    <w:rsid w:val="00E82DB6"/>
    <w:rsid w:val="00E83574"/>
    <w:rsid w:val="00E84F3B"/>
    <w:rsid w:val="00E85714"/>
    <w:rsid w:val="00E9000D"/>
    <w:rsid w:val="00E92DD5"/>
    <w:rsid w:val="00E95CEE"/>
    <w:rsid w:val="00E97D3C"/>
    <w:rsid w:val="00EA01B8"/>
    <w:rsid w:val="00EA15B3"/>
    <w:rsid w:val="00EA4A9C"/>
    <w:rsid w:val="00EA4ADB"/>
    <w:rsid w:val="00EA4E9A"/>
    <w:rsid w:val="00EA5618"/>
    <w:rsid w:val="00EA5A0D"/>
    <w:rsid w:val="00EA5C3A"/>
    <w:rsid w:val="00EA6CF2"/>
    <w:rsid w:val="00EA743A"/>
    <w:rsid w:val="00EA7ABA"/>
    <w:rsid w:val="00EA7F22"/>
    <w:rsid w:val="00EB0182"/>
    <w:rsid w:val="00EB2386"/>
    <w:rsid w:val="00EB4771"/>
    <w:rsid w:val="00EB76A5"/>
    <w:rsid w:val="00EC185A"/>
    <w:rsid w:val="00EC4262"/>
    <w:rsid w:val="00EC4BE6"/>
    <w:rsid w:val="00EC7ED9"/>
    <w:rsid w:val="00ED0F21"/>
    <w:rsid w:val="00ED1958"/>
    <w:rsid w:val="00ED2EE1"/>
    <w:rsid w:val="00ED30E0"/>
    <w:rsid w:val="00ED54B7"/>
    <w:rsid w:val="00ED7E4D"/>
    <w:rsid w:val="00EE298A"/>
    <w:rsid w:val="00EE378B"/>
    <w:rsid w:val="00EE5B77"/>
    <w:rsid w:val="00EE6915"/>
    <w:rsid w:val="00EE6CFF"/>
    <w:rsid w:val="00EE720D"/>
    <w:rsid w:val="00EE7DE9"/>
    <w:rsid w:val="00EF3620"/>
    <w:rsid w:val="00EF37DC"/>
    <w:rsid w:val="00EF384E"/>
    <w:rsid w:val="00EF51E4"/>
    <w:rsid w:val="00EF569A"/>
    <w:rsid w:val="00F03901"/>
    <w:rsid w:val="00F047D1"/>
    <w:rsid w:val="00F04BD7"/>
    <w:rsid w:val="00F05BC5"/>
    <w:rsid w:val="00F06591"/>
    <w:rsid w:val="00F06A58"/>
    <w:rsid w:val="00F0705F"/>
    <w:rsid w:val="00F143A4"/>
    <w:rsid w:val="00F17FE4"/>
    <w:rsid w:val="00F20DBB"/>
    <w:rsid w:val="00F229A4"/>
    <w:rsid w:val="00F23A71"/>
    <w:rsid w:val="00F259E5"/>
    <w:rsid w:val="00F25CD1"/>
    <w:rsid w:val="00F27003"/>
    <w:rsid w:val="00F271D8"/>
    <w:rsid w:val="00F275F0"/>
    <w:rsid w:val="00F309CD"/>
    <w:rsid w:val="00F33B06"/>
    <w:rsid w:val="00F33CBE"/>
    <w:rsid w:val="00F34291"/>
    <w:rsid w:val="00F35323"/>
    <w:rsid w:val="00F36B27"/>
    <w:rsid w:val="00F36FAD"/>
    <w:rsid w:val="00F3775E"/>
    <w:rsid w:val="00F428E6"/>
    <w:rsid w:val="00F4372F"/>
    <w:rsid w:val="00F47402"/>
    <w:rsid w:val="00F508CB"/>
    <w:rsid w:val="00F564A4"/>
    <w:rsid w:val="00F60C4A"/>
    <w:rsid w:val="00F626D3"/>
    <w:rsid w:val="00F6379D"/>
    <w:rsid w:val="00F63B1A"/>
    <w:rsid w:val="00F65A69"/>
    <w:rsid w:val="00F70738"/>
    <w:rsid w:val="00F71C38"/>
    <w:rsid w:val="00F721BA"/>
    <w:rsid w:val="00F75009"/>
    <w:rsid w:val="00F76114"/>
    <w:rsid w:val="00F7673C"/>
    <w:rsid w:val="00F779BE"/>
    <w:rsid w:val="00F81E53"/>
    <w:rsid w:val="00F8422E"/>
    <w:rsid w:val="00F86732"/>
    <w:rsid w:val="00F87FC0"/>
    <w:rsid w:val="00F906A9"/>
    <w:rsid w:val="00F9128B"/>
    <w:rsid w:val="00F91D9E"/>
    <w:rsid w:val="00F91FE4"/>
    <w:rsid w:val="00F95E58"/>
    <w:rsid w:val="00FA2843"/>
    <w:rsid w:val="00FA300C"/>
    <w:rsid w:val="00FA3104"/>
    <w:rsid w:val="00FA5992"/>
    <w:rsid w:val="00FA5AE3"/>
    <w:rsid w:val="00FB0EE3"/>
    <w:rsid w:val="00FB26CE"/>
    <w:rsid w:val="00FB309F"/>
    <w:rsid w:val="00FB4647"/>
    <w:rsid w:val="00FB703B"/>
    <w:rsid w:val="00FB719A"/>
    <w:rsid w:val="00FC0EF9"/>
    <w:rsid w:val="00FC10F0"/>
    <w:rsid w:val="00FC1C43"/>
    <w:rsid w:val="00FC2131"/>
    <w:rsid w:val="00FC5182"/>
    <w:rsid w:val="00FC6820"/>
    <w:rsid w:val="00FC70BD"/>
    <w:rsid w:val="00FD322D"/>
    <w:rsid w:val="00FD7822"/>
    <w:rsid w:val="00FE04F2"/>
    <w:rsid w:val="00FE2D60"/>
    <w:rsid w:val="00FE384D"/>
    <w:rsid w:val="00FE4016"/>
    <w:rsid w:val="00FE4B11"/>
    <w:rsid w:val="00FE686A"/>
    <w:rsid w:val="00FF0C87"/>
    <w:rsid w:val="00FF11D3"/>
    <w:rsid w:val="00FF237B"/>
    <w:rsid w:val="00FF2B68"/>
    <w:rsid w:val="00FF2B79"/>
    <w:rsid w:val="00FF2DC3"/>
    <w:rsid w:val="00FF41F4"/>
    <w:rsid w:val="00FF51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7ED0"/>
    <w:pPr>
      <w:widowControl w:val="0"/>
      <w:jc w:val="both"/>
    </w:pPr>
    <w:rPr>
      <w:kern w:val="2"/>
      <w:sz w:val="21"/>
      <w:szCs w:val="24"/>
    </w:rPr>
  </w:style>
  <w:style w:type="paragraph" w:styleId="2">
    <w:name w:val="heading 2"/>
    <w:basedOn w:val="a"/>
    <w:next w:val="a"/>
    <w:qFormat/>
    <w:rsid w:val="006C79C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semiHidden/>
    <w:unhideWhenUsed/>
    <w:qFormat/>
    <w:rsid w:val="00D22FD3"/>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2245"/>
    <w:pPr>
      <w:pBdr>
        <w:bottom w:val="single" w:sz="6" w:space="1" w:color="auto"/>
      </w:pBdr>
      <w:tabs>
        <w:tab w:val="center" w:pos="4153"/>
        <w:tab w:val="right" w:pos="8306"/>
      </w:tabs>
      <w:snapToGrid w:val="0"/>
      <w:jc w:val="center"/>
    </w:pPr>
    <w:rPr>
      <w:sz w:val="18"/>
      <w:szCs w:val="18"/>
    </w:rPr>
  </w:style>
  <w:style w:type="paragraph" w:styleId="a4">
    <w:name w:val="footer"/>
    <w:basedOn w:val="a"/>
    <w:rsid w:val="00882245"/>
    <w:pPr>
      <w:tabs>
        <w:tab w:val="center" w:pos="4153"/>
        <w:tab w:val="right" w:pos="8306"/>
      </w:tabs>
      <w:snapToGrid w:val="0"/>
      <w:jc w:val="left"/>
    </w:pPr>
    <w:rPr>
      <w:sz w:val="18"/>
      <w:szCs w:val="18"/>
    </w:rPr>
  </w:style>
  <w:style w:type="character" w:styleId="a5">
    <w:name w:val="page number"/>
    <w:basedOn w:val="a0"/>
    <w:rsid w:val="00882245"/>
  </w:style>
  <w:style w:type="paragraph" w:customStyle="1" w:styleId="Char">
    <w:name w:val="Char"/>
    <w:basedOn w:val="a"/>
    <w:autoRedefine/>
    <w:semiHidden/>
    <w:rsid w:val="006C79C5"/>
    <w:pPr>
      <w:tabs>
        <w:tab w:val="num" w:pos="360"/>
      </w:tabs>
    </w:pPr>
    <w:rPr>
      <w:sz w:val="24"/>
    </w:rPr>
  </w:style>
  <w:style w:type="character" w:customStyle="1" w:styleId="c1">
    <w:name w:val="c1"/>
    <w:rsid w:val="008409CB"/>
    <w:rPr>
      <w:color w:val="000000"/>
      <w:spacing w:val="300"/>
      <w:sz w:val="18"/>
      <w:szCs w:val="18"/>
    </w:rPr>
  </w:style>
  <w:style w:type="paragraph" w:styleId="a6">
    <w:name w:val="Normal (Web)"/>
    <w:basedOn w:val="a"/>
    <w:uiPriority w:val="99"/>
    <w:rsid w:val="008409CB"/>
    <w:pPr>
      <w:widowControl/>
      <w:spacing w:before="100" w:beforeAutospacing="1" w:after="100" w:afterAutospacing="1"/>
      <w:jc w:val="left"/>
    </w:pPr>
    <w:rPr>
      <w:rFonts w:ascii="宋体" w:hAnsi="宋体" w:cs="宋体"/>
      <w:color w:val="333333"/>
      <w:kern w:val="0"/>
      <w:sz w:val="24"/>
    </w:rPr>
  </w:style>
  <w:style w:type="character" w:customStyle="1" w:styleId="artibody">
    <w:name w:val="artibody"/>
    <w:basedOn w:val="a0"/>
    <w:rsid w:val="008409CB"/>
  </w:style>
  <w:style w:type="character" w:styleId="a7">
    <w:name w:val="Strong"/>
    <w:qFormat/>
    <w:rsid w:val="00A711E9"/>
    <w:rPr>
      <w:b/>
      <w:bCs/>
    </w:rPr>
  </w:style>
  <w:style w:type="character" w:customStyle="1" w:styleId="apple-converted-space">
    <w:name w:val="apple-converted-space"/>
    <w:basedOn w:val="a0"/>
    <w:rsid w:val="00A711E9"/>
  </w:style>
  <w:style w:type="paragraph" w:customStyle="1" w:styleId="Default">
    <w:name w:val="Default"/>
    <w:rsid w:val="00DD0817"/>
    <w:pPr>
      <w:widowControl w:val="0"/>
      <w:autoSpaceDE w:val="0"/>
      <w:autoSpaceDN w:val="0"/>
      <w:adjustRightInd w:val="0"/>
    </w:pPr>
    <w:rPr>
      <w:rFonts w:ascii="宋体" w:cs="宋体"/>
      <w:color w:val="000000"/>
      <w:sz w:val="24"/>
      <w:szCs w:val="24"/>
    </w:rPr>
  </w:style>
  <w:style w:type="character" w:styleId="a8">
    <w:name w:val="annotation reference"/>
    <w:semiHidden/>
    <w:rsid w:val="002B77F9"/>
    <w:rPr>
      <w:sz w:val="21"/>
      <w:szCs w:val="21"/>
    </w:rPr>
  </w:style>
  <w:style w:type="paragraph" w:styleId="a9">
    <w:name w:val="annotation text"/>
    <w:basedOn w:val="a"/>
    <w:semiHidden/>
    <w:rsid w:val="002B77F9"/>
    <w:pPr>
      <w:jc w:val="left"/>
    </w:pPr>
  </w:style>
  <w:style w:type="paragraph" w:styleId="aa">
    <w:name w:val="annotation subject"/>
    <w:basedOn w:val="a9"/>
    <w:next w:val="a9"/>
    <w:semiHidden/>
    <w:rsid w:val="002B77F9"/>
    <w:rPr>
      <w:b/>
      <w:bCs/>
    </w:rPr>
  </w:style>
  <w:style w:type="paragraph" w:styleId="ab">
    <w:name w:val="Balloon Text"/>
    <w:basedOn w:val="a"/>
    <w:semiHidden/>
    <w:rsid w:val="002B77F9"/>
    <w:rPr>
      <w:sz w:val="18"/>
      <w:szCs w:val="18"/>
    </w:rPr>
  </w:style>
  <w:style w:type="character" w:styleId="ac">
    <w:name w:val="Hyperlink"/>
    <w:rsid w:val="002B77F9"/>
    <w:rPr>
      <w:color w:val="0000FF"/>
      <w:u w:val="single"/>
    </w:rPr>
  </w:style>
  <w:style w:type="paragraph" w:styleId="ad">
    <w:name w:val="Date"/>
    <w:basedOn w:val="a"/>
    <w:next w:val="a"/>
    <w:rsid w:val="006A128E"/>
    <w:pPr>
      <w:ind w:leftChars="2500" w:left="100"/>
    </w:pPr>
  </w:style>
  <w:style w:type="character" w:styleId="HTML">
    <w:name w:val="HTML Cite"/>
    <w:rsid w:val="00571D5B"/>
    <w:rPr>
      <w:i/>
      <w:iCs/>
    </w:rPr>
  </w:style>
  <w:style w:type="paragraph" w:customStyle="1" w:styleId="Char2">
    <w:name w:val="Char2"/>
    <w:basedOn w:val="a"/>
    <w:rsid w:val="008A4F1A"/>
    <w:rPr>
      <w:szCs w:val="20"/>
    </w:rPr>
  </w:style>
  <w:style w:type="paragraph" w:styleId="ae">
    <w:name w:val="List Paragraph"/>
    <w:basedOn w:val="a"/>
    <w:uiPriority w:val="34"/>
    <w:qFormat/>
    <w:rsid w:val="00B55161"/>
    <w:pPr>
      <w:ind w:firstLineChars="200" w:firstLine="420"/>
    </w:pPr>
  </w:style>
  <w:style w:type="paragraph" w:styleId="af">
    <w:name w:val="Revision"/>
    <w:hidden/>
    <w:uiPriority w:val="99"/>
    <w:semiHidden/>
    <w:rsid w:val="001472B7"/>
    <w:rPr>
      <w:kern w:val="2"/>
      <w:sz w:val="21"/>
      <w:szCs w:val="24"/>
    </w:rPr>
  </w:style>
  <w:style w:type="paragraph" w:styleId="af0">
    <w:name w:val="Normal Indent"/>
    <w:basedOn w:val="a"/>
    <w:rsid w:val="0028657E"/>
    <w:pPr>
      <w:ind w:firstLineChars="200" w:firstLine="420"/>
    </w:pPr>
    <w:rPr>
      <w:szCs w:val="20"/>
    </w:rPr>
  </w:style>
  <w:style w:type="character" w:customStyle="1" w:styleId="3Char">
    <w:name w:val="标题 3 Char"/>
    <w:link w:val="3"/>
    <w:semiHidden/>
    <w:rsid w:val="00D22FD3"/>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20516011">
      <w:bodyDiv w:val="1"/>
      <w:marLeft w:val="0"/>
      <w:marRight w:val="0"/>
      <w:marTop w:val="0"/>
      <w:marBottom w:val="0"/>
      <w:divBdr>
        <w:top w:val="none" w:sz="0" w:space="0" w:color="auto"/>
        <w:left w:val="none" w:sz="0" w:space="0" w:color="auto"/>
        <w:bottom w:val="none" w:sz="0" w:space="0" w:color="auto"/>
        <w:right w:val="none" w:sz="0" w:space="0" w:color="auto"/>
      </w:divBdr>
    </w:div>
    <w:div w:id="55856564">
      <w:bodyDiv w:val="1"/>
      <w:marLeft w:val="0"/>
      <w:marRight w:val="0"/>
      <w:marTop w:val="0"/>
      <w:marBottom w:val="0"/>
      <w:divBdr>
        <w:top w:val="none" w:sz="0" w:space="0" w:color="auto"/>
        <w:left w:val="none" w:sz="0" w:space="0" w:color="auto"/>
        <w:bottom w:val="none" w:sz="0" w:space="0" w:color="auto"/>
        <w:right w:val="none" w:sz="0" w:space="0" w:color="auto"/>
      </w:divBdr>
      <w:divsChild>
        <w:div w:id="386728750">
          <w:marLeft w:val="1200"/>
          <w:marRight w:val="0"/>
          <w:marTop w:val="75"/>
          <w:marBottom w:val="45"/>
          <w:divBdr>
            <w:top w:val="dashed" w:sz="6" w:space="4" w:color="DFDFDF"/>
            <w:left w:val="dashed" w:sz="6" w:space="4" w:color="DFDFDF"/>
            <w:bottom w:val="dashed" w:sz="6" w:space="4" w:color="DFDFDF"/>
            <w:right w:val="dashed" w:sz="6" w:space="4" w:color="DFDFDF"/>
          </w:divBdr>
          <w:divsChild>
            <w:div w:id="723213175">
              <w:marLeft w:val="0"/>
              <w:marRight w:val="0"/>
              <w:marTop w:val="0"/>
              <w:marBottom w:val="0"/>
              <w:divBdr>
                <w:top w:val="single" w:sz="6" w:space="11" w:color="CCCCCC"/>
                <w:left w:val="single" w:sz="6" w:space="14" w:color="CCCCCC"/>
                <w:bottom w:val="single" w:sz="6" w:space="11" w:color="CCCCCC"/>
                <w:right w:val="single" w:sz="6" w:space="14" w:color="CCCCCC"/>
              </w:divBdr>
              <w:divsChild>
                <w:div w:id="1867064797">
                  <w:marLeft w:val="0"/>
                  <w:marRight w:val="0"/>
                  <w:marTop w:val="0"/>
                  <w:marBottom w:val="0"/>
                  <w:divBdr>
                    <w:top w:val="none" w:sz="0" w:space="0" w:color="auto"/>
                    <w:left w:val="none" w:sz="0" w:space="0" w:color="auto"/>
                    <w:bottom w:val="none" w:sz="0" w:space="0" w:color="auto"/>
                    <w:right w:val="none" w:sz="0" w:space="0" w:color="auto"/>
                  </w:divBdr>
                  <w:divsChild>
                    <w:div w:id="1369137929">
                      <w:marLeft w:val="0"/>
                      <w:marRight w:val="0"/>
                      <w:marTop w:val="0"/>
                      <w:marBottom w:val="0"/>
                      <w:divBdr>
                        <w:top w:val="single" w:sz="6" w:space="0" w:color="9CCAE9"/>
                        <w:left w:val="none" w:sz="0" w:space="0" w:color="auto"/>
                        <w:bottom w:val="none" w:sz="0" w:space="0" w:color="auto"/>
                        <w:right w:val="none" w:sz="0" w:space="0" w:color="auto"/>
                      </w:divBdr>
                      <w:divsChild>
                        <w:div w:id="15307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19545">
      <w:bodyDiv w:val="1"/>
      <w:marLeft w:val="0"/>
      <w:marRight w:val="0"/>
      <w:marTop w:val="0"/>
      <w:marBottom w:val="0"/>
      <w:divBdr>
        <w:top w:val="none" w:sz="0" w:space="0" w:color="auto"/>
        <w:left w:val="none" w:sz="0" w:space="0" w:color="auto"/>
        <w:bottom w:val="none" w:sz="0" w:space="0" w:color="auto"/>
        <w:right w:val="none" w:sz="0" w:space="0" w:color="auto"/>
      </w:divBdr>
    </w:div>
    <w:div w:id="182402660">
      <w:bodyDiv w:val="1"/>
      <w:marLeft w:val="0"/>
      <w:marRight w:val="0"/>
      <w:marTop w:val="0"/>
      <w:marBottom w:val="0"/>
      <w:divBdr>
        <w:top w:val="none" w:sz="0" w:space="0" w:color="auto"/>
        <w:left w:val="none" w:sz="0" w:space="0" w:color="auto"/>
        <w:bottom w:val="none" w:sz="0" w:space="0" w:color="auto"/>
        <w:right w:val="none" w:sz="0" w:space="0" w:color="auto"/>
      </w:divBdr>
    </w:div>
    <w:div w:id="189148406">
      <w:bodyDiv w:val="1"/>
      <w:marLeft w:val="0"/>
      <w:marRight w:val="0"/>
      <w:marTop w:val="0"/>
      <w:marBottom w:val="0"/>
      <w:divBdr>
        <w:top w:val="none" w:sz="0" w:space="0" w:color="auto"/>
        <w:left w:val="none" w:sz="0" w:space="0" w:color="auto"/>
        <w:bottom w:val="none" w:sz="0" w:space="0" w:color="auto"/>
        <w:right w:val="none" w:sz="0" w:space="0" w:color="auto"/>
      </w:divBdr>
    </w:div>
    <w:div w:id="215095361">
      <w:bodyDiv w:val="1"/>
      <w:marLeft w:val="0"/>
      <w:marRight w:val="0"/>
      <w:marTop w:val="0"/>
      <w:marBottom w:val="0"/>
      <w:divBdr>
        <w:top w:val="none" w:sz="0" w:space="0" w:color="auto"/>
        <w:left w:val="none" w:sz="0" w:space="0" w:color="auto"/>
        <w:bottom w:val="none" w:sz="0" w:space="0" w:color="auto"/>
        <w:right w:val="none" w:sz="0" w:space="0" w:color="auto"/>
      </w:divBdr>
    </w:div>
    <w:div w:id="217401515">
      <w:bodyDiv w:val="1"/>
      <w:marLeft w:val="0"/>
      <w:marRight w:val="0"/>
      <w:marTop w:val="0"/>
      <w:marBottom w:val="0"/>
      <w:divBdr>
        <w:top w:val="none" w:sz="0" w:space="0" w:color="auto"/>
        <w:left w:val="none" w:sz="0" w:space="0" w:color="auto"/>
        <w:bottom w:val="none" w:sz="0" w:space="0" w:color="auto"/>
        <w:right w:val="none" w:sz="0" w:space="0" w:color="auto"/>
      </w:divBdr>
    </w:div>
    <w:div w:id="233009624">
      <w:bodyDiv w:val="1"/>
      <w:marLeft w:val="0"/>
      <w:marRight w:val="0"/>
      <w:marTop w:val="0"/>
      <w:marBottom w:val="0"/>
      <w:divBdr>
        <w:top w:val="none" w:sz="0" w:space="0" w:color="auto"/>
        <w:left w:val="none" w:sz="0" w:space="0" w:color="auto"/>
        <w:bottom w:val="none" w:sz="0" w:space="0" w:color="auto"/>
        <w:right w:val="none" w:sz="0" w:space="0" w:color="auto"/>
      </w:divBdr>
    </w:div>
    <w:div w:id="329062324">
      <w:bodyDiv w:val="1"/>
      <w:marLeft w:val="0"/>
      <w:marRight w:val="0"/>
      <w:marTop w:val="0"/>
      <w:marBottom w:val="0"/>
      <w:divBdr>
        <w:top w:val="none" w:sz="0" w:space="0" w:color="auto"/>
        <w:left w:val="none" w:sz="0" w:space="0" w:color="auto"/>
        <w:bottom w:val="none" w:sz="0" w:space="0" w:color="auto"/>
        <w:right w:val="none" w:sz="0" w:space="0" w:color="auto"/>
      </w:divBdr>
      <w:divsChild>
        <w:div w:id="38674828">
          <w:marLeft w:val="0"/>
          <w:marRight w:val="0"/>
          <w:marTop w:val="0"/>
          <w:marBottom w:val="0"/>
          <w:divBdr>
            <w:top w:val="none" w:sz="0" w:space="0" w:color="auto"/>
            <w:left w:val="none" w:sz="0" w:space="0" w:color="auto"/>
            <w:bottom w:val="none" w:sz="0" w:space="0" w:color="auto"/>
            <w:right w:val="none" w:sz="0" w:space="0" w:color="auto"/>
          </w:divBdr>
        </w:div>
        <w:div w:id="83770511">
          <w:marLeft w:val="0"/>
          <w:marRight w:val="0"/>
          <w:marTop w:val="0"/>
          <w:marBottom w:val="0"/>
          <w:divBdr>
            <w:top w:val="none" w:sz="0" w:space="0" w:color="auto"/>
            <w:left w:val="none" w:sz="0" w:space="0" w:color="auto"/>
            <w:bottom w:val="none" w:sz="0" w:space="0" w:color="auto"/>
            <w:right w:val="none" w:sz="0" w:space="0" w:color="auto"/>
          </w:divBdr>
        </w:div>
        <w:div w:id="276107671">
          <w:marLeft w:val="0"/>
          <w:marRight w:val="0"/>
          <w:marTop w:val="0"/>
          <w:marBottom w:val="0"/>
          <w:divBdr>
            <w:top w:val="none" w:sz="0" w:space="0" w:color="auto"/>
            <w:left w:val="none" w:sz="0" w:space="0" w:color="auto"/>
            <w:bottom w:val="none" w:sz="0" w:space="0" w:color="auto"/>
            <w:right w:val="none" w:sz="0" w:space="0" w:color="auto"/>
          </w:divBdr>
        </w:div>
        <w:div w:id="624501243">
          <w:marLeft w:val="0"/>
          <w:marRight w:val="0"/>
          <w:marTop w:val="0"/>
          <w:marBottom w:val="0"/>
          <w:divBdr>
            <w:top w:val="none" w:sz="0" w:space="0" w:color="auto"/>
            <w:left w:val="none" w:sz="0" w:space="0" w:color="auto"/>
            <w:bottom w:val="none" w:sz="0" w:space="0" w:color="auto"/>
            <w:right w:val="none" w:sz="0" w:space="0" w:color="auto"/>
          </w:divBdr>
        </w:div>
        <w:div w:id="653022848">
          <w:marLeft w:val="0"/>
          <w:marRight w:val="0"/>
          <w:marTop w:val="0"/>
          <w:marBottom w:val="0"/>
          <w:divBdr>
            <w:top w:val="none" w:sz="0" w:space="0" w:color="auto"/>
            <w:left w:val="none" w:sz="0" w:space="0" w:color="auto"/>
            <w:bottom w:val="none" w:sz="0" w:space="0" w:color="auto"/>
            <w:right w:val="none" w:sz="0" w:space="0" w:color="auto"/>
          </w:divBdr>
        </w:div>
        <w:div w:id="763260654">
          <w:marLeft w:val="0"/>
          <w:marRight w:val="0"/>
          <w:marTop w:val="0"/>
          <w:marBottom w:val="0"/>
          <w:divBdr>
            <w:top w:val="none" w:sz="0" w:space="0" w:color="auto"/>
            <w:left w:val="none" w:sz="0" w:space="0" w:color="auto"/>
            <w:bottom w:val="none" w:sz="0" w:space="0" w:color="auto"/>
            <w:right w:val="none" w:sz="0" w:space="0" w:color="auto"/>
          </w:divBdr>
        </w:div>
        <w:div w:id="812796032">
          <w:marLeft w:val="0"/>
          <w:marRight w:val="0"/>
          <w:marTop w:val="0"/>
          <w:marBottom w:val="0"/>
          <w:divBdr>
            <w:top w:val="none" w:sz="0" w:space="0" w:color="auto"/>
            <w:left w:val="none" w:sz="0" w:space="0" w:color="auto"/>
            <w:bottom w:val="none" w:sz="0" w:space="0" w:color="auto"/>
            <w:right w:val="none" w:sz="0" w:space="0" w:color="auto"/>
          </w:divBdr>
        </w:div>
        <w:div w:id="997465306">
          <w:marLeft w:val="0"/>
          <w:marRight w:val="0"/>
          <w:marTop w:val="0"/>
          <w:marBottom w:val="0"/>
          <w:divBdr>
            <w:top w:val="none" w:sz="0" w:space="0" w:color="auto"/>
            <w:left w:val="none" w:sz="0" w:space="0" w:color="auto"/>
            <w:bottom w:val="none" w:sz="0" w:space="0" w:color="auto"/>
            <w:right w:val="none" w:sz="0" w:space="0" w:color="auto"/>
          </w:divBdr>
        </w:div>
        <w:div w:id="1618179410">
          <w:marLeft w:val="0"/>
          <w:marRight w:val="0"/>
          <w:marTop w:val="0"/>
          <w:marBottom w:val="0"/>
          <w:divBdr>
            <w:top w:val="none" w:sz="0" w:space="0" w:color="auto"/>
            <w:left w:val="none" w:sz="0" w:space="0" w:color="auto"/>
            <w:bottom w:val="none" w:sz="0" w:space="0" w:color="auto"/>
            <w:right w:val="none" w:sz="0" w:space="0" w:color="auto"/>
          </w:divBdr>
        </w:div>
        <w:div w:id="1674532630">
          <w:marLeft w:val="0"/>
          <w:marRight w:val="0"/>
          <w:marTop w:val="0"/>
          <w:marBottom w:val="0"/>
          <w:divBdr>
            <w:top w:val="none" w:sz="0" w:space="0" w:color="auto"/>
            <w:left w:val="none" w:sz="0" w:space="0" w:color="auto"/>
            <w:bottom w:val="none" w:sz="0" w:space="0" w:color="auto"/>
            <w:right w:val="none" w:sz="0" w:space="0" w:color="auto"/>
          </w:divBdr>
        </w:div>
        <w:div w:id="1679500404">
          <w:marLeft w:val="0"/>
          <w:marRight w:val="0"/>
          <w:marTop w:val="0"/>
          <w:marBottom w:val="0"/>
          <w:divBdr>
            <w:top w:val="none" w:sz="0" w:space="0" w:color="auto"/>
            <w:left w:val="none" w:sz="0" w:space="0" w:color="auto"/>
            <w:bottom w:val="none" w:sz="0" w:space="0" w:color="auto"/>
            <w:right w:val="none" w:sz="0" w:space="0" w:color="auto"/>
          </w:divBdr>
        </w:div>
        <w:div w:id="1738550885">
          <w:marLeft w:val="0"/>
          <w:marRight w:val="0"/>
          <w:marTop w:val="0"/>
          <w:marBottom w:val="0"/>
          <w:divBdr>
            <w:top w:val="none" w:sz="0" w:space="0" w:color="auto"/>
            <w:left w:val="none" w:sz="0" w:space="0" w:color="auto"/>
            <w:bottom w:val="none" w:sz="0" w:space="0" w:color="auto"/>
            <w:right w:val="none" w:sz="0" w:space="0" w:color="auto"/>
          </w:divBdr>
        </w:div>
        <w:div w:id="1780683321">
          <w:marLeft w:val="0"/>
          <w:marRight w:val="0"/>
          <w:marTop w:val="0"/>
          <w:marBottom w:val="0"/>
          <w:divBdr>
            <w:top w:val="none" w:sz="0" w:space="0" w:color="auto"/>
            <w:left w:val="none" w:sz="0" w:space="0" w:color="auto"/>
            <w:bottom w:val="none" w:sz="0" w:space="0" w:color="auto"/>
            <w:right w:val="none" w:sz="0" w:space="0" w:color="auto"/>
          </w:divBdr>
        </w:div>
        <w:div w:id="1957784788">
          <w:marLeft w:val="0"/>
          <w:marRight w:val="0"/>
          <w:marTop w:val="0"/>
          <w:marBottom w:val="0"/>
          <w:divBdr>
            <w:top w:val="none" w:sz="0" w:space="0" w:color="auto"/>
            <w:left w:val="none" w:sz="0" w:space="0" w:color="auto"/>
            <w:bottom w:val="none" w:sz="0" w:space="0" w:color="auto"/>
            <w:right w:val="none" w:sz="0" w:space="0" w:color="auto"/>
          </w:divBdr>
        </w:div>
        <w:div w:id="2046368371">
          <w:marLeft w:val="0"/>
          <w:marRight w:val="0"/>
          <w:marTop w:val="0"/>
          <w:marBottom w:val="0"/>
          <w:divBdr>
            <w:top w:val="none" w:sz="0" w:space="0" w:color="auto"/>
            <w:left w:val="none" w:sz="0" w:space="0" w:color="auto"/>
            <w:bottom w:val="none" w:sz="0" w:space="0" w:color="auto"/>
            <w:right w:val="none" w:sz="0" w:space="0" w:color="auto"/>
          </w:divBdr>
        </w:div>
        <w:div w:id="2077165051">
          <w:marLeft w:val="0"/>
          <w:marRight w:val="0"/>
          <w:marTop w:val="0"/>
          <w:marBottom w:val="0"/>
          <w:divBdr>
            <w:top w:val="none" w:sz="0" w:space="0" w:color="auto"/>
            <w:left w:val="none" w:sz="0" w:space="0" w:color="auto"/>
            <w:bottom w:val="none" w:sz="0" w:space="0" w:color="auto"/>
            <w:right w:val="none" w:sz="0" w:space="0" w:color="auto"/>
          </w:divBdr>
        </w:div>
      </w:divsChild>
    </w:div>
    <w:div w:id="331643634">
      <w:bodyDiv w:val="1"/>
      <w:marLeft w:val="0"/>
      <w:marRight w:val="0"/>
      <w:marTop w:val="0"/>
      <w:marBottom w:val="0"/>
      <w:divBdr>
        <w:top w:val="none" w:sz="0" w:space="0" w:color="auto"/>
        <w:left w:val="none" w:sz="0" w:space="0" w:color="auto"/>
        <w:bottom w:val="none" w:sz="0" w:space="0" w:color="auto"/>
        <w:right w:val="none" w:sz="0" w:space="0" w:color="auto"/>
      </w:divBdr>
    </w:div>
    <w:div w:id="364715354">
      <w:bodyDiv w:val="1"/>
      <w:marLeft w:val="0"/>
      <w:marRight w:val="0"/>
      <w:marTop w:val="0"/>
      <w:marBottom w:val="0"/>
      <w:divBdr>
        <w:top w:val="none" w:sz="0" w:space="0" w:color="auto"/>
        <w:left w:val="none" w:sz="0" w:space="0" w:color="auto"/>
        <w:bottom w:val="none" w:sz="0" w:space="0" w:color="auto"/>
        <w:right w:val="none" w:sz="0" w:space="0" w:color="auto"/>
      </w:divBdr>
      <w:divsChild>
        <w:div w:id="391386804">
          <w:marLeft w:val="0"/>
          <w:marRight w:val="0"/>
          <w:marTop w:val="272"/>
          <w:marBottom w:val="272"/>
          <w:divBdr>
            <w:top w:val="none" w:sz="0" w:space="0" w:color="auto"/>
            <w:left w:val="none" w:sz="0" w:space="0" w:color="auto"/>
            <w:bottom w:val="none" w:sz="0" w:space="0" w:color="auto"/>
            <w:right w:val="none" w:sz="0" w:space="0" w:color="auto"/>
          </w:divBdr>
          <w:divsChild>
            <w:div w:id="2119833889">
              <w:marLeft w:val="0"/>
              <w:marRight w:val="0"/>
              <w:marTop w:val="136"/>
              <w:marBottom w:val="136"/>
              <w:divBdr>
                <w:top w:val="none" w:sz="0" w:space="0" w:color="auto"/>
                <w:left w:val="none" w:sz="0" w:space="0" w:color="auto"/>
                <w:bottom w:val="none" w:sz="0" w:space="0" w:color="auto"/>
                <w:right w:val="none" w:sz="0" w:space="0" w:color="auto"/>
              </w:divBdr>
              <w:divsChild>
                <w:div w:id="2165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04199">
      <w:bodyDiv w:val="1"/>
      <w:marLeft w:val="0"/>
      <w:marRight w:val="0"/>
      <w:marTop w:val="0"/>
      <w:marBottom w:val="0"/>
      <w:divBdr>
        <w:top w:val="none" w:sz="0" w:space="0" w:color="auto"/>
        <w:left w:val="none" w:sz="0" w:space="0" w:color="auto"/>
        <w:bottom w:val="none" w:sz="0" w:space="0" w:color="auto"/>
        <w:right w:val="none" w:sz="0" w:space="0" w:color="auto"/>
      </w:divBdr>
    </w:div>
    <w:div w:id="572280503">
      <w:bodyDiv w:val="1"/>
      <w:marLeft w:val="0"/>
      <w:marRight w:val="0"/>
      <w:marTop w:val="0"/>
      <w:marBottom w:val="0"/>
      <w:divBdr>
        <w:top w:val="none" w:sz="0" w:space="0" w:color="auto"/>
        <w:left w:val="none" w:sz="0" w:space="0" w:color="auto"/>
        <w:bottom w:val="none" w:sz="0" w:space="0" w:color="auto"/>
        <w:right w:val="none" w:sz="0" w:space="0" w:color="auto"/>
      </w:divBdr>
      <w:divsChild>
        <w:div w:id="457574174">
          <w:marLeft w:val="0"/>
          <w:marRight w:val="0"/>
          <w:marTop w:val="272"/>
          <w:marBottom w:val="272"/>
          <w:divBdr>
            <w:top w:val="none" w:sz="0" w:space="0" w:color="auto"/>
            <w:left w:val="none" w:sz="0" w:space="0" w:color="auto"/>
            <w:bottom w:val="none" w:sz="0" w:space="0" w:color="auto"/>
            <w:right w:val="none" w:sz="0" w:space="0" w:color="auto"/>
          </w:divBdr>
          <w:divsChild>
            <w:div w:id="193078565">
              <w:marLeft w:val="0"/>
              <w:marRight w:val="0"/>
              <w:marTop w:val="136"/>
              <w:marBottom w:val="136"/>
              <w:divBdr>
                <w:top w:val="none" w:sz="0" w:space="0" w:color="auto"/>
                <w:left w:val="none" w:sz="0" w:space="0" w:color="auto"/>
                <w:bottom w:val="none" w:sz="0" w:space="0" w:color="auto"/>
                <w:right w:val="none" w:sz="0" w:space="0" w:color="auto"/>
              </w:divBdr>
              <w:divsChild>
                <w:div w:id="47718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5852">
      <w:bodyDiv w:val="1"/>
      <w:marLeft w:val="0"/>
      <w:marRight w:val="0"/>
      <w:marTop w:val="0"/>
      <w:marBottom w:val="0"/>
      <w:divBdr>
        <w:top w:val="none" w:sz="0" w:space="0" w:color="auto"/>
        <w:left w:val="none" w:sz="0" w:space="0" w:color="auto"/>
        <w:bottom w:val="none" w:sz="0" w:space="0" w:color="auto"/>
        <w:right w:val="none" w:sz="0" w:space="0" w:color="auto"/>
      </w:divBdr>
      <w:divsChild>
        <w:div w:id="352809164">
          <w:marLeft w:val="0"/>
          <w:marRight w:val="0"/>
          <w:marTop w:val="0"/>
          <w:marBottom w:val="0"/>
          <w:divBdr>
            <w:top w:val="none" w:sz="0" w:space="0" w:color="auto"/>
            <w:left w:val="none" w:sz="0" w:space="0" w:color="auto"/>
            <w:bottom w:val="none" w:sz="0" w:space="0" w:color="auto"/>
            <w:right w:val="none" w:sz="0" w:space="0" w:color="auto"/>
          </w:divBdr>
        </w:div>
        <w:div w:id="1720326707">
          <w:marLeft w:val="0"/>
          <w:marRight w:val="0"/>
          <w:marTop w:val="0"/>
          <w:marBottom w:val="0"/>
          <w:divBdr>
            <w:top w:val="none" w:sz="0" w:space="0" w:color="auto"/>
            <w:left w:val="none" w:sz="0" w:space="0" w:color="auto"/>
            <w:bottom w:val="none" w:sz="0" w:space="0" w:color="auto"/>
            <w:right w:val="none" w:sz="0" w:space="0" w:color="auto"/>
          </w:divBdr>
        </w:div>
      </w:divsChild>
    </w:div>
    <w:div w:id="701325643">
      <w:bodyDiv w:val="1"/>
      <w:marLeft w:val="0"/>
      <w:marRight w:val="0"/>
      <w:marTop w:val="0"/>
      <w:marBottom w:val="0"/>
      <w:divBdr>
        <w:top w:val="none" w:sz="0" w:space="0" w:color="auto"/>
        <w:left w:val="none" w:sz="0" w:space="0" w:color="auto"/>
        <w:bottom w:val="none" w:sz="0" w:space="0" w:color="auto"/>
        <w:right w:val="none" w:sz="0" w:space="0" w:color="auto"/>
      </w:divBdr>
    </w:div>
    <w:div w:id="716930867">
      <w:bodyDiv w:val="1"/>
      <w:marLeft w:val="0"/>
      <w:marRight w:val="0"/>
      <w:marTop w:val="0"/>
      <w:marBottom w:val="0"/>
      <w:divBdr>
        <w:top w:val="none" w:sz="0" w:space="0" w:color="auto"/>
        <w:left w:val="none" w:sz="0" w:space="0" w:color="auto"/>
        <w:bottom w:val="none" w:sz="0" w:space="0" w:color="auto"/>
        <w:right w:val="none" w:sz="0" w:space="0" w:color="auto"/>
      </w:divBdr>
    </w:div>
    <w:div w:id="737554824">
      <w:bodyDiv w:val="1"/>
      <w:marLeft w:val="0"/>
      <w:marRight w:val="0"/>
      <w:marTop w:val="0"/>
      <w:marBottom w:val="0"/>
      <w:divBdr>
        <w:top w:val="none" w:sz="0" w:space="0" w:color="auto"/>
        <w:left w:val="none" w:sz="0" w:space="0" w:color="auto"/>
        <w:bottom w:val="none" w:sz="0" w:space="0" w:color="auto"/>
        <w:right w:val="none" w:sz="0" w:space="0" w:color="auto"/>
      </w:divBdr>
    </w:div>
    <w:div w:id="773940235">
      <w:bodyDiv w:val="1"/>
      <w:marLeft w:val="0"/>
      <w:marRight w:val="0"/>
      <w:marTop w:val="0"/>
      <w:marBottom w:val="0"/>
      <w:divBdr>
        <w:top w:val="none" w:sz="0" w:space="0" w:color="auto"/>
        <w:left w:val="none" w:sz="0" w:space="0" w:color="auto"/>
        <w:bottom w:val="none" w:sz="0" w:space="0" w:color="auto"/>
        <w:right w:val="none" w:sz="0" w:space="0" w:color="auto"/>
      </w:divBdr>
      <w:divsChild>
        <w:div w:id="1055355346">
          <w:marLeft w:val="0"/>
          <w:marRight w:val="0"/>
          <w:marTop w:val="272"/>
          <w:marBottom w:val="272"/>
          <w:divBdr>
            <w:top w:val="none" w:sz="0" w:space="0" w:color="auto"/>
            <w:left w:val="none" w:sz="0" w:space="0" w:color="auto"/>
            <w:bottom w:val="none" w:sz="0" w:space="0" w:color="auto"/>
            <w:right w:val="none" w:sz="0" w:space="0" w:color="auto"/>
          </w:divBdr>
          <w:divsChild>
            <w:div w:id="1862082741">
              <w:marLeft w:val="0"/>
              <w:marRight w:val="0"/>
              <w:marTop w:val="136"/>
              <w:marBottom w:val="136"/>
              <w:divBdr>
                <w:top w:val="none" w:sz="0" w:space="0" w:color="auto"/>
                <w:left w:val="none" w:sz="0" w:space="0" w:color="auto"/>
                <w:bottom w:val="none" w:sz="0" w:space="0" w:color="auto"/>
                <w:right w:val="none" w:sz="0" w:space="0" w:color="auto"/>
              </w:divBdr>
              <w:divsChild>
                <w:div w:id="8055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21141">
      <w:bodyDiv w:val="1"/>
      <w:marLeft w:val="0"/>
      <w:marRight w:val="0"/>
      <w:marTop w:val="0"/>
      <w:marBottom w:val="0"/>
      <w:divBdr>
        <w:top w:val="none" w:sz="0" w:space="0" w:color="auto"/>
        <w:left w:val="none" w:sz="0" w:space="0" w:color="auto"/>
        <w:bottom w:val="none" w:sz="0" w:space="0" w:color="auto"/>
        <w:right w:val="none" w:sz="0" w:space="0" w:color="auto"/>
      </w:divBdr>
    </w:div>
    <w:div w:id="900794500">
      <w:bodyDiv w:val="1"/>
      <w:marLeft w:val="0"/>
      <w:marRight w:val="0"/>
      <w:marTop w:val="0"/>
      <w:marBottom w:val="0"/>
      <w:divBdr>
        <w:top w:val="none" w:sz="0" w:space="0" w:color="auto"/>
        <w:left w:val="none" w:sz="0" w:space="0" w:color="auto"/>
        <w:bottom w:val="none" w:sz="0" w:space="0" w:color="auto"/>
        <w:right w:val="none" w:sz="0" w:space="0" w:color="auto"/>
      </w:divBdr>
      <w:divsChild>
        <w:div w:id="846560166">
          <w:marLeft w:val="0"/>
          <w:marRight w:val="0"/>
          <w:marTop w:val="0"/>
          <w:marBottom w:val="0"/>
          <w:divBdr>
            <w:top w:val="none" w:sz="0" w:space="0" w:color="auto"/>
            <w:left w:val="none" w:sz="0" w:space="0" w:color="auto"/>
            <w:bottom w:val="none" w:sz="0" w:space="0" w:color="auto"/>
            <w:right w:val="none" w:sz="0" w:space="0" w:color="auto"/>
          </w:divBdr>
        </w:div>
        <w:div w:id="1236434905">
          <w:marLeft w:val="0"/>
          <w:marRight w:val="0"/>
          <w:marTop w:val="0"/>
          <w:marBottom w:val="0"/>
          <w:divBdr>
            <w:top w:val="none" w:sz="0" w:space="0" w:color="auto"/>
            <w:left w:val="none" w:sz="0" w:space="0" w:color="auto"/>
            <w:bottom w:val="none" w:sz="0" w:space="0" w:color="auto"/>
            <w:right w:val="none" w:sz="0" w:space="0" w:color="auto"/>
          </w:divBdr>
        </w:div>
        <w:div w:id="1541749962">
          <w:marLeft w:val="0"/>
          <w:marRight w:val="0"/>
          <w:marTop w:val="0"/>
          <w:marBottom w:val="0"/>
          <w:divBdr>
            <w:top w:val="none" w:sz="0" w:space="0" w:color="auto"/>
            <w:left w:val="none" w:sz="0" w:space="0" w:color="auto"/>
            <w:bottom w:val="none" w:sz="0" w:space="0" w:color="auto"/>
            <w:right w:val="none" w:sz="0" w:space="0" w:color="auto"/>
          </w:divBdr>
        </w:div>
      </w:divsChild>
    </w:div>
    <w:div w:id="924608168">
      <w:bodyDiv w:val="1"/>
      <w:marLeft w:val="0"/>
      <w:marRight w:val="0"/>
      <w:marTop w:val="0"/>
      <w:marBottom w:val="0"/>
      <w:divBdr>
        <w:top w:val="none" w:sz="0" w:space="0" w:color="auto"/>
        <w:left w:val="none" w:sz="0" w:space="0" w:color="auto"/>
        <w:bottom w:val="none" w:sz="0" w:space="0" w:color="auto"/>
        <w:right w:val="none" w:sz="0" w:space="0" w:color="auto"/>
      </w:divBdr>
    </w:div>
    <w:div w:id="943535884">
      <w:bodyDiv w:val="1"/>
      <w:marLeft w:val="0"/>
      <w:marRight w:val="0"/>
      <w:marTop w:val="0"/>
      <w:marBottom w:val="0"/>
      <w:divBdr>
        <w:top w:val="none" w:sz="0" w:space="0" w:color="auto"/>
        <w:left w:val="none" w:sz="0" w:space="0" w:color="auto"/>
        <w:bottom w:val="none" w:sz="0" w:space="0" w:color="auto"/>
        <w:right w:val="none" w:sz="0" w:space="0" w:color="auto"/>
      </w:divBdr>
    </w:div>
    <w:div w:id="962275184">
      <w:bodyDiv w:val="1"/>
      <w:marLeft w:val="0"/>
      <w:marRight w:val="0"/>
      <w:marTop w:val="0"/>
      <w:marBottom w:val="0"/>
      <w:divBdr>
        <w:top w:val="none" w:sz="0" w:space="0" w:color="auto"/>
        <w:left w:val="none" w:sz="0" w:space="0" w:color="auto"/>
        <w:bottom w:val="none" w:sz="0" w:space="0" w:color="auto"/>
        <w:right w:val="none" w:sz="0" w:space="0" w:color="auto"/>
      </w:divBdr>
    </w:div>
    <w:div w:id="1021929171">
      <w:bodyDiv w:val="1"/>
      <w:marLeft w:val="0"/>
      <w:marRight w:val="0"/>
      <w:marTop w:val="0"/>
      <w:marBottom w:val="0"/>
      <w:divBdr>
        <w:top w:val="none" w:sz="0" w:space="0" w:color="auto"/>
        <w:left w:val="none" w:sz="0" w:space="0" w:color="auto"/>
        <w:bottom w:val="none" w:sz="0" w:space="0" w:color="auto"/>
        <w:right w:val="none" w:sz="0" w:space="0" w:color="auto"/>
      </w:divBdr>
    </w:div>
    <w:div w:id="1043290970">
      <w:bodyDiv w:val="1"/>
      <w:marLeft w:val="0"/>
      <w:marRight w:val="0"/>
      <w:marTop w:val="0"/>
      <w:marBottom w:val="0"/>
      <w:divBdr>
        <w:top w:val="none" w:sz="0" w:space="0" w:color="auto"/>
        <w:left w:val="none" w:sz="0" w:space="0" w:color="auto"/>
        <w:bottom w:val="none" w:sz="0" w:space="0" w:color="auto"/>
        <w:right w:val="none" w:sz="0" w:space="0" w:color="auto"/>
      </w:divBdr>
    </w:div>
    <w:div w:id="1048183689">
      <w:bodyDiv w:val="1"/>
      <w:marLeft w:val="0"/>
      <w:marRight w:val="0"/>
      <w:marTop w:val="0"/>
      <w:marBottom w:val="0"/>
      <w:divBdr>
        <w:top w:val="none" w:sz="0" w:space="0" w:color="auto"/>
        <w:left w:val="none" w:sz="0" w:space="0" w:color="auto"/>
        <w:bottom w:val="none" w:sz="0" w:space="0" w:color="auto"/>
        <w:right w:val="none" w:sz="0" w:space="0" w:color="auto"/>
      </w:divBdr>
      <w:divsChild>
        <w:div w:id="671446012">
          <w:marLeft w:val="1200"/>
          <w:marRight w:val="0"/>
          <w:marTop w:val="75"/>
          <w:marBottom w:val="45"/>
          <w:divBdr>
            <w:top w:val="dashed" w:sz="6" w:space="4" w:color="DFDFDF"/>
            <w:left w:val="dashed" w:sz="6" w:space="4" w:color="DFDFDF"/>
            <w:bottom w:val="dashed" w:sz="6" w:space="4" w:color="DFDFDF"/>
            <w:right w:val="dashed" w:sz="6" w:space="4" w:color="DFDFDF"/>
          </w:divBdr>
          <w:divsChild>
            <w:div w:id="692338083">
              <w:marLeft w:val="0"/>
              <w:marRight w:val="0"/>
              <w:marTop w:val="0"/>
              <w:marBottom w:val="0"/>
              <w:divBdr>
                <w:top w:val="single" w:sz="6" w:space="11" w:color="CCCCCC"/>
                <w:left w:val="single" w:sz="6" w:space="14" w:color="CCCCCC"/>
                <w:bottom w:val="single" w:sz="6" w:space="11" w:color="CCCCCC"/>
                <w:right w:val="single" w:sz="6" w:space="14" w:color="CCCCCC"/>
              </w:divBdr>
              <w:divsChild>
                <w:div w:id="1380208750">
                  <w:marLeft w:val="0"/>
                  <w:marRight w:val="0"/>
                  <w:marTop w:val="0"/>
                  <w:marBottom w:val="0"/>
                  <w:divBdr>
                    <w:top w:val="none" w:sz="0" w:space="0" w:color="auto"/>
                    <w:left w:val="none" w:sz="0" w:space="0" w:color="auto"/>
                    <w:bottom w:val="none" w:sz="0" w:space="0" w:color="auto"/>
                    <w:right w:val="none" w:sz="0" w:space="0" w:color="auto"/>
                  </w:divBdr>
                  <w:divsChild>
                    <w:div w:id="469789359">
                      <w:marLeft w:val="0"/>
                      <w:marRight w:val="0"/>
                      <w:marTop w:val="0"/>
                      <w:marBottom w:val="0"/>
                      <w:divBdr>
                        <w:top w:val="single" w:sz="6" w:space="0" w:color="9CCAE9"/>
                        <w:left w:val="none" w:sz="0" w:space="0" w:color="auto"/>
                        <w:bottom w:val="none" w:sz="0" w:space="0" w:color="auto"/>
                        <w:right w:val="none" w:sz="0" w:space="0" w:color="auto"/>
                      </w:divBdr>
                      <w:divsChild>
                        <w:div w:id="18834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759899">
      <w:bodyDiv w:val="1"/>
      <w:marLeft w:val="0"/>
      <w:marRight w:val="0"/>
      <w:marTop w:val="0"/>
      <w:marBottom w:val="0"/>
      <w:divBdr>
        <w:top w:val="none" w:sz="0" w:space="0" w:color="auto"/>
        <w:left w:val="none" w:sz="0" w:space="0" w:color="auto"/>
        <w:bottom w:val="none" w:sz="0" w:space="0" w:color="auto"/>
        <w:right w:val="none" w:sz="0" w:space="0" w:color="auto"/>
      </w:divBdr>
    </w:div>
    <w:div w:id="1109472490">
      <w:bodyDiv w:val="1"/>
      <w:marLeft w:val="0"/>
      <w:marRight w:val="0"/>
      <w:marTop w:val="0"/>
      <w:marBottom w:val="0"/>
      <w:divBdr>
        <w:top w:val="none" w:sz="0" w:space="0" w:color="auto"/>
        <w:left w:val="none" w:sz="0" w:space="0" w:color="auto"/>
        <w:bottom w:val="none" w:sz="0" w:space="0" w:color="auto"/>
        <w:right w:val="none" w:sz="0" w:space="0" w:color="auto"/>
      </w:divBdr>
      <w:divsChild>
        <w:div w:id="560091770">
          <w:marLeft w:val="1200"/>
          <w:marRight w:val="0"/>
          <w:marTop w:val="75"/>
          <w:marBottom w:val="45"/>
          <w:divBdr>
            <w:top w:val="dashed" w:sz="6" w:space="4" w:color="DFDFDF"/>
            <w:left w:val="dashed" w:sz="6" w:space="4" w:color="DFDFDF"/>
            <w:bottom w:val="dashed" w:sz="6" w:space="4" w:color="DFDFDF"/>
            <w:right w:val="dashed" w:sz="6" w:space="4" w:color="DFDFDF"/>
          </w:divBdr>
          <w:divsChild>
            <w:div w:id="1330526319">
              <w:marLeft w:val="0"/>
              <w:marRight w:val="0"/>
              <w:marTop w:val="0"/>
              <w:marBottom w:val="0"/>
              <w:divBdr>
                <w:top w:val="single" w:sz="6" w:space="11" w:color="CCCCCC"/>
                <w:left w:val="single" w:sz="6" w:space="14" w:color="CCCCCC"/>
                <w:bottom w:val="single" w:sz="6" w:space="11" w:color="CCCCCC"/>
                <w:right w:val="single" w:sz="6" w:space="14" w:color="CCCCCC"/>
              </w:divBdr>
              <w:divsChild>
                <w:div w:id="402488167">
                  <w:marLeft w:val="0"/>
                  <w:marRight w:val="0"/>
                  <w:marTop w:val="0"/>
                  <w:marBottom w:val="0"/>
                  <w:divBdr>
                    <w:top w:val="none" w:sz="0" w:space="0" w:color="auto"/>
                    <w:left w:val="none" w:sz="0" w:space="0" w:color="auto"/>
                    <w:bottom w:val="none" w:sz="0" w:space="0" w:color="auto"/>
                    <w:right w:val="none" w:sz="0" w:space="0" w:color="auto"/>
                  </w:divBdr>
                  <w:divsChild>
                    <w:div w:id="321475143">
                      <w:marLeft w:val="0"/>
                      <w:marRight w:val="0"/>
                      <w:marTop w:val="0"/>
                      <w:marBottom w:val="0"/>
                      <w:divBdr>
                        <w:top w:val="single" w:sz="6" w:space="0" w:color="9CCAE9"/>
                        <w:left w:val="none" w:sz="0" w:space="0" w:color="auto"/>
                        <w:bottom w:val="none" w:sz="0" w:space="0" w:color="auto"/>
                        <w:right w:val="none" w:sz="0" w:space="0" w:color="auto"/>
                      </w:divBdr>
                      <w:divsChild>
                        <w:div w:id="17380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67471">
      <w:bodyDiv w:val="1"/>
      <w:marLeft w:val="0"/>
      <w:marRight w:val="0"/>
      <w:marTop w:val="0"/>
      <w:marBottom w:val="0"/>
      <w:divBdr>
        <w:top w:val="none" w:sz="0" w:space="0" w:color="auto"/>
        <w:left w:val="none" w:sz="0" w:space="0" w:color="auto"/>
        <w:bottom w:val="none" w:sz="0" w:space="0" w:color="auto"/>
        <w:right w:val="none" w:sz="0" w:space="0" w:color="auto"/>
      </w:divBdr>
    </w:div>
    <w:div w:id="1201481103">
      <w:bodyDiv w:val="1"/>
      <w:marLeft w:val="0"/>
      <w:marRight w:val="0"/>
      <w:marTop w:val="0"/>
      <w:marBottom w:val="0"/>
      <w:divBdr>
        <w:top w:val="none" w:sz="0" w:space="0" w:color="auto"/>
        <w:left w:val="none" w:sz="0" w:space="0" w:color="auto"/>
        <w:bottom w:val="none" w:sz="0" w:space="0" w:color="auto"/>
        <w:right w:val="none" w:sz="0" w:space="0" w:color="auto"/>
      </w:divBdr>
    </w:div>
    <w:div w:id="1204682931">
      <w:bodyDiv w:val="1"/>
      <w:marLeft w:val="0"/>
      <w:marRight w:val="0"/>
      <w:marTop w:val="0"/>
      <w:marBottom w:val="0"/>
      <w:divBdr>
        <w:top w:val="none" w:sz="0" w:space="0" w:color="auto"/>
        <w:left w:val="none" w:sz="0" w:space="0" w:color="auto"/>
        <w:bottom w:val="none" w:sz="0" w:space="0" w:color="auto"/>
        <w:right w:val="none" w:sz="0" w:space="0" w:color="auto"/>
      </w:divBdr>
      <w:divsChild>
        <w:div w:id="257907920">
          <w:marLeft w:val="1200"/>
          <w:marRight w:val="0"/>
          <w:marTop w:val="75"/>
          <w:marBottom w:val="45"/>
          <w:divBdr>
            <w:top w:val="dashed" w:sz="6" w:space="4" w:color="DFDFDF"/>
            <w:left w:val="dashed" w:sz="6" w:space="4" w:color="DFDFDF"/>
            <w:bottom w:val="dashed" w:sz="6" w:space="4" w:color="DFDFDF"/>
            <w:right w:val="dashed" w:sz="6" w:space="4" w:color="DFDFDF"/>
          </w:divBdr>
          <w:divsChild>
            <w:div w:id="609238187">
              <w:marLeft w:val="0"/>
              <w:marRight w:val="0"/>
              <w:marTop w:val="0"/>
              <w:marBottom w:val="0"/>
              <w:divBdr>
                <w:top w:val="single" w:sz="6" w:space="11" w:color="CCCCCC"/>
                <w:left w:val="single" w:sz="6" w:space="14" w:color="CCCCCC"/>
                <w:bottom w:val="single" w:sz="6" w:space="11" w:color="CCCCCC"/>
                <w:right w:val="single" w:sz="6" w:space="14" w:color="CCCCCC"/>
              </w:divBdr>
              <w:divsChild>
                <w:div w:id="1582526112">
                  <w:marLeft w:val="0"/>
                  <w:marRight w:val="0"/>
                  <w:marTop w:val="0"/>
                  <w:marBottom w:val="0"/>
                  <w:divBdr>
                    <w:top w:val="none" w:sz="0" w:space="0" w:color="auto"/>
                    <w:left w:val="none" w:sz="0" w:space="0" w:color="auto"/>
                    <w:bottom w:val="none" w:sz="0" w:space="0" w:color="auto"/>
                    <w:right w:val="none" w:sz="0" w:space="0" w:color="auto"/>
                  </w:divBdr>
                  <w:divsChild>
                    <w:div w:id="334266209">
                      <w:marLeft w:val="0"/>
                      <w:marRight w:val="0"/>
                      <w:marTop w:val="0"/>
                      <w:marBottom w:val="0"/>
                      <w:divBdr>
                        <w:top w:val="single" w:sz="6" w:space="0" w:color="9CCAE9"/>
                        <w:left w:val="none" w:sz="0" w:space="0" w:color="auto"/>
                        <w:bottom w:val="none" w:sz="0" w:space="0" w:color="auto"/>
                        <w:right w:val="none" w:sz="0" w:space="0" w:color="auto"/>
                      </w:divBdr>
                      <w:divsChild>
                        <w:div w:id="8582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244592">
      <w:bodyDiv w:val="1"/>
      <w:marLeft w:val="0"/>
      <w:marRight w:val="0"/>
      <w:marTop w:val="0"/>
      <w:marBottom w:val="0"/>
      <w:divBdr>
        <w:top w:val="none" w:sz="0" w:space="0" w:color="auto"/>
        <w:left w:val="none" w:sz="0" w:space="0" w:color="auto"/>
        <w:bottom w:val="none" w:sz="0" w:space="0" w:color="auto"/>
        <w:right w:val="none" w:sz="0" w:space="0" w:color="auto"/>
      </w:divBdr>
      <w:divsChild>
        <w:div w:id="26568664">
          <w:marLeft w:val="0"/>
          <w:marRight w:val="0"/>
          <w:marTop w:val="0"/>
          <w:marBottom w:val="0"/>
          <w:divBdr>
            <w:top w:val="none" w:sz="0" w:space="0" w:color="auto"/>
            <w:left w:val="none" w:sz="0" w:space="0" w:color="auto"/>
            <w:bottom w:val="none" w:sz="0" w:space="0" w:color="auto"/>
            <w:right w:val="none" w:sz="0" w:space="0" w:color="auto"/>
          </w:divBdr>
        </w:div>
        <w:div w:id="160899328">
          <w:marLeft w:val="0"/>
          <w:marRight w:val="0"/>
          <w:marTop w:val="0"/>
          <w:marBottom w:val="0"/>
          <w:divBdr>
            <w:top w:val="none" w:sz="0" w:space="0" w:color="auto"/>
            <w:left w:val="none" w:sz="0" w:space="0" w:color="auto"/>
            <w:bottom w:val="none" w:sz="0" w:space="0" w:color="auto"/>
            <w:right w:val="none" w:sz="0" w:space="0" w:color="auto"/>
          </w:divBdr>
        </w:div>
        <w:div w:id="225651733">
          <w:marLeft w:val="0"/>
          <w:marRight w:val="0"/>
          <w:marTop w:val="0"/>
          <w:marBottom w:val="0"/>
          <w:divBdr>
            <w:top w:val="none" w:sz="0" w:space="0" w:color="auto"/>
            <w:left w:val="none" w:sz="0" w:space="0" w:color="auto"/>
            <w:bottom w:val="none" w:sz="0" w:space="0" w:color="auto"/>
            <w:right w:val="none" w:sz="0" w:space="0" w:color="auto"/>
          </w:divBdr>
        </w:div>
        <w:div w:id="266694561">
          <w:marLeft w:val="0"/>
          <w:marRight w:val="0"/>
          <w:marTop w:val="0"/>
          <w:marBottom w:val="0"/>
          <w:divBdr>
            <w:top w:val="none" w:sz="0" w:space="0" w:color="auto"/>
            <w:left w:val="none" w:sz="0" w:space="0" w:color="auto"/>
            <w:bottom w:val="none" w:sz="0" w:space="0" w:color="auto"/>
            <w:right w:val="none" w:sz="0" w:space="0" w:color="auto"/>
          </w:divBdr>
        </w:div>
        <w:div w:id="474101200">
          <w:marLeft w:val="0"/>
          <w:marRight w:val="0"/>
          <w:marTop w:val="0"/>
          <w:marBottom w:val="0"/>
          <w:divBdr>
            <w:top w:val="none" w:sz="0" w:space="0" w:color="auto"/>
            <w:left w:val="none" w:sz="0" w:space="0" w:color="auto"/>
            <w:bottom w:val="none" w:sz="0" w:space="0" w:color="auto"/>
            <w:right w:val="none" w:sz="0" w:space="0" w:color="auto"/>
          </w:divBdr>
        </w:div>
        <w:div w:id="526993347">
          <w:marLeft w:val="0"/>
          <w:marRight w:val="0"/>
          <w:marTop w:val="0"/>
          <w:marBottom w:val="0"/>
          <w:divBdr>
            <w:top w:val="none" w:sz="0" w:space="0" w:color="auto"/>
            <w:left w:val="none" w:sz="0" w:space="0" w:color="auto"/>
            <w:bottom w:val="none" w:sz="0" w:space="0" w:color="auto"/>
            <w:right w:val="none" w:sz="0" w:space="0" w:color="auto"/>
          </w:divBdr>
        </w:div>
        <w:div w:id="789327430">
          <w:marLeft w:val="0"/>
          <w:marRight w:val="0"/>
          <w:marTop w:val="0"/>
          <w:marBottom w:val="0"/>
          <w:divBdr>
            <w:top w:val="none" w:sz="0" w:space="0" w:color="auto"/>
            <w:left w:val="none" w:sz="0" w:space="0" w:color="auto"/>
            <w:bottom w:val="none" w:sz="0" w:space="0" w:color="auto"/>
            <w:right w:val="none" w:sz="0" w:space="0" w:color="auto"/>
          </w:divBdr>
        </w:div>
        <w:div w:id="829253164">
          <w:marLeft w:val="0"/>
          <w:marRight w:val="0"/>
          <w:marTop w:val="0"/>
          <w:marBottom w:val="0"/>
          <w:divBdr>
            <w:top w:val="none" w:sz="0" w:space="0" w:color="auto"/>
            <w:left w:val="none" w:sz="0" w:space="0" w:color="auto"/>
            <w:bottom w:val="none" w:sz="0" w:space="0" w:color="auto"/>
            <w:right w:val="none" w:sz="0" w:space="0" w:color="auto"/>
          </w:divBdr>
        </w:div>
        <w:div w:id="1302078850">
          <w:marLeft w:val="0"/>
          <w:marRight w:val="0"/>
          <w:marTop w:val="0"/>
          <w:marBottom w:val="0"/>
          <w:divBdr>
            <w:top w:val="none" w:sz="0" w:space="0" w:color="auto"/>
            <w:left w:val="none" w:sz="0" w:space="0" w:color="auto"/>
            <w:bottom w:val="none" w:sz="0" w:space="0" w:color="auto"/>
            <w:right w:val="none" w:sz="0" w:space="0" w:color="auto"/>
          </w:divBdr>
        </w:div>
        <w:div w:id="1393188001">
          <w:marLeft w:val="0"/>
          <w:marRight w:val="0"/>
          <w:marTop w:val="0"/>
          <w:marBottom w:val="0"/>
          <w:divBdr>
            <w:top w:val="none" w:sz="0" w:space="0" w:color="auto"/>
            <w:left w:val="none" w:sz="0" w:space="0" w:color="auto"/>
            <w:bottom w:val="none" w:sz="0" w:space="0" w:color="auto"/>
            <w:right w:val="none" w:sz="0" w:space="0" w:color="auto"/>
          </w:divBdr>
        </w:div>
        <w:div w:id="1440294409">
          <w:marLeft w:val="0"/>
          <w:marRight w:val="0"/>
          <w:marTop w:val="0"/>
          <w:marBottom w:val="0"/>
          <w:divBdr>
            <w:top w:val="none" w:sz="0" w:space="0" w:color="auto"/>
            <w:left w:val="none" w:sz="0" w:space="0" w:color="auto"/>
            <w:bottom w:val="none" w:sz="0" w:space="0" w:color="auto"/>
            <w:right w:val="none" w:sz="0" w:space="0" w:color="auto"/>
          </w:divBdr>
        </w:div>
        <w:div w:id="1587419151">
          <w:marLeft w:val="0"/>
          <w:marRight w:val="0"/>
          <w:marTop w:val="0"/>
          <w:marBottom w:val="0"/>
          <w:divBdr>
            <w:top w:val="none" w:sz="0" w:space="0" w:color="auto"/>
            <w:left w:val="none" w:sz="0" w:space="0" w:color="auto"/>
            <w:bottom w:val="none" w:sz="0" w:space="0" w:color="auto"/>
            <w:right w:val="none" w:sz="0" w:space="0" w:color="auto"/>
          </w:divBdr>
        </w:div>
        <w:div w:id="1875147917">
          <w:marLeft w:val="0"/>
          <w:marRight w:val="0"/>
          <w:marTop w:val="0"/>
          <w:marBottom w:val="0"/>
          <w:divBdr>
            <w:top w:val="none" w:sz="0" w:space="0" w:color="auto"/>
            <w:left w:val="none" w:sz="0" w:space="0" w:color="auto"/>
            <w:bottom w:val="none" w:sz="0" w:space="0" w:color="auto"/>
            <w:right w:val="none" w:sz="0" w:space="0" w:color="auto"/>
          </w:divBdr>
        </w:div>
        <w:div w:id="1921140460">
          <w:marLeft w:val="0"/>
          <w:marRight w:val="0"/>
          <w:marTop w:val="0"/>
          <w:marBottom w:val="0"/>
          <w:divBdr>
            <w:top w:val="none" w:sz="0" w:space="0" w:color="auto"/>
            <w:left w:val="none" w:sz="0" w:space="0" w:color="auto"/>
            <w:bottom w:val="none" w:sz="0" w:space="0" w:color="auto"/>
            <w:right w:val="none" w:sz="0" w:space="0" w:color="auto"/>
          </w:divBdr>
        </w:div>
        <w:div w:id="1998918019">
          <w:marLeft w:val="0"/>
          <w:marRight w:val="0"/>
          <w:marTop w:val="0"/>
          <w:marBottom w:val="0"/>
          <w:divBdr>
            <w:top w:val="none" w:sz="0" w:space="0" w:color="auto"/>
            <w:left w:val="none" w:sz="0" w:space="0" w:color="auto"/>
            <w:bottom w:val="none" w:sz="0" w:space="0" w:color="auto"/>
            <w:right w:val="none" w:sz="0" w:space="0" w:color="auto"/>
          </w:divBdr>
        </w:div>
        <w:div w:id="2069451491">
          <w:marLeft w:val="0"/>
          <w:marRight w:val="0"/>
          <w:marTop w:val="0"/>
          <w:marBottom w:val="0"/>
          <w:divBdr>
            <w:top w:val="none" w:sz="0" w:space="0" w:color="auto"/>
            <w:left w:val="none" w:sz="0" w:space="0" w:color="auto"/>
            <w:bottom w:val="none" w:sz="0" w:space="0" w:color="auto"/>
            <w:right w:val="none" w:sz="0" w:space="0" w:color="auto"/>
          </w:divBdr>
        </w:div>
      </w:divsChild>
    </w:div>
    <w:div w:id="1273588196">
      <w:bodyDiv w:val="1"/>
      <w:marLeft w:val="0"/>
      <w:marRight w:val="0"/>
      <w:marTop w:val="0"/>
      <w:marBottom w:val="0"/>
      <w:divBdr>
        <w:top w:val="none" w:sz="0" w:space="0" w:color="auto"/>
        <w:left w:val="none" w:sz="0" w:space="0" w:color="auto"/>
        <w:bottom w:val="none" w:sz="0" w:space="0" w:color="auto"/>
        <w:right w:val="none" w:sz="0" w:space="0" w:color="auto"/>
      </w:divBdr>
    </w:div>
    <w:div w:id="1274094715">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419673024">
      <w:bodyDiv w:val="1"/>
      <w:marLeft w:val="0"/>
      <w:marRight w:val="0"/>
      <w:marTop w:val="0"/>
      <w:marBottom w:val="0"/>
      <w:divBdr>
        <w:top w:val="none" w:sz="0" w:space="0" w:color="auto"/>
        <w:left w:val="none" w:sz="0" w:space="0" w:color="auto"/>
        <w:bottom w:val="none" w:sz="0" w:space="0" w:color="auto"/>
        <w:right w:val="none" w:sz="0" w:space="0" w:color="auto"/>
      </w:divBdr>
      <w:divsChild>
        <w:div w:id="443427395">
          <w:marLeft w:val="0"/>
          <w:marRight w:val="0"/>
          <w:marTop w:val="272"/>
          <w:marBottom w:val="272"/>
          <w:divBdr>
            <w:top w:val="none" w:sz="0" w:space="0" w:color="auto"/>
            <w:left w:val="none" w:sz="0" w:space="0" w:color="auto"/>
            <w:bottom w:val="none" w:sz="0" w:space="0" w:color="auto"/>
            <w:right w:val="none" w:sz="0" w:space="0" w:color="auto"/>
          </w:divBdr>
          <w:divsChild>
            <w:div w:id="1295601133">
              <w:marLeft w:val="0"/>
              <w:marRight w:val="0"/>
              <w:marTop w:val="136"/>
              <w:marBottom w:val="136"/>
              <w:divBdr>
                <w:top w:val="none" w:sz="0" w:space="0" w:color="auto"/>
                <w:left w:val="none" w:sz="0" w:space="0" w:color="auto"/>
                <w:bottom w:val="none" w:sz="0" w:space="0" w:color="auto"/>
                <w:right w:val="none" w:sz="0" w:space="0" w:color="auto"/>
              </w:divBdr>
              <w:divsChild>
                <w:div w:id="90737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0702">
      <w:bodyDiv w:val="1"/>
      <w:marLeft w:val="0"/>
      <w:marRight w:val="0"/>
      <w:marTop w:val="0"/>
      <w:marBottom w:val="0"/>
      <w:divBdr>
        <w:top w:val="none" w:sz="0" w:space="0" w:color="auto"/>
        <w:left w:val="none" w:sz="0" w:space="0" w:color="auto"/>
        <w:bottom w:val="none" w:sz="0" w:space="0" w:color="auto"/>
        <w:right w:val="none" w:sz="0" w:space="0" w:color="auto"/>
      </w:divBdr>
    </w:div>
    <w:div w:id="1449276091">
      <w:bodyDiv w:val="1"/>
      <w:marLeft w:val="0"/>
      <w:marRight w:val="0"/>
      <w:marTop w:val="0"/>
      <w:marBottom w:val="0"/>
      <w:divBdr>
        <w:top w:val="none" w:sz="0" w:space="0" w:color="auto"/>
        <w:left w:val="none" w:sz="0" w:space="0" w:color="auto"/>
        <w:bottom w:val="none" w:sz="0" w:space="0" w:color="auto"/>
        <w:right w:val="none" w:sz="0" w:space="0" w:color="auto"/>
      </w:divBdr>
    </w:div>
    <w:div w:id="1487864895">
      <w:bodyDiv w:val="1"/>
      <w:marLeft w:val="0"/>
      <w:marRight w:val="0"/>
      <w:marTop w:val="0"/>
      <w:marBottom w:val="0"/>
      <w:divBdr>
        <w:top w:val="none" w:sz="0" w:space="0" w:color="auto"/>
        <w:left w:val="none" w:sz="0" w:space="0" w:color="auto"/>
        <w:bottom w:val="none" w:sz="0" w:space="0" w:color="auto"/>
        <w:right w:val="none" w:sz="0" w:space="0" w:color="auto"/>
      </w:divBdr>
    </w:div>
    <w:div w:id="1500543050">
      <w:bodyDiv w:val="1"/>
      <w:marLeft w:val="0"/>
      <w:marRight w:val="0"/>
      <w:marTop w:val="0"/>
      <w:marBottom w:val="0"/>
      <w:divBdr>
        <w:top w:val="none" w:sz="0" w:space="0" w:color="auto"/>
        <w:left w:val="none" w:sz="0" w:space="0" w:color="auto"/>
        <w:bottom w:val="none" w:sz="0" w:space="0" w:color="auto"/>
        <w:right w:val="none" w:sz="0" w:space="0" w:color="auto"/>
      </w:divBdr>
    </w:div>
    <w:div w:id="1536623180">
      <w:bodyDiv w:val="1"/>
      <w:marLeft w:val="0"/>
      <w:marRight w:val="0"/>
      <w:marTop w:val="0"/>
      <w:marBottom w:val="0"/>
      <w:divBdr>
        <w:top w:val="none" w:sz="0" w:space="0" w:color="auto"/>
        <w:left w:val="none" w:sz="0" w:space="0" w:color="auto"/>
        <w:bottom w:val="none" w:sz="0" w:space="0" w:color="auto"/>
        <w:right w:val="none" w:sz="0" w:space="0" w:color="auto"/>
      </w:divBdr>
    </w:div>
    <w:div w:id="1559436248">
      <w:bodyDiv w:val="1"/>
      <w:marLeft w:val="0"/>
      <w:marRight w:val="0"/>
      <w:marTop w:val="0"/>
      <w:marBottom w:val="0"/>
      <w:divBdr>
        <w:top w:val="none" w:sz="0" w:space="0" w:color="auto"/>
        <w:left w:val="none" w:sz="0" w:space="0" w:color="auto"/>
        <w:bottom w:val="none" w:sz="0" w:space="0" w:color="auto"/>
        <w:right w:val="none" w:sz="0" w:space="0" w:color="auto"/>
      </w:divBdr>
      <w:divsChild>
        <w:div w:id="1184629282">
          <w:marLeft w:val="0"/>
          <w:marRight w:val="0"/>
          <w:marTop w:val="272"/>
          <w:marBottom w:val="272"/>
          <w:divBdr>
            <w:top w:val="none" w:sz="0" w:space="0" w:color="auto"/>
            <w:left w:val="none" w:sz="0" w:space="0" w:color="auto"/>
            <w:bottom w:val="none" w:sz="0" w:space="0" w:color="auto"/>
            <w:right w:val="none" w:sz="0" w:space="0" w:color="auto"/>
          </w:divBdr>
          <w:divsChild>
            <w:div w:id="2002155310">
              <w:marLeft w:val="0"/>
              <w:marRight w:val="0"/>
              <w:marTop w:val="136"/>
              <w:marBottom w:val="136"/>
              <w:divBdr>
                <w:top w:val="none" w:sz="0" w:space="0" w:color="auto"/>
                <w:left w:val="none" w:sz="0" w:space="0" w:color="auto"/>
                <w:bottom w:val="none" w:sz="0" w:space="0" w:color="auto"/>
                <w:right w:val="none" w:sz="0" w:space="0" w:color="auto"/>
              </w:divBdr>
              <w:divsChild>
                <w:div w:id="3098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35963">
      <w:bodyDiv w:val="1"/>
      <w:marLeft w:val="0"/>
      <w:marRight w:val="0"/>
      <w:marTop w:val="0"/>
      <w:marBottom w:val="0"/>
      <w:divBdr>
        <w:top w:val="none" w:sz="0" w:space="0" w:color="auto"/>
        <w:left w:val="none" w:sz="0" w:space="0" w:color="auto"/>
        <w:bottom w:val="none" w:sz="0" w:space="0" w:color="auto"/>
        <w:right w:val="none" w:sz="0" w:space="0" w:color="auto"/>
      </w:divBdr>
    </w:div>
    <w:div w:id="1573197401">
      <w:bodyDiv w:val="1"/>
      <w:marLeft w:val="0"/>
      <w:marRight w:val="0"/>
      <w:marTop w:val="0"/>
      <w:marBottom w:val="0"/>
      <w:divBdr>
        <w:top w:val="none" w:sz="0" w:space="0" w:color="auto"/>
        <w:left w:val="none" w:sz="0" w:space="0" w:color="auto"/>
        <w:bottom w:val="none" w:sz="0" w:space="0" w:color="auto"/>
        <w:right w:val="none" w:sz="0" w:space="0" w:color="auto"/>
      </w:divBdr>
    </w:div>
    <w:div w:id="1612319072">
      <w:bodyDiv w:val="1"/>
      <w:marLeft w:val="0"/>
      <w:marRight w:val="0"/>
      <w:marTop w:val="0"/>
      <w:marBottom w:val="0"/>
      <w:divBdr>
        <w:top w:val="none" w:sz="0" w:space="0" w:color="auto"/>
        <w:left w:val="none" w:sz="0" w:space="0" w:color="auto"/>
        <w:bottom w:val="none" w:sz="0" w:space="0" w:color="auto"/>
        <w:right w:val="none" w:sz="0" w:space="0" w:color="auto"/>
      </w:divBdr>
    </w:div>
    <w:div w:id="1624339956">
      <w:bodyDiv w:val="1"/>
      <w:marLeft w:val="0"/>
      <w:marRight w:val="0"/>
      <w:marTop w:val="0"/>
      <w:marBottom w:val="0"/>
      <w:divBdr>
        <w:top w:val="none" w:sz="0" w:space="0" w:color="auto"/>
        <w:left w:val="none" w:sz="0" w:space="0" w:color="auto"/>
        <w:bottom w:val="none" w:sz="0" w:space="0" w:color="auto"/>
        <w:right w:val="none" w:sz="0" w:space="0" w:color="auto"/>
      </w:divBdr>
    </w:div>
    <w:div w:id="1692561367">
      <w:bodyDiv w:val="1"/>
      <w:marLeft w:val="0"/>
      <w:marRight w:val="0"/>
      <w:marTop w:val="0"/>
      <w:marBottom w:val="0"/>
      <w:divBdr>
        <w:top w:val="none" w:sz="0" w:space="0" w:color="auto"/>
        <w:left w:val="none" w:sz="0" w:space="0" w:color="auto"/>
        <w:bottom w:val="none" w:sz="0" w:space="0" w:color="auto"/>
        <w:right w:val="none" w:sz="0" w:space="0" w:color="auto"/>
      </w:divBdr>
    </w:div>
    <w:div w:id="1698844348">
      <w:bodyDiv w:val="1"/>
      <w:marLeft w:val="0"/>
      <w:marRight w:val="0"/>
      <w:marTop w:val="0"/>
      <w:marBottom w:val="0"/>
      <w:divBdr>
        <w:top w:val="none" w:sz="0" w:space="0" w:color="auto"/>
        <w:left w:val="none" w:sz="0" w:space="0" w:color="auto"/>
        <w:bottom w:val="none" w:sz="0" w:space="0" w:color="auto"/>
        <w:right w:val="none" w:sz="0" w:space="0" w:color="auto"/>
      </w:divBdr>
      <w:divsChild>
        <w:div w:id="112753989">
          <w:marLeft w:val="0"/>
          <w:marRight w:val="0"/>
          <w:marTop w:val="0"/>
          <w:marBottom w:val="0"/>
          <w:divBdr>
            <w:top w:val="none" w:sz="0" w:space="0" w:color="auto"/>
            <w:left w:val="none" w:sz="0" w:space="0" w:color="auto"/>
            <w:bottom w:val="none" w:sz="0" w:space="0" w:color="auto"/>
            <w:right w:val="none" w:sz="0" w:space="0" w:color="auto"/>
          </w:divBdr>
        </w:div>
        <w:div w:id="234826000">
          <w:marLeft w:val="0"/>
          <w:marRight w:val="0"/>
          <w:marTop w:val="0"/>
          <w:marBottom w:val="0"/>
          <w:divBdr>
            <w:top w:val="none" w:sz="0" w:space="0" w:color="auto"/>
            <w:left w:val="none" w:sz="0" w:space="0" w:color="auto"/>
            <w:bottom w:val="none" w:sz="0" w:space="0" w:color="auto"/>
            <w:right w:val="none" w:sz="0" w:space="0" w:color="auto"/>
          </w:divBdr>
        </w:div>
        <w:div w:id="819925489">
          <w:marLeft w:val="0"/>
          <w:marRight w:val="0"/>
          <w:marTop w:val="0"/>
          <w:marBottom w:val="0"/>
          <w:divBdr>
            <w:top w:val="none" w:sz="0" w:space="0" w:color="auto"/>
            <w:left w:val="none" w:sz="0" w:space="0" w:color="auto"/>
            <w:bottom w:val="none" w:sz="0" w:space="0" w:color="auto"/>
            <w:right w:val="none" w:sz="0" w:space="0" w:color="auto"/>
          </w:divBdr>
        </w:div>
        <w:div w:id="880048690">
          <w:marLeft w:val="0"/>
          <w:marRight w:val="0"/>
          <w:marTop w:val="0"/>
          <w:marBottom w:val="0"/>
          <w:divBdr>
            <w:top w:val="none" w:sz="0" w:space="0" w:color="auto"/>
            <w:left w:val="none" w:sz="0" w:space="0" w:color="auto"/>
            <w:bottom w:val="none" w:sz="0" w:space="0" w:color="auto"/>
            <w:right w:val="none" w:sz="0" w:space="0" w:color="auto"/>
          </w:divBdr>
        </w:div>
        <w:div w:id="1319269630">
          <w:marLeft w:val="0"/>
          <w:marRight w:val="0"/>
          <w:marTop w:val="0"/>
          <w:marBottom w:val="0"/>
          <w:divBdr>
            <w:top w:val="none" w:sz="0" w:space="0" w:color="auto"/>
            <w:left w:val="none" w:sz="0" w:space="0" w:color="auto"/>
            <w:bottom w:val="none" w:sz="0" w:space="0" w:color="auto"/>
            <w:right w:val="none" w:sz="0" w:space="0" w:color="auto"/>
          </w:divBdr>
        </w:div>
        <w:div w:id="1344430914">
          <w:marLeft w:val="0"/>
          <w:marRight w:val="0"/>
          <w:marTop w:val="0"/>
          <w:marBottom w:val="0"/>
          <w:divBdr>
            <w:top w:val="none" w:sz="0" w:space="0" w:color="auto"/>
            <w:left w:val="none" w:sz="0" w:space="0" w:color="auto"/>
            <w:bottom w:val="none" w:sz="0" w:space="0" w:color="auto"/>
            <w:right w:val="none" w:sz="0" w:space="0" w:color="auto"/>
          </w:divBdr>
        </w:div>
        <w:div w:id="1470324144">
          <w:marLeft w:val="0"/>
          <w:marRight w:val="0"/>
          <w:marTop w:val="0"/>
          <w:marBottom w:val="0"/>
          <w:divBdr>
            <w:top w:val="none" w:sz="0" w:space="0" w:color="auto"/>
            <w:left w:val="none" w:sz="0" w:space="0" w:color="auto"/>
            <w:bottom w:val="none" w:sz="0" w:space="0" w:color="auto"/>
            <w:right w:val="none" w:sz="0" w:space="0" w:color="auto"/>
          </w:divBdr>
        </w:div>
        <w:div w:id="1566179756">
          <w:marLeft w:val="0"/>
          <w:marRight w:val="0"/>
          <w:marTop w:val="0"/>
          <w:marBottom w:val="0"/>
          <w:divBdr>
            <w:top w:val="none" w:sz="0" w:space="0" w:color="auto"/>
            <w:left w:val="none" w:sz="0" w:space="0" w:color="auto"/>
            <w:bottom w:val="none" w:sz="0" w:space="0" w:color="auto"/>
            <w:right w:val="none" w:sz="0" w:space="0" w:color="auto"/>
          </w:divBdr>
        </w:div>
        <w:div w:id="2056731109">
          <w:marLeft w:val="0"/>
          <w:marRight w:val="0"/>
          <w:marTop w:val="0"/>
          <w:marBottom w:val="0"/>
          <w:divBdr>
            <w:top w:val="none" w:sz="0" w:space="0" w:color="auto"/>
            <w:left w:val="none" w:sz="0" w:space="0" w:color="auto"/>
            <w:bottom w:val="none" w:sz="0" w:space="0" w:color="auto"/>
            <w:right w:val="none" w:sz="0" w:space="0" w:color="auto"/>
          </w:divBdr>
        </w:div>
      </w:divsChild>
    </w:div>
    <w:div w:id="1836722887">
      <w:bodyDiv w:val="1"/>
      <w:marLeft w:val="0"/>
      <w:marRight w:val="0"/>
      <w:marTop w:val="0"/>
      <w:marBottom w:val="0"/>
      <w:divBdr>
        <w:top w:val="none" w:sz="0" w:space="0" w:color="auto"/>
        <w:left w:val="none" w:sz="0" w:space="0" w:color="auto"/>
        <w:bottom w:val="none" w:sz="0" w:space="0" w:color="auto"/>
        <w:right w:val="none" w:sz="0" w:space="0" w:color="auto"/>
      </w:divBdr>
      <w:divsChild>
        <w:div w:id="2059670916">
          <w:marLeft w:val="0"/>
          <w:marRight w:val="0"/>
          <w:marTop w:val="272"/>
          <w:marBottom w:val="272"/>
          <w:divBdr>
            <w:top w:val="none" w:sz="0" w:space="0" w:color="auto"/>
            <w:left w:val="none" w:sz="0" w:space="0" w:color="auto"/>
            <w:bottom w:val="none" w:sz="0" w:space="0" w:color="auto"/>
            <w:right w:val="none" w:sz="0" w:space="0" w:color="auto"/>
          </w:divBdr>
          <w:divsChild>
            <w:div w:id="497891619">
              <w:marLeft w:val="0"/>
              <w:marRight w:val="0"/>
              <w:marTop w:val="136"/>
              <w:marBottom w:val="136"/>
              <w:divBdr>
                <w:top w:val="none" w:sz="0" w:space="0" w:color="auto"/>
                <w:left w:val="none" w:sz="0" w:space="0" w:color="auto"/>
                <w:bottom w:val="none" w:sz="0" w:space="0" w:color="auto"/>
                <w:right w:val="none" w:sz="0" w:space="0" w:color="auto"/>
              </w:divBdr>
              <w:divsChild>
                <w:div w:id="15682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5331">
      <w:bodyDiv w:val="1"/>
      <w:marLeft w:val="0"/>
      <w:marRight w:val="0"/>
      <w:marTop w:val="0"/>
      <w:marBottom w:val="0"/>
      <w:divBdr>
        <w:top w:val="none" w:sz="0" w:space="0" w:color="auto"/>
        <w:left w:val="none" w:sz="0" w:space="0" w:color="auto"/>
        <w:bottom w:val="none" w:sz="0" w:space="0" w:color="auto"/>
        <w:right w:val="none" w:sz="0" w:space="0" w:color="auto"/>
      </w:divBdr>
      <w:divsChild>
        <w:div w:id="1968007258">
          <w:marLeft w:val="0"/>
          <w:marRight w:val="0"/>
          <w:marTop w:val="272"/>
          <w:marBottom w:val="272"/>
          <w:divBdr>
            <w:top w:val="none" w:sz="0" w:space="0" w:color="auto"/>
            <w:left w:val="none" w:sz="0" w:space="0" w:color="auto"/>
            <w:bottom w:val="none" w:sz="0" w:space="0" w:color="auto"/>
            <w:right w:val="none" w:sz="0" w:space="0" w:color="auto"/>
          </w:divBdr>
          <w:divsChild>
            <w:div w:id="2109884708">
              <w:marLeft w:val="0"/>
              <w:marRight w:val="0"/>
              <w:marTop w:val="136"/>
              <w:marBottom w:val="136"/>
              <w:divBdr>
                <w:top w:val="none" w:sz="0" w:space="0" w:color="auto"/>
                <w:left w:val="none" w:sz="0" w:space="0" w:color="auto"/>
                <w:bottom w:val="none" w:sz="0" w:space="0" w:color="auto"/>
                <w:right w:val="none" w:sz="0" w:space="0" w:color="auto"/>
              </w:divBdr>
              <w:divsChild>
                <w:div w:id="21465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37821">
      <w:bodyDiv w:val="1"/>
      <w:marLeft w:val="0"/>
      <w:marRight w:val="0"/>
      <w:marTop w:val="0"/>
      <w:marBottom w:val="0"/>
      <w:divBdr>
        <w:top w:val="none" w:sz="0" w:space="0" w:color="auto"/>
        <w:left w:val="none" w:sz="0" w:space="0" w:color="auto"/>
        <w:bottom w:val="none" w:sz="0" w:space="0" w:color="auto"/>
        <w:right w:val="none" w:sz="0" w:space="0" w:color="auto"/>
      </w:divBdr>
    </w:div>
    <w:div w:id="1965892074">
      <w:bodyDiv w:val="1"/>
      <w:marLeft w:val="0"/>
      <w:marRight w:val="0"/>
      <w:marTop w:val="0"/>
      <w:marBottom w:val="0"/>
      <w:divBdr>
        <w:top w:val="none" w:sz="0" w:space="0" w:color="auto"/>
        <w:left w:val="none" w:sz="0" w:space="0" w:color="auto"/>
        <w:bottom w:val="none" w:sz="0" w:space="0" w:color="auto"/>
        <w:right w:val="none" w:sz="0" w:space="0" w:color="auto"/>
      </w:divBdr>
    </w:div>
    <w:div w:id="2010910032">
      <w:bodyDiv w:val="1"/>
      <w:marLeft w:val="0"/>
      <w:marRight w:val="0"/>
      <w:marTop w:val="0"/>
      <w:marBottom w:val="0"/>
      <w:divBdr>
        <w:top w:val="none" w:sz="0" w:space="0" w:color="auto"/>
        <w:left w:val="none" w:sz="0" w:space="0" w:color="auto"/>
        <w:bottom w:val="none" w:sz="0" w:space="0" w:color="auto"/>
        <w:right w:val="none" w:sz="0" w:space="0" w:color="auto"/>
      </w:divBdr>
      <w:divsChild>
        <w:div w:id="1743486334">
          <w:marLeft w:val="0"/>
          <w:marRight w:val="0"/>
          <w:marTop w:val="272"/>
          <w:marBottom w:val="272"/>
          <w:divBdr>
            <w:top w:val="none" w:sz="0" w:space="0" w:color="auto"/>
            <w:left w:val="none" w:sz="0" w:space="0" w:color="auto"/>
            <w:bottom w:val="none" w:sz="0" w:space="0" w:color="auto"/>
            <w:right w:val="none" w:sz="0" w:space="0" w:color="auto"/>
          </w:divBdr>
          <w:divsChild>
            <w:div w:id="1962149204">
              <w:marLeft w:val="0"/>
              <w:marRight w:val="0"/>
              <w:marTop w:val="136"/>
              <w:marBottom w:val="136"/>
              <w:divBdr>
                <w:top w:val="none" w:sz="0" w:space="0" w:color="auto"/>
                <w:left w:val="none" w:sz="0" w:space="0" w:color="auto"/>
                <w:bottom w:val="none" w:sz="0" w:space="0" w:color="auto"/>
                <w:right w:val="none" w:sz="0" w:space="0" w:color="auto"/>
              </w:divBdr>
              <w:divsChild>
                <w:div w:id="8094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4233">
      <w:bodyDiv w:val="1"/>
      <w:marLeft w:val="0"/>
      <w:marRight w:val="0"/>
      <w:marTop w:val="0"/>
      <w:marBottom w:val="0"/>
      <w:divBdr>
        <w:top w:val="none" w:sz="0" w:space="0" w:color="auto"/>
        <w:left w:val="none" w:sz="0" w:space="0" w:color="auto"/>
        <w:bottom w:val="none" w:sz="0" w:space="0" w:color="auto"/>
        <w:right w:val="none" w:sz="0" w:space="0" w:color="auto"/>
      </w:divBdr>
    </w:div>
    <w:div w:id="2065636754">
      <w:bodyDiv w:val="1"/>
      <w:marLeft w:val="0"/>
      <w:marRight w:val="0"/>
      <w:marTop w:val="0"/>
      <w:marBottom w:val="0"/>
      <w:divBdr>
        <w:top w:val="none" w:sz="0" w:space="0" w:color="auto"/>
        <w:left w:val="none" w:sz="0" w:space="0" w:color="auto"/>
        <w:bottom w:val="none" w:sz="0" w:space="0" w:color="auto"/>
        <w:right w:val="none" w:sz="0" w:space="0" w:color="auto"/>
      </w:divBdr>
    </w:div>
    <w:div w:id="2104495642">
      <w:bodyDiv w:val="1"/>
      <w:marLeft w:val="0"/>
      <w:marRight w:val="0"/>
      <w:marTop w:val="0"/>
      <w:marBottom w:val="0"/>
      <w:divBdr>
        <w:top w:val="none" w:sz="0" w:space="0" w:color="auto"/>
        <w:left w:val="none" w:sz="0" w:space="0" w:color="auto"/>
        <w:bottom w:val="none" w:sz="0" w:space="0" w:color="auto"/>
        <w:right w:val="none" w:sz="0" w:space="0" w:color="auto"/>
      </w:divBdr>
    </w:div>
    <w:div w:id="213621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C520C-DED9-4C7A-B279-D34F8234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5249</Characters>
  <Application>Microsoft Office Word</Application>
  <DocSecurity>4</DocSecurity>
  <Lines>43</Lines>
  <Paragraphs>12</Paragraphs>
  <ScaleCrop>false</ScaleCrop>
  <Company>tiantong</Company>
  <LinksUpToDate>false</LinksUpToDate>
  <CharactersWithSpaces>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zhuzj</dc:creator>
  <cp:keywords/>
  <cp:lastModifiedBy>ZHONGM</cp:lastModifiedBy>
  <cp:revision>2</cp:revision>
  <cp:lastPrinted>2020-12-25T09:53:00Z</cp:lastPrinted>
  <dcterms:created xsi:type="dcterms:W3CDTF">2026-02-08T16:00:00Z</dcterms:created>
  <dcterms:modified xsi:type="dcterms:W3CDTF">2026-02-08T16:00:00Z</dcterms:modified>
</cp:coreProperties>
</file>